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144145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360" w:right="280" w:hanging="3082"/>
        <w:spacing w:after="0" w:line="375" w:lineRule="auto"/>
        <w:tabs>
          <w:tab w:leader="none" w:pos="71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720" w:hanging="442"/>
        <w:spacing w:after="0"/>
        <w:tabs>
          <w:tab w:leader="none" w:pos="7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5" w:lineRule="exact"/>
        <w:rPr>
          <w:sz w:val="24"/>
          <w:szCs w:val="24"/>
          <w:color w:val="auto"/>
        </w:rPr>
      </w:pPr>
    </w:p>
    <w:tbl>
      <w:tblPr>
        <w:tblLayout w:type="fixed"/>
        <w:tblInd w:w="1460" w:type="dxa"/>
        <w:tblCellMar>
          <w:top w:w="0" w:type="dxa"/>
          <w:left w:w="0" w:type="dxa"/>
          <w:bottom w:w="0" w:type="dxa"/>
          <w:right w:w="0" w:type="dxa"/>
        </w:tblCellMar>
      </w:tblPr>
      <w:tr>
        <w:trPr>
          <w:trHeight w:val="238"/>
        </w:trPr>
        <w:tc>
          <w:tcPr>
            <w:tcW w:w="544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236"/>
        </w:trPr>
        <w:tc>
          <w:tcPr>
            <w:tcW w:w="2360" w:type="dxa"/>
            <w:vAlign w:val="bottom"/>
          </w:tcPr>
          <w:p>
            <w:pPr>
              <w:spacing w:after="0"/>
              <w:rPr>
                <w:sz w:val="20"/>
                <w:szCs w:val="20"/>
                <w:color w:val="auto"/>
              </w:rPr>
            </w:pPr>
          </w:p>
        </w:tc>
        <w:tc>
          <w:tcPr>
            <w:tcW w:w="3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Commission File Number: 001-38410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2"/>
        </w:trPr>
        <w:tc>
          <w:tcPr>
            <w:tcW w:w="5440" w:type="dxa"/>
            <w:vAlign w:val="bottom"/>
            <w:gridSpan w:val="3"/>
          </w:tcPr>
          <w:p>
            <w:pPr>
              <w:jc w:val="center"/>
              <w:ind w:left="1781"/>
              <w:spacing w:after="0"/>
              <w:rPr>
                <w:sz w:val="20"/>
                <w:szCs w:val="20"/>
                <w:color w:val="auto"/>
              </w:rPr>
            </w:pPr>
            <w:r>
              <w:rPr>
                <w:rFonts w:ascii="Times New Roman" w:cs="Times New Roman" w:eastAsia="Times New Roman" w:hAnsi="Times New Roman"/>
                <w:sz w:val="25"/>
                <w:szCs w:val="25"/>
                <w:b w:val="1"/>
                <w:bCs w:val="1"/>
                <w:color w:val="auto"/>
              </w:rPr>
              <w:t>BioXcel Therapeutics,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left="1781"/>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36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5440" w:type="dxa"/>
            <w:vAlign w:val="bottom"/>
            <w:gridSpan w:val="3"/>
          </w:tcPr>
          <w:p>
            <w:pPr>
              <w:jc w:val="center"/>
              <w:ind w:right="31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6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82-1386754</w:t>
            </w:r>
          </w:p>
        </w:tc>
        <w:tc>
          <w:tcPr>
            <w:tcW w:w="0" w:type="dxa"/>
            <w:vAlign w:val="bottom"/>
          </w:tcPr>
          <w:p>
            <w:pPr>
              <w:spacing w:after="0"/>
              <w:rPr>
                <w:sz w:val="1"/>
                <w:szCs w:val="1"/>
                <w:color w:val="auto"/>
              </w:rPr>
            </w:pPr>
          </w:p>
        </w:tc>
      </w:tr>
      <w:tr>
        <w:trPr>
          <w:trHeight w:val="148"/>
        </w:trPr>
        <w:tc>
          <w:tcPr>
            <w:tcW w:w="5440" w:type="dxa"/>
            <w:vAlign w:val="bottom"/>
            <w:gridSpan w:val="3"/>
          </w:tcPr>
          <w:p>
            <w:pPr>
              <w:jc w:val="center"/>
              <w:ind w:right="3140"/>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360" w:type="dxa"/>
            <w:vAlign w:val="bottom"/>
          </w:tcPr>
          <w:p>
            <w:pPr>
              <w:jc w:val="center"/>
              <w:ind w:left="185"/>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544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360" w:type="dxa"/>
            <w:vAlign w:val="bottom"/>
          </w:tcPr>
          <w:p>
            <w:pPr>
              <w:jc w:val="center"/>
              <w:ind w:left="205"/>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01"/>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b w:val="1"/>
                <w:bCs w:val="1"/>
                <w:color w:val="auto"/>
              </w:rPr>
              <w:t>555 Long Wharf Drive</w:t>
            </w:r>
          </w:p>
        </w:tc>
        <w:tc>
          <w:tcPr>
            <w:tcW w:w="1360" w:type="dxa"/>
            <w:vAlign w:val="bottom"/>
            <w:vMerge w:val="restart"/>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06511</w:t>
            </w:r>
          </w:p>
        </w:tc>
        <w:tc>
          <w:tcPr>
            <w:tcW w:w="0" w:type="dxa"/>
            <w:vAlign w:val="bottom"/>
          </w:tcPr>
          <w:p>
            <w:pPr>
              <w:spacing w:after="0"/>
              <w:rPr>
                <w:sz w:val="1"/>
                <w:szCs w:val="1"/>
                <w:color w:val="auto"/>
              </w:rPr>
            </w:pPr>
          </w:p>
        </w:tc>
      </w:tr>
      <w:tr>
        <w:trPr>
          <w:trHeight w:val="151"/>
        </w:trPr>
        <w:tc>
          <w:tcPr>
            <w:tcW w:w="5440" w:type="dxa"/>
            <w:vAlign w:val="bottom"/>
            <w:gridSpan w:val="3"/>
          </w:tcPr>
          <w:p>
            <w:pPr>
              <w:jc w:val="center"/>
              <w:ind w:right="3140"/>
              <w:spacing w:after="0" w:line="151" w:lineRule="exact"/>
              <w:rPr>
                <w:sz w:val="20"/>
                <w:szCs w:val="20"/>
                <w:color w:val="auto"/>
              </w:rPr>
            </w:pPr>
            <w:r>
              <w:rPr>
                <w:rFonts w:ascii="Times New Roman" w:cs="Times New Roman" w:eastAsia="Times New Roman" w:hAnsi="Times New Roman"/>
                <w:sz w:val="14"/>
                <w:szCs w:val="14"/>
                <w:b w:val="1"/>
                <w:bCs w:val="1"/>
                <w:color w:val="auto"/>
              </w:rPr>
              <w:t>New Haven, CT</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right="31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60" w:type="dxa"/>
            <w:vAlign w:val="bottom"/>
          </w:tcPr>
          <w:p>
            <w:pPr>
              <w:jc w:val="center"/>
              <w:ind w:left="205"/>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03"/>
        </w:trPr>
        <w:tc>
          <w:tcPr>
            <w:tcW w:w="4920" w:type="dxa"/>
            <w:vAlign w:val="bottom"/>
            <w:gridSpan w:val="2"/>
          </w:tcPr>
          <w:p>
            <w:pPr>
              <w:jc w:val="center"/>
              <w:ind w:left="2301"/>
              <w:spacing w:after="0"/>
              <w:rPr>
                <w:sz w:val="20"/>
                <w:szCs w:val="20"/>
                <w:color w:val="auto"/>
              </w:rPr>
            </w:pPr>
            <w:r>
              <w:rPr>
                <w:rFonts w:ascii="Times New Roman" w:cs="Times New Roman" w:eastAsia="Times New Roman" w:hAnsi="Times New Roman"/>
                <w:sz w:val="14"/>
                <w:szCs w:val="14"/>
                <w:b w:val="1"/>
                <w:bCs w:val="1"/>
                <w:color w:val="auto"/>
              </w:rPr>
              <w:t>(475) 238-6837</w:t>
            </w: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440" w:type="dxa"/>
            <w:vAlign w:val="bottom"/>
            <w:gridSpan w:val="3"/>
          </w:tcPr>
          <w:p>
            <w:pPr>
              <w:jc w:val="center"/>
              <w:ind w:left="176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125095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ectPr>
          <w:pgSz w:w="11900" w:h="16838" w:orient="portrait"/>
          <w:cols w:equalWidth="0" w:num="1">
            <w:col w:w="10140"/>
          </w:cols>
          <w:pgMar w:left="840" w:top="661" w:right="919" w:bottom="1440" w:gutter="0" w:footer="0" w:header="0"/>
        </w:sectPr>
      </w:pPr>
    </w:p>
    <w:p>
      <w:pPr>
        <w:spacing w:after="0" w:line="10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6"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Common Stock,</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BTAI</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6"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color w:val="auto"/>
        </w:rPr>
        <w:t>Nasdaq Capital Market</w:t>
      </w:r>
    </w:p>
    <w:p>
      <w:pPr>
        <w:spacing w:after="0" w:line="1" w:lineRule="exact"/>
        <w:rPr>
          <w:sz w:val="24"/>
          <w:szCs w:val="24"/>
          <w:color w:val="auto"/>
        </w:rPr>
      </w:pPr>
    </w:p>
    <w:p>
      <w:pPr>
        <w:sectPr>
          <w:pgSz w:w="11900" w:h="16838" w:orient="portrait"/>
          <w:cols w:equalWidth="0" w:num="3">
            <w:col w:w="3520" w:space="720"/>
            <w:col w:w="1920" w:space="720"/>
            <w:col w:w="3260"/>
          </w:cols>
          <w:pgMar w:left="840" w:top="661" w:right="919" w:bottom="1440" w:gutter="0" w:footer="0" w:header="0"/>
          <w:type w:val="continuous"/>
        </w:sectPr>
      </w:pPr>
    </w:p>
    <w:p>
      <w:pPr>
        <w:ind w:left="940"/>
        <w:spacing w:after="0" w:line="238" w:lineRule="auto"/>
        <w:rPr>
          <w:sz w:val="20"/>
          <w:szCs w:val="20"/>
          <w:color w:val="auto"/>
        </w:rPr>
      </w:pPr>
      <w:r>
        <w:rPr>
          <w:rFonts w:ascii="Times New Roman" w:cs="Times New Roman" w:eastAsia="Times New Roman" w:hAnsi="Times New Roman"/>
          <w:sz w:val="14"/>
          <w:szCs w:val="14"/>
          <w:color w:val="auto"/>
        </w:rPr>
        <w:t>$0.001 par value per share</w:t>
      </w:r>
    </w:p>
    <w:p>
      <w:pPr>
        <w:sectPr>
          <w:pgSz w:w="11900" w:h="16838" w:orient="portrait"/>
          <w:cols w:equalWidth="0" w:num="1">
            <w:col w:w="10140"/>
          </w:cols>
          <w:pgMar w:left="840" w:top="661" w:right="919" w:bottom="1440" w:gutter="0" w:footer="0" w:header="0"/>
          <w:type w:val="continuous"/>
        </w:sectPr>
      </w:pPr>
    </w:p>
    <w:p>
      <w:pPr>
        <w:spacing w:after="0" w:line="176"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ind w:right="3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1" w:right="919" w:bottom="1440" w:gutter="0" w:footer="0" w:header="0"/>
          <w:type w:val="continuous"/>
        </w:sectPr>
      </w:pPr>
    </w:p>
    <w:p>
      <w:pPr>
        <w:spacing w:after="0" w:line="37" w:lineRule="exact"/>
        <w:rPr>
          <w:sz w:val="24"/>
          <w:szCs w:val="24"/>
          <w:color w:val="auto"/>
        </w:rPr>
      </w:pPr>
    </w:p>
    <w:p>
      <w:pPr>
        <w:ind w:left="1820"/>
        <w:spacing w:after="0" w:line="188"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82" w:lineRule="exact"/>
        <w:rPr>
          <w:sz w:val="24"/>
          <w:szCs w:val="24"/>
          <w:color w:val="auto"/>
        </w:rPr>
      </w:pPr>
    </w:p>
    <w:p>
      <w:pPr>
        <w:sectPr>
          <w:pgSz w:w="11900" w:h="16838" w:orient="portrait"/>
          <w:cols w:equalWidth="0" w:num="2">
            <w:col w:w="6380" w:space="720"/>
            <w:col w:w="3040"/>
          </w:cols>
          <w:pgMar w:left="840" w:top="661" w:right="919" w:bottom="1440" w:gutter="0" w:footer="0" w:header="0"/>
          <w:type w:val="continuous"/>
        </w:sectPr>
      </w:pPr>
    </w:p>
    <w:p>
      <w:pPr>
        <w:ind w:left="1860"/>
        <w:spacing w:after="0" w:line="188"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p>
      <w:pPr>
        <w:spacing w:after="0" w:line="136" w:lineRule="exact"/>
        <w:rPr>
          <w:sz w:val="24"/>
          <w:szCs w:val="24"/>
          <w:color w:val="auto"/>
        </w:rPr>
      </w:pPr>
    </w:p>
    <w:p>
      <w:pPr>
        <w:sectPr>
          <w:pgSz w:w="11900" w:h="16838" w:orient="portrait"/>
          <w:cols w:equalWidth="0" w:num="2">
            <w:col w:w="6080" w:space="720"/>
            <w:col w:w="3340"/>
          </w:cols>
          <w:pgMar w:left="840" w:top="661" w:right="919" w:bottom="1440" w:gutter="0" w:footer="0" w:header="0"/>
          <w:type w:val="continuous"/>
        </w:sectPr>
      </w:pPr>
    </w:p>
    <w:p>
      <w:pPr>
        <w:ind w:left="6800"/>
        <w:spacing w:after="0" w:line="18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ectPr>
          <w:pgSz w:w="11900" w:h="16838" w:orient="portrait"/>
          <w:cols w:equalWidth="0" w:num="1">
            <w:col w:w="10140"/>
          </w:cols>
          <w:pgMar w:left="840" w:top="661" w:right="919" w:bottom="1440" w:gutter="0" w:footer="0" w:header="0"/>
          <w:type w:val="continuous"/>
        </w:sectPr>
      </w:pPr>
    </w:p>
    <w:p>
      <w:pPr>
        <w:spacing w:after="0" w:line="222" w:lineRule="exact"/>
        <w:rPr>
          <w:sz w:val="24"/>
          <w:szCs w:val="24"/>
          <w:color w:val="auto"/>
        </w:rPr>
      </w:pPr>
    </w:p>
    <w:p>
      <w:pPr>
        <w:ind w:right="1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$0.001 par value per share, outstanding at August 11, 2025 was 14,556,743.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503555</wp:posOffset>
            </wp:positionV>
            <wp:extent cx="64979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66675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100965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gridSpan w:val="9"/>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11"/>
            <w:vMerge w:val="restart"/>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160" w:type="dxa"/>
            <w:vAlign w:val="bottom"/>
            <w:gridSpan w:val="11"/>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Forward Looking Statements</w:t>
            </w:r>
          </w:p>
        </w:tc>
        <w:tc>
          <w:tcPr>
            <w:tcW w:w="5160" w:type="dxa"/>
            <w:vAlign w:val="bottom"/>
            <w:gridSpan w:val="11"/>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Summary Risk Factors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as of June 30, 2025 and December 31, 2024</w:t>
            </w:r>
          </w:p>
        </w:tc>
        <w:tc>
          <w:tcPr>
            <w:tcW w:w="112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six months ended June 30, 2025</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1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and 2024</w:t>
            </w:r>
          </w:p>
        </w:tc>
        <w:tc>
          <w:tcPr>
            <w:tcW w:w="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(Deficit) Equity for the three and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0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six months ended June 30, 2025 and 2024</w:t>
            </w:r>
          </w:p>
        </w:tc>
        <w:tc>
          <w:tcPr>
            <w:tcW w:w="14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2025 and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920" w:type="dxa"/>
            <w:vAlign w:val="bottom"/>
            <w:tcBorders>
              <w:left w:val="single" w:sz="8" w:color="0000EE"/>
            </w:tcBorders>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453"/>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160" w:type="dxa"/>
            <w:vAlign w:val="bottom"/>
            <w:gridSpan w:val="11"/>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tcPr>
          <w:p>
            <w:pPr>
              <w:spacing w:after="0"/>
              <w:rPr>
                <w:sz w:val="17"/>
                <w:szCs w:val="17"/>
                <w:color w:val="auto"/>
              </w:rPr>
            </w:pP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494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500" w:type="dxa"/>
            <w:vAlign w:val="bottom"/>
            <w:gridSpan w:val="1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960" w:type="dxa"/>
            <w:vAlign w:val="bottom"/>
            <w:gridSpan w:val="1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7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660" w:type="dxa"/>
            <w:vAlign w:val="bottom"/>
            <w:gridSpan w:val="1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7220" w:type="dxa"/>
            <w:vAlign w:val="bottom"/>
            <w:gridSpan w:val="2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left="60" w:right="199" w:firstLine="324"/>
        <w:spacing w:after="0" w:line="23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 words “anticipate,” “believe,” “can,” “continue,” “could,” “designed,” “estimate,” “expect,” “forecast,” “goal,” “intend,” “may,” “might,” “plan,” “possible,” “potential,” “predict,” “project,” “should,” “target,” “will,” “would” and similar expressions are intended to identify forward-looking statements, though not all forward-looking statements use these words or expressions. All statements contained in this Quarterly Report on Form 10-Q, other than statements of historical fact, are forward-looking statements, including, without limitation, statements regarding:</w:t>
      </w:r>
    </w:p>
    <w:p>
      <w:pPr>
        <w:spacing w:after="0" w:line="5"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strategy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relating to, anticipated benefits from, and cost savings from our Reprioritization (as defined herein);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continue as a going concern;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TRANQUILITY program;</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total addressable markets and related underlying estimates;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clinical trials and marketing applications for our product candidates;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current and future product candidates;</w:t>
      </w:r>
    </w:p>
    <w:p>
      <w:pPr>
        <w:ind w:left="720" w:right="59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seek to enter into collaborations for the development and commercialization of certain product candidates;</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future collaboration;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results of discussions we have with regulators;</w:t>
      </w:r>
    </w:p>
    <w:p>
      <w:pPr>
        <w:ind w:left="720" w:right="159" w:hanging="319"/>
        <w:spacing w:after="0" w:line="18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clinical utility, number of prescribers and formulary wins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product candidates for which we receive marketing approval;</w:t>
      </w:r>
    </w:p>
    <w:p>
      <w:pPr>
        <w:spacing w:after="0" w:line="1" w:lineRule="exact"/>
        <w:rPr>
          <w:rFonts w:ascii="Times New Roman" w:cs="Times New Roman" w:eastAsia="Times New Roman" w:hAnsi="Times New Roman"/>
          <w:sz w:val="18"/>
          <w:szCs w:val="18"/>
          <w:color w:val="auto"/>
        </w:rPr>
      </w:pPr>
    </w:p>
    <w:p>
      <w:pPr>
        <w:ind w:left="720" w:right="35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 including the potential benefits from any advertising campaigns;</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and any potential benefits from, events, conferences, presentations and conventions;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 for additional financing;</w:t>
      </w:r>
    </w:p>
    <w:p>
      <w:pPr>
        <w:ind w:left="720" w:right="103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investments in, or other strategic options for, our subsidiary, OnkosXcel Therapeutics, LLC (“OnkosXcel”);</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covenants under our financing arrangements;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legal proceedings and investigations; and</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BioXcel LLC.</w:t>
      </w:r>
    </w:p>
    <w:p>
      <w:pPr>
        <w:spacing w:after="0" w:line="84" w:lineRule="exact"/>
        <w:rPr>
          <w:sz w:val="20"/>
          <w:szCs w:val="20"/>
          <w:color w:val="auto"/>
        </w:rPr>
      </w:pPr>
    </w:p>
    <w:p>
      <w:pPr>
        <w:ind w:left="60" w:right="199" w:firstLine="324"/>
        <w:spacing w:after="0" w:line="232"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listed under “Summary Risk Factors,” Part II, Item 1A. “Risk Factors,” and Part I, Item 2. “Management’s Discussion and Analysis of Financial Condition and Results of Operations” and elsewhere in this Quarterly Report on Form 10-Q. These and other important factors discussed under the caption “Risk Factors” in our other filings with the Securities and Exchange Commission (“SEC”) could cause actual results to differ materially from those indicated by the forward-looking statements made in this filing. Given these uncertainties, you should not rely on these forward-looking statements as predictions of future events. While we may elect to update forward-looking statements at some point in the future, we disclaim any obligation to do so, even if subsequent events cause our views to change.</w:t>
      </w:r>
    </w:p>
    <w:p>
      <w:pPr>
        <w:spacing w:after="0" w:line="81" w:lineRule="exact"/>
        <w:rPr>
          <w:sz w:val="20"/>
          <w:szCs w:val="20"/>
          <w:color w:val="auto"/>
        </w:rPr>
      </w:pPr>
    </w:p>
    <w:p>
      <w:pPr>
        <w:ind w:left="60" w:right="299" w:firstLine="324"/>
        <w:spacing w:after="0" w:line="264" w:lineRule="auto"/>
        <w:rPr>
          <w:sz w:val="20"/>
          <w:szCs w:val="20"/>
          <w:color w:val="auto"/>
        </w:rPr>
      </w:pPr>
      <w:r>
        <w:rPr>
          <w:rFonts w:ascii="Times New Roman" w:cs="Times New Roman" w:eastAsia="Times New Roman" w:hAnsi="Times New Roman"/>
          <w:sz w:val="17"/>
          <w:szCs w:val="17"/>
          <w:color w:val="auto"/>
        </w:rPr>
        <w:t>As used in this Quarterly Report on Form 10-Q, unless otherwise specified or the context otherwise requires, the terms “we,” “our,” “us,” the “Company” or “BTI” refer to BioXcel Therapeutics, Inc. and “BioXcel LLC” refers to the Company’s former parent company and significant stockholder, BioXcel LLC and its predecessor, BioXcel Corporation.</w:t>
      </w: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179" w:firstLine="324"/>
        <w:spacing w:after="0" w:line="250" w:lineRule="auto"/>
        <w:rPr>
          <w:sz w:val="20"/>
          <w:szCs w:val="20"/>
          <w:color w:val="auto"/>
        </w:rPr>
      </w:pPr>
      <w:r>
        <w:rPr>
          <w:rFonts w:ascii="Times New Roman" w:cs="Times New Roman" w:eastAsia="Times New Roman" w:hAnsi="Times New Roman"/>
          <w:sz w:val="17"/>
          <w:szCs w:val="17"/>
          <w:color w:val="auto"/>
        </w:rPr>
        <w:t xml:space="preserve">We may use our website as a distribution channel for material information about the Company. Financial and other important information regarding the Company is routinely posted on and accessible through the Investors &amp; Media section of its website at </w:t>
      </w:r>
      <w:r>
        <w:rPr>
          <w:rFonts w:ascii="Times New Roman" w:cs="Times New Roman" w:eastAsia="Times New Roman" w:hAnsi="Times New Roman"/>
          <w:sz w:val="17"/>
          <w:szCs w:val="17"/>
          <w:i w:val="1"/>
          <w:iCs w:val="1"/>
          <w:color w:val="auto"/>
        </w:rPr>
        <w:t>www.bioxceltherapeutics.com</w:t>
      </w:r>
      <w:r>
        <w:rPr>
          <w:rFonts w:ascii="Times New Roman" w:cs="Times New Roman" w:eastAsia="Times New Roman" w:hAnsi="Times New Roman"/>
          <w:sz w:val="17"/>
          <w:szCs w:val="17"/>
          <w:color w:val="auto"/>
        </w:rPr>
        <w:t>. In addition, you may automatically receive email alerts and other information about the Company when you enroll your email address by visiting the “Email Alerts” option under the News</w:t>
      </w:r>
    </w:p>
    <w:p>
      <w:pPr>
        <w:spacing w:after="0" w:line="2" w:lineRule="exact"/>
        <w:rPr>
          <w:sz w:val="20"/>
          <w:szCs w:val="20"/>
          <w:color w:val="auto"/>
        </w:rPr>
      </w:pPr>
    </w:p>
    <w:p>
      <w:pPr>
        <w:ind w:left="60" w:right="399" w:hanging="10"/>
        <w:spacing w:after="0" w:line="234" w:lineRule="auto"/>
        <w:tabs>
          <w:tab w:leader="none" w:pos="1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Events menu of the Investors &amp; Media section of our website at </w:t>
      </w:r>
      <w:r>
        <w:rPr>
          <w:rFonts w:ascii="Times New Roman" w:cs="Times New Roman" w:eastAsia="Times New Roman" w:hAnsi="Times New Roman"/>
          <w:sz w:val="18"/>
          <w:szCs w:val="18"/>
          <w:i w:val="1"/>
          <w:iCs w:val="1"/>
          <w:color w:val="auto"/>
        </w:rPr>
        <w:t>www.bioxceltherapeutics.com</w:t>
      </w:r>
      <w:r>
        <w:rPr>
          <w:rFonts w:ascii="Times New Roman" w:cs="Times New Roman" w:eastAsia="Times New Roman" w:hAnsi="Times New Roman"/>
          <w:sz w:val="18"/>
          <w:szCs w:val="18"/>
          <w:color w:val="auto"/>
        </w:rPr>
        <w:t>. The information contained in, or accessible through, our website does not constitute part quarterly of this report and the inclusion of our website address in this quarterly report is an inactive textual reference only.</w:t>
      </w:r>
    </w:p>
    <w:p>
      <w:pPr>
        <w:spacing w:after="0" w:line="35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ind w:left="60" w:right="599" w:firstLine="324"/>
        <w:spacing w:after="0" w:line="289"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the following:</w:t>
      </w:r>
    </w:p>
    <w:p>
      <w:pPr>
        <w:spacing w:after="0" w:line="117" w:lineRule="exact"/>
        <w:rPr>
          <w:sz w:val="20"/>
          <w:szCs w:val="20"/>
          <w:color w:val="auto"/>
        </w:rPr>
      </w:pPr>
    </w:p>
    <w:p>
      <w:pPr>
        <w:ind w:left="720" w:right="49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not generated substantial product revenues to date, which may make it difficult to evaluate the success of our business to date and to assess our future viability.</w:t>
      </w:r>
    </w:p>
    <w:p>
      <w:pPr>
        <w:spacing w:after="0" w:line="134" w:lineRule="exact"/>
        <w:rPr>
          <w:rFonts w:ascii="Times New Roman" w:cs="Times New Roman" w:eastAsia="Times New Roman" w:hAnsi="Times New Roman"/>
          <w:sz w:val="18"/>
          <w:szCs w:val="18"/>
          <w:color w:val="auto"/>
        </w:rPr>
      </w:pPr>
    </w:p>
    <w:p>
      <w:pPr>
        <w:ind w:left="720" w:right="679" w:hanging="319"/>
        <w:spacing w:after="0" w:line="312" w:lineRule="auto"/>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operating losses since inception and anticipate that we will continue to incur substantial operating losses for the foreseeable future and may never achieve or maintain profitability.</w:t>
      </w:r>
    </w:p>
    <w:p>
      <w:pPr>
        <w:spacing w:after="0" w:line="99" w:lineRule="exact"/>
        <w:rPr>
          <w:rFonts w:ascii="Times New Roman" w:cs="Times New Roman" w:eastAsia="Times New Roman" w:hAnsi="Times New Roman"/>
          <w:sz w:val="17"/>
          <w:szCs w:val="17"/>
          <w:color w:val="auto"/>
        </w:rPr>
      </w:pPr>
    </w:p>
    <w:p>
      <w:pPr>
        <w:ind w:left="720" w:right="13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delisted from The Nasdaq Capital Market, which could seriously harm the liquidity of our stock and our ability to raise capital or complete a strategic transaction.</w:t>
      </w:r>
    </w:p>
    <w:p>
      <w:pPr>
        <w:spacing w:after="0" w:line="121" w:lineRule="exact"/>
        <w:rPr>
          <w:rFonts w:ascii="Times New Roman" w:cs="Times New Roman" w:eastAsia="Times New Roman" w:hAnsi="Times New Roman"/>
          <w:sz w:val="18"/>
          <w:szCs w:val="18"/>
          <w:color w:val="auto"/>
        </w:rPr>
      </w:pPr>
    </w:p>
    <w:p>
      <w:pPr>
        <w:ind w:left="720" w:right="13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and if we are unable to raise capital when needed, we could be forced to delay, reduce or eliminate our product development programs or commercialization efforts or otherwise seek strategic alternatives. In addition, the failure to raise additional financing in accordance with the minimum capital raising requirements of our Credit Agreement (as defined herein) would trigger an event of default thereunder.</w:t>
      </w:r>
    </w:p>
    <w:p>
      <w:pPr>
        <w:spacing w:after="0" w:line="156" w:lineRule="exact"/>
        <w:rPr>
          <w:rFonts w:ascii="Times New Roman" w:cs="Times New Roman" w:eastAsia="Times New Roman" w:hAnsi="Times New Roman"/>
          <w:sz w:val="18"/>
          <w:szCs w:val="18"/>
          <w:color w:val="auto"/>
        </w:rPr>
      </w:pPr>
    </w:p>
    <w:p>
      <w:pPr>
        <w:ind w:left="720" w:right="3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Credit Agreement.</w:t>
      </w:r>
    </w:p>
    <w:p>
      <w:pPr>
        <w:spacing w:after="0" w:line="135"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conditions and events that raise substantial doubt about our ability to continue as a going concern.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reprioritization and other workforce reductions in force may not achieve our intended outcome.</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drug discovery and drug development.</w:t>
      </w:r>
    </w:p>
    <w:p>
      <w:pPr>
        <w:spacing w:after="0" w:line="184" w:lineRule="exact"/>
        <w:rPr>
          <w:rFonts w:ascii="Times New Roman" w:cs="Times New Roman" w:eastAsia="Times New Roman" w:hAnsi="Times New Roman"/>
          <w:sz w:val="18"/>
          <w:szCs w:val="18"/>
          <w:color w:val="auto"/>
        </w:rPr>
      </w:pPr>
    </w:p>
    <w:p>
      <w:pPr>
        <w:jc w:val="both"/>
        <w:ind w:left="720" w:right="2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p>
    <w:p>
      <w:pPr>
        <w:spacing w:after="0" w:line="135"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clinical data supporting potential safety or efficacy of BXCL501 for use in the at-home setting in the acute treatment of agitation in patients with dementia due to probable Alzheimer’s disease.</w:t>
      </w:r>
    </w:p>
    <w:p>
      <w:pPr>
        <w:spacing w:after="0" w:line="126" w:lineRule="exact"/>
        <w:rPr>
          <w:rFonts w:ascii="Times New Roman" w:cs="Times New Roman" w:eastAsia="Times New Roman" w:hAnsi="Times New Roman"/>
          <w:sz w:val="18"/>
          <w:szCs w:val="18"/>
          <w:color w:val="auto"/>
        </w:rPr>
      </w:pPr>
    </w:p>
    <w:p>
      <w:pPr>
        <w:ind w:left="720" w:right="279" w:hanging="319"/>
        <w:spacing w:after="0" w:line="217"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near term, we are dependent on the success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four of our product candidates, BXCL501, BXCL502, BXCL701 and BXCL702. If we are unable to complete the clinical development of or obtain marketing approval for our product candidates or successfully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our other product candidates, either alone or with a collaborator, or if we experience significant delays in doing so, our business could be substantially harmed.</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48" w:lineRule="exact"/>
        <w:rPr>
          <w:rFonts w:ascii="Times New Roman" w:cs="Times New Roman" w:eastAsia="Times New Roman" w:hAnsi="Times New Roman"/>
          <w:sz w:val="18"/>
          <w:szCs w:val="18"/>
          <w:color w:val="auto"/>
        </w:rPr>
      </w:pPr>
    </w:p>
    <w:p>
      <w:pPr>
        <w:ind w:left="720" w:right="59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Food and Drug Administration (“FDA”), and comparable foreign authorities are lengthy, expensive and inherently unpredictable, and if we are ultimately unable to obtain regulatory approval for our product candidates, our business will be substantially harmed.</w:t>
      </w:r>
    </w:p>
    <w:p>
      <w:pPr>
        <w:spacing w:after="0" w:line="135"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expensive, time-consuming, difficult to design, difficult to conduct and involve an uncertain outcome.</w:t>
      </w:r>
    </w:p>
    <w:p>
      <w:pPr>
        <w:spacing w:after="0" w:line="121" w:lineRule="exact"/>
        <w:rPr>
          <w:rFonts w:ascii="Times New Roman" w:cs="Times New Roman" w:eastAsia="Times New Roman" w:hAnsi="Times New Roman"/>
          <w:sz w:val="18"/>
          <w:szCs w:val="18"/>
          <w:color w:val="auto"/>
        </w:rPr>
      </w:pPr>
    </w:p>
    <w:p>
      <w:pPr>
        <w:jc w:val="both"/>
        <w:ind w:left="720" w:right="15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enrollment and evaluation of patients in our clinical trials to continue development of our product candidates. If we are unable to enroll patients in our clinical trials, our research and development efforts could be adversely affected.</w:t>
      </w:r>
    </w:p>
    <w:p>
      <w:pPr>
        <w:spacing w:after="0" w:line="148" w:lineRule="exact"/>
        <w:rPr>
          <w:rFonts w:ascii="Times New Roman" w:cs="Times New Roman" w:eastAsia="Times New Roman" w:hAnsi="Times New Roman"/>
          <w:sz w:val="18"/>
          <w:szCs w:val="18"/>
          <w:color w:val="auto"/>
        </w:rPr>
      </w:pPr>
    </w:p>
    <w:p>
      <w:pPr>
        <w:ind w:left="720" w:right="35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35" w:lineRule="exact"/>
        <w:rPr>
          <w:rFonts w:ascii="Times New Roman" w:cs="Times New Roman" w:eastAsia="Times New Roman" w:hAnsi="Times New Roman"/>
          <w:sz w:val="18"/>
          <w:szCs w:val="18"/>
          <w:color w:val="auto"/>
        </w:rPr>
      </w:pPr>
    </w:p>
    <w:p>
      <w:pPr>
        <w:ind w:left="720" w:right="35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and development of product candidates based on EvolverAI, BioXcel LLC’s proprietary pharmaceutical discovery and development engine, and our AI platform is novel and unproven, and we do not know whether we will be able to develop any products of commercial value.</w:t>
      </w:r>
    </w:p>
    <w:p>
      <w:pPr>
        <w:spacing w:after="0" w:line="127" w:lineRule="exact"/>
        <w:rPr>
          <w:rFonts w:ascii="Times New Roman" w:cs="Times New Roman" w:eastAsia="Times New Roman" w:hAnsi="Times New Roman"/>
          <w:sz w:val="18"/>
          <w:szCs w:val="18"/>
          <w:color w:val="auto"/>
        </w:rPr>
      </w:pPr>
    </w:p>
    <w:p>
      <w:pPr>
        <w:ind w:left="720" w:right="219" w:hanging="319"/>
        <w:spacing w:after="0" w:line="23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FDA has approved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 acute treatment of agitation associated with schizophrenia or bipolar I or II disorder, we will still face extensive and ongoing regulatory requirements and obligations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for any product candidates for which we obtain approval.</w:t>
      </w:r>
    </w:p>
    <w:p>
      <w:pPr>
        <w:spacing w:after="0" w:line="60"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found in violation of federal, state or foreign health care “fraud and abuse” laws, we may be required to pay significant fines and penalties, including, without limitation, debarment, suspension or exclusion from participation in federal, state or similar health care programs, which may adversely affect our business, financial condition and results of operations.</w:t>
      </w:r>
    </w:p>
    <w:p>
      <w:pPr>
        <w:spacing w:after="0" w:line="13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depend on BioXcel LLC to provide us with certain services for our business.</w:t>
      </w:r>
    </w:p>
    <w:p>
      <w:pPr>
        <w:spacing w:after="0" w:line="184" w:lineRule="exact"/>
        <w:rPr>
          <w:rFonts w:ascii="Times New Roman" w:cs="Times New Roman" w:eastAsia="Times New Roman" w:hAnsi="Times New Roman"/>
          <w:sz w:val="18"/>
          <w:szCs w:val="18"/>
          <w:color w:val="auto"/>
        </w:rPr>
      </w:pPr>
    </w:p>
    <w:p>
      <w:pPr>
        <w:ind w:left="720" w:right="159" w:hanging="319"/>
        <w:spacing w:after="0" w:line="23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third parties for the manufacture of our clinical supplies of our product candidates and our commercial supplies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we intend to rely on third parties to produce commercial supplies of any other approved product candidate. Therefore, our development of our products could be stopped or delayed, and our commercialization of any future product could be stopped, delayed or made less profitable if third-party manufacturers fail to obtain approval of the FDA or comparable regulatory authorities or fail to provide us with drug product in sufficient quantities or at acceptable prices.</w:t>
      </w:r>
    </w:p>
    <w:p>
      <w:pPr>
        <w:spacing w:after="0" w:line="173" w:lineRule="exact"/>
        <w:rPr>
          <w:rFonts w:ascii="Times New Roman" w:cs="Times New Roman" w:eastAsia="Times New Roman" w:hAnsi="Times New Roman"/>
          <w:sz w:val="18"/>
          <w:szCs w:val="18"/>
          <w:color w:val="auto"/>
        </w:rPr>
      </w:pPr>
    </w:p>
    <w:p>
      <w:pPr>
        <w:ind w:left="720" w:right="159" w:hanging="319"/>
        <w:spacing w:after="0" w:line="289" w:lineRule="auto"/>
        <w:tabs>
          <w:tab w:leader="none" w:pos="7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17" w:lineRule="exact"/>
        <w:rPr>
          <w:rFonts w:ascii="Times New Roman" w:cs="Times New Roman" w:eastAsia="Times New Roman" w:hAnsi="Times New Roman"/>
          <w:sz w:val="17"/>
          <w:szCs w:val="17"/>
          <w:color w:val="auto"/>
        </w:rPr>
      </w:pPr>
    </w:p>
    <w:p>
      <w:pPr>
        <w:ind w:left="720" w:right="43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political or economic events and conditions could adversely affect our business, financial condition or results of operations.</w:t>
      </w:r>
    </w:p>
    <w:p>
      <w:pPr>
        <w:spacing w:after="0" w:line="121" w:lineRule="exact"/>
        <w:rPr>
          <w:rFonts w:ascii="Times New Roman" w:cs="Times New Roman" w:eastAsia="Times New Roman" w:hAnsi="Times New Roman"/>
          <w:sz w:val="18"/>
          <w:szCs w:val="18"/>
          <w:color w:val="auto"/>
        </w:rPr>
      </w:pPr>
    </w:p>
    <w:p>
      <w:pPr>
        <w:ind w:left="720" w:right="19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breaches or cyber-attacks could disrupt our business operations and information technology systems or those of third parties on which we rely, adversely impact our financial results, or result in the loss or exposure of confidential or sensitive product candidate, clinical trial, employee, or Company information.</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9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48"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of and evolving expectations for environmental, social and governance (“ESG”) initiatives may impose additional costs or otherwise adversely impact our business.</w:t>
      </w:r>
    </w:p>
    <w:p>
      <w:pPr>
        <w:spacing w:after="0" w:line="121"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35"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p>
      <w:pPr>
        <w:spacing w:after="0" w:line="17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02" w:lineRule="exact"/>
        <w:rPr>
          <w:sz w:val="20"/>
          <w:szCs w:val="20"/>
          <w:color w:val="auto"/>
        </w:rPr>
      </w:pPr>
    </w:p>
    <w:p>
      <w:pPr>
        <w:ind w:left="60" w:right="159" w:firstLine="324"/>
        <w:spacing w:after="0" w:line="216" w:lineRule="auto"/>
        <w:rPr>
          <w:sz w:val="20"/>
          <w:szCs w:val="20"/>
          <w:color w:val="auto"/>
        </w:rPr>
      </w:pPr>
      <w:r>
        <w:rPr>
          <w:rFonts w:ascii="Times New Roman" w:cs="Times New Roman" w:eastAsia="Times New Roman" w:hAnsi="Times New Roman"/>
          <w:sz w:val="18"/>
          <w:szCs w:val="18"/>
          <w:color w:val="auto"/>
        </w:rPr>
        <w:t>This Quarterly Report includes our trademarks, trade names and service marks, including, without limitation,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logo, which are our property and are protected under applicable intellectual property laws. Solely for convenience, trademarks, trade names and service marks may appear in this Quarterly Report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6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INDUSTRY AND OTHER DATA</w:t>
      </w:r>
    </w:p>
    <w:p>
      <w:pPr>
        <w:spacing w:after="0" w:line="18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While we believe the information from these third-party publications, research, surveys and studies included in this Quarterly Report is reliable, we do not guarantee the accuracy or completeness of such information, and we have not independently verified this information.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Quarterly Report under “Forward-Looking Statements” and Part II, Item 1A “Risk Factors.” These and other factors could cause our future performance and market expectations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5"/>
                <w:szCs w:val="15"/>
                <w:color w:val="auto"/>
              </w:rPr>
            </w:pPr>
          </w:p>
        </w:tc>
        <w:tc>
          <w:tcPr>
            <w:tcW w:w="7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29,854</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37,394</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38,338</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15,990</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Due to related parties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09"/>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102,508</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133,456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131,439</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 shares authorized; no shares issued and</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as of June 30, 2025 and December 31, 2024</w:t>
            </w:r>
          </w:p>
        </w:tc>
        <w:tc>
          <w:tcPr>
            <w:tcW w:w="18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6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 shares authorized as of June 30, 2025 and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2024; 6,620 and 3,102 shares issued and outstanding as of</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June 30, 2025 and December 31, 2024, respectively</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557,047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(676,638)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(650,197)</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(107,667)</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(93,101)</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38,338</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9059"/>
          </w:cols>
          <w:pgMar w:left="140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064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59"/>
          </w:cols>
          <w:pgMar w:left="140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425"/>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0" w:type="dxa"/>
            <w:vAlign w:val="bottom"/>
          </w:tcPr>
          <w:p>
            <w:pPr>
              <w:spacing w:after="0"/>
              <w:rPr>
                <w:sz w:val="1"/>
                <w:szCs w:val="1"/>
                <w:color w:val="auto"/>
              </w:rPr>
            </w:pPr>
          </w:p>
        </w:tc>
      </w:tr>
      <w:tr>
        <w:trPr>
          <w:trHeight w:val="25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1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1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(26,441)</w:t>
            </w:r>
          </w:p>
        </w:tc>
        <w:tc>
          <w:tcPr>
            <w:tcW w:w="1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52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Basic and diluted net loss per share attributable to common</w:t>
            </w:r>
          </w:p>
        </w:tc>
        <w:tc>
          <w:tcPr>
            <w:tcW w:w="2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 EQUITY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84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184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86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74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534,060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(590,598)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(56,508)</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pre-funded stock purchase warrants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(26,791)</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(26,791)</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(617,389)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(72,363)</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5,306</w:t>
            </w:r>
          </w:p>
        </w:tc>
        <w:tc>
          <w:tcPr>
            <w:tcW w:w="1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5,312</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198"/>
        </w:trPr>
        <w:tc>
          <w:tcPr>
            <w:tcW w:w="41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 tax</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(8,299)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0" w:type="dxa"/>
            <w:vAlign w:val="bottom"/>
          </w:tcPr>
          <w:p>
            <w:pPr>
              <w:spacing w:after="0"/>
              <w:rPr>
                <w:sz w:val="1"/>
                <w:szCs w:val="1"/>
                <w:color w:val="auto"/>
              </w:rPr>
            </w:pPr>
          </w:p>
        </w:tc>
      </w:tr>
      <w:tr>
        <w:trPr>
          <w:trHeight w:val="249"/>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551,347</w:t>
            </w:r>
          </w:p>
        </w:tc>
        <w:tc>
          <w:tcPr>
            <w:tcW w:w="16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(625,688)</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(74,301)</w:t>
            </w:r>
          </w:p>
        </w:tc>
        <w:tc>
          <w:tcPr>
            <w:tcW w:w="0" w:type="dxa"/>
            <w:vAlign w:val="bottom"/>
          </w:tcPr>
          <w:p>
            <w:pPr>
              <w:spacing w:after="0"/>
              <w:rPr>
                <w:sz w:val="1"/>
                <w:szCs w:val="1"/>
                <w:color w:val="auto"/>
              </w:rPr>
            </w:pPr>
          </w:p>
        </w:tc>
      </w:tr>
      <w:tr>
        <w:trPr>
          <w:trHeight w:val="196"/>
        </w:trPr>
        <w:tc>
          <w:tcPr>
            <w:tcW w:w="4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49"/>
        </w:trPr>
        <w:tc>
          <w:tcPr>
            <w:tcW w:w="4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100" w:type="dxa"/>
            <w:vAlign w:val="bottom"/>
          </w:tcPr>
          <w:p>
            <w:pPr>
              <w:spacing w:after="0"/>
              <w:rPr>
                <w:sz w:val="17"/>
                <w:szCs w:val="17"/>
                <w:color w:val="auto"/>
              </w:rPr>
            </w:pPr>
          </w:p>
        </w:tc>
        <w:tc>
          <w:tcPr>
            <w:tcW w:w="18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86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74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557,047</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(650,197)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(93,101)</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pre-funded stock purchase warrants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w:t>
            </w: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 tax</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(7,254)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(657,451)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(90,172)</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Issuance of common shares, net of offering costs</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198"/>
        </w:trPr>
        <w:tc>
          <w:tcPr>
            <w:tcW w:w="41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 tax</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(19,187)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0" w:type="dxa"/>
            <w:vAlign w:val="bottom"/>
          </w:tcPr>
          <w:p>
            <w:pPr>
              <w:spacing w:after="0"/>
              <w:rPr>
                <w:sz w:val="1"/>
                <w:szCs w:val="1"/>
                <w:color w:val="auto"/>
              </w:rPr>
            </w:pPr>
          </w:p>
        </w:tc>
      </w:tr>
      <w:tr>
        <w:trPr>
          <w:trHeight w:val="21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568,911</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(676,638)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(107,667)</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1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CASH FLOW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(26,441)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Reconciliation of net loss to net cash used in operating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Accretion of debt discount and amortization of financing costs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(7,222)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Payable-in-kind interest on Credit Agreement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other current assets and other assets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payable, accrued expenses, due to related parties, and other current</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(24,618)</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CASH FLOW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equipment and leasehold improvements</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CASH FLOW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Offering costs for common stock and warrants issuance</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(806)</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employee tax obligations related to vesting restricted stock units</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13,339</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(11,279)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the period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29,854</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the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 and where otherwise noted)</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Nature of the Business</w:t>
      </w:r>
    </w:p>
    <w:p>
      <w:pPr>
        <w:spacing w:after="0" w:line="20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(“BTI” or the “Company”) is a biopharmaceutical company utilizing artificial intelligence (“AI”) approaches to develop transformative medicines in neuroscience and immuno-oncology. The Company is focused on utilizing cutting-edge technology and innovative research to develop high-value therapeutics aimed at transforming patients’ lives. BTI employs a unique AI platform to reduce therapeutic development costs and potentially accelerate timelines. The Company’s approach leverages existing approved drugs and/or clinically evaluated product candidates together with big data and proprietary machine learning algorithms to identify new therapeutic indices. BTI management believes this differentiated approach has proven its potential to reduce the expense and time associated with drug development in diseases with substantial unmet medical needs.</w:t>
      </w:r>
    </w:p>
    <w:p>
      <w:pPr>
        <w:spacing w:after="0" w:line="151"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As used in these condensed consolidated financial statements, unless otherwise specified or the context otherwise requires, the terms “BioXcel LLC” refers to the Company’s former parent, BioXcel LLC and, its predecessor, BioXcel Corporation. “OnkosXcel” refers to BTI’s wholly owned subsidiary for its advanced immuno-oncology assets, OnkosXcel Therapeutics, LLC.</w:t>
      </w:r>
    </w:p>
    <w:p>
      <w:pPr>
        <w:spacing w:after="0" w:line="139" w:lineRule="exact"/>
        <w:rPr>
          <w:sz w:val="20"/>
          <w:szCs w:val="20"/>
          <w:color w:val="auto"/>
        </w:rPr>
      </w:pPr>
    </w:p>
    <w:p>
      <w:pPr>
        <w:ind w:left="60" w:right="199" w:firstLine="324"/>
        <w:spacing w:after="0" w:line="201" w:lineRule="auto"/>
        <w:rPr>
          <w:sz w:val="20"/>
          <w:szCs w:val="20"/>
          <w:color w:val="auto"/>
        </w:rPr>
      </w:pPr>
      <w:r>
        <w:rPr>
          <w:rFonts w:ascii="Times New Roman" w:cs="Times New Roman" w:eastAsia="Times New Roman" w:hAnsi="Times New Roman"/>
          <w:sz w:val="18"/>
          <w:szCs w:val="18"/>
          <w:color w:val="auto"/>
        </w:rPr>
        <w:t>On April 6, 2022, BTI announced that the United States (“U.S.”) Food and Drug Administration (“FDA”) approved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(dexmedetomidine or “Dex”) sublingual film for the acute treatment of agitation associated with schizophrenia or bipolar I or II disorder in adults.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approved to be self-administrated by patients under the supervision of a health care provider. On July 6, 2022, BTI announced that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was commercially available in doses of 120 and 180 micrograms.</w:t>
      </w:r>
    </w:p>
    <w:p>
      <w:pPr>
        <w:spacing w:after="0" w:line="171" w:lineRule="exact"/>
        <w:rPr>
          <w:sz w:val="20"/>
          <w:szCs w:val="20"/>
          <w:color w:val="auto"/>
        </w:rPr>
      </w:pPr>
    </w:p>
    <w:p>
      <w:pPr>
        <w:ind w:left="60" w:right="259" w:firstLine="324"/>
        <w:spacing w:after="0" w:line="224" w:lineRule="auto"/>
        <w:rPr>
          <w:sz w:val="20"/>
          <w:szCs w:val="20"/>
          <w:color w:val="auto"/>
        </w:rPr>
      </w:pPr>
      <w:r>
        <w:rPr>
          <w:rFonts w:ascii="Times New Roman" w:cs="Times New Roman" w:eastAsia="Times New Roman" w:hAnsi="Times New Roman"/>
          <w:sz w:val="18"/>
          <w:szCs w:val="18"/>
          <w:color w:val="auto"/>
        </w:rPr>
        <w:t>The Company’s most advanced neuroscience clinical development program is BXCL501. In indications other than those approved by the FDA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is an investigational proprietary, orally dissolving, film formulation of Dex for the treatment of agitation associated with psychiatric and neurological disorders.</w:t>
      </w:r>
    </w:p>
    <w:p>
      <w:pPr>
        <w:spacing w:after="0" w:line="158"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The Company’s advanced immuno-oncology asset, BXCL701, is an investigational, orally administered systemic innate immune activator for the treatment of a rare form of prostate cancer and advanced solid tumors that are refractory or treatment naïve to checkpoint inhibitors.</w:t>
      </w:r>
    </w:p>
    <w:p>
      <w:pPr>
        <w:spacing w:after="0" w:line="135"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BTI was incorporated under the laws of the State of Delaware on March 29, 2017. The Company’s principal office is in New Haven, Connecticut.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18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do not include all the information and notes required by Generally Accepted Accounting Principles (“GAAP”) in the U.S. The accompanying year-end balance sheet was derived from audited financial statements but does not include all disclosures required by U.S. GAAP. The unaudited interim condensed consolidated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2025, the results of its operations for the three and six months ended June 30, 2025 and 2024 and its cash flows for the six months ended June 30, 2025 and 2024. The results for the three and six months ended June 30, 2025 are not necessarily indicative of results to be expected for the year ending December 31, 2025, any other interim periods or any future year or period. The accompanying unaudited interim condensed consolidated financial statements of the Company should be read in conjunction with the audited financial statements and notes thereto included in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Company’s Annual Report on Form 10-K for the year ended December 31, 2024, filed with the Securities and Exchange Commission on March 28, 2025.</w:t>
      </w:r>
    </w:p>
    <w:p>
      <w:pPr>
        <w:spacing w:after="0" w:line="135"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for the Company and all entities where BTI has a controlling financial interest after elimination of all intercompany accounts and transactions and have been prepared in conformity with U.S. GAAP.</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June 30, 2025, the Company had cash, cash equivalents and restricted cash of $18,575 and an accumulated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deficit of $676,638. The Company has incurred substantial net losses and negative cash flows from operating activities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nearly every fiscal period since inception and expects this trend to continue for the foreseeable future. The Company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recognized net losses of $19,187 and $8,299 for the three months ended June 30, 2025 and 2024, respectively,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$26,441 and $35,090 for the six months ended June 30, 2025 and 2024, respectively, and had net cash used in operating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activities of $24,618 and $40,880 for the six months ended June, 2025 and 2024, respectively.</w:t>
      </w:r>
    </w:p>
    <w:p>
      <w:pPr>
        <w:spacing w:after="0" w:line="166" w:lineRule="exact"/>
        <w:rPr>
          <w:sz w:val="20"/>
          <w:szCs w:val="20"/>
          <w:color w:val="auto"/>
        </w:rPr>
      </w:pPr>
    </w:p>
    <w:p>
      <w:pPr>
        <w:jc w:val="both"/>
        <w:ind w:left="60" w:right="379" w:firstLine="324"/>
        <w:spacing w:after="0" w:line="271" w:lineRule="auto"/>
        <w:rPr>
          <w:sz w:val="20"/>
          <w:szCs w:val="20"/>
          <w:color w:val="auto"/>
        </w:rPr>
      </w:pPr>
      <w:r>
        <w:rPr>
          <w:rFonts w:ascii="Times New Roman" w:cs="Times New Roman" w:eastAsia="Times New Roman" w:hAnsi="Times New Roman"/>
          <w:sz w:val="18"/>
          <w:szCs w:val="18"/>
          <w:color w:val="auto"/>
        </w:rPr>
        <w:t>Under ASC Topic 205-40, Presentation of Financial Statements - Going Concern, 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w:t>
      </w:r>
    </w:p>
    <w:p>
      <w:pPr>
        <w:spacing w:after="0" w:line="118" w:lineRule="exact"/>
        <w:rPr>
          <w:sz w:val="20"/>
          <w:szCs w:val="20"/>
          <w:color w:val="auto"/>
        </w:rPr>
      </w:pPr>
    </w:p>
    <w:p>
      <w:pPr>
        <w:ind w:left="60" w:right="179" w:firstLine="324"/>
        <w:spacing w:after="0" w:line="284" w:lineRule="auto"/>
        <w:rPr>
          <w:sz w:val="20"/>
          <w:szCs w:val="20"/>
          <w:color w:val="auto"/>
        </w:rPr>
      </w:pPr>
      <w:r>
        <w:rPr>
          <w:rFonts w:ascii="Times New Roman" w:cs="Times New Roman" w:eastAsia="Times New Roman" w:hAnsi="Times New Roman"/>
          <w:sz w:val="17"/>
          <w:szCs w:val="17"/>
          <w:color w:val="auto"/>
        </w:rPr>
        <w:t xml:space="preserve">The Company’s history of significant losses, its negative cash flows from operations, potential near-term increased covenant-driven amortization payments under its Credit Agreement (as defined in Note 9, </w:t>
      </w:r>
      <w:r>
        <w:rPr>
          <w:rFonts w:ascii="Times New Roman" w:cs="Times New Roman" w:eastAsia="Times New Roman" w:hAnsi="Times New Roman"/>
          <w:sz w:val="17"/>
          <w:szCs w:val="17"/>
          <w:i w:val="1"/>
          <w:iCs w:val="1"/>
          <w:color w:val="auto"/>
        </w:rPr>
        <w:t>Debt and Credit Facilities</w:t>
      </w:r>
      <w:r>
        <w:rPr>
          <w:rFonts w:ascii="Times New Roman" w:cs="Times New Roman" w:eastAsia="Times New Roman" w:hAnsi="Times New Roman"/>
          <w:sz w:val="17"/>
          <w:szCs w:val="17"/>
          <w:color w:val="auto"/>
        </w:rPr>
        <w:t>), its limited liquidity resources currently on hand, and its dependence on its ability to obtain additional financing to fund its operations after the current resources are exhausted, about which there can be no certainty, have resulted in management’s assessment that there is substantial doubt about the Company’s ability to continue as a going concern for a period of at least 12 months from the issuance date of the financial statements included in this Quarterly Report on Form 10-Q.</w:t>
      </w:r>
    </w:p>
    <w:p>
      <w:pPr>
        <w:spacing w:after="0" w:line="97" w:lineRule="exact"/>
        <w:rPr>
          <w:sz w:val="20"/>
          <w:szCs w:val="20"/>
          <w:color w:val="auto"/>
        </w:rPr>
      </w:pPr>
    </w:p>
    <w:p>
      <w:pPr>
        <w:ind w:left="60" w:right="239" w:firstLine="324"/>
        <w:spacing w:after="0" w:line="264" w:lineRule="auto"/>
        <w:rPr>
          <w:sz w:val="20"/>
          <w:szCs w:val="20"/>
          <w:color w:val="auto"/>
        </w:rPr>
      </w:pPr>
      <w:r>
        <w:rPr>
          <w:rFonts w:ascii="Times New Roman" w:cs="Times New Roman" w:eastAsia="Times New Roman" w:hAnsi="Times New Roman"/>
          <w:sz w:val="18"/>
          <w:szCs w:val="18"/>
          <w:color w:val="auto"/>
        </w:rPr>
        <w:t xml:space="preserve">This going concern evaluation takes into consideration the potential mitigating effect of management’s Reprioritization (as defined in Note 4,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When substantial doubt exists, management evaluates whether the mitigating effect of its plans sufficiently alleviates the substantial doubt about the Company’s ability to continue as a going concern. The mitigating effect of management’s plans, however, is only considered if both (i) it is probable that the plans will be effectively implemented within one year after the date that the financial statements are issued and (ii)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need to be approved by the Company’s Board of Directors. The Company’s Reprioritization was approved by the Board of Directors on August 8, 2023; however, such plans, including the additional restructuring actions taken in the second and third quarters of 2024, will not mitigate the entity’s ability to continue as a going concern within one year after the date that the financial statements are issued.</w:t>
      </w:r>
    </w:p>
    <w:p>
      <w:pPr>
        <w:spacing w:after="0" w:line="116"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have been prepared on a going concern basis, which contemplates the realization of assets and the satisfaction of liabilities in the normal course of business and does not include any adjustments that may result from the outcome of this uncertainty. The going concern analysis does not consider possible future amendments to or restructuring of the Credit Agreement (as defined in Note 9, </w:t>
      </w:r>
      <w:r>
        <w:rPr>
          <w:rFonts w:ascii="Times New Roman" w:cs="Times New Roman" w:eastAsia="Times New Roman" w:hAnsi="Times New Roman"/>
          <w:sz w:val="18"/>
          <w:szCs w:val="18"/>
          <w:i w:val="1"/>
          <w:iCs w:val="1"/>
          <w:color w:val="auto"/>
        </w:rPr>
        <w:t>Debt and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Facilities</w:t>
      </w:r>
      <w:r>
        <w:rPr>
          <w:rFonts w:ascii="Times New Roman" w:cs="Times New Roman" w:eastAsia="Times New Roman" w:hAnsi="Times New Roman"/>
          <w:sz w:val="18"/>
          <w:szCs w:val="18"/>
          <w:color w:val="auto"/>
        </w:rPr>
        <w:t>) or other potential sources of debt or equity capital.</w:t>
      </w:r>
    </w:p>
    <w:p>
      <w:pPr>
        <w:spacing w:after="0" w:line="143" w:lineRule="exact"/>
        <w:rPr>
          <w:sz w:val="20"/>
          <w:szCs w:val="20"/>
          <w:color w:val="auto"/>
        </w:rPr>
      </w:pPr>
    </w:p>
    <w:p>
      <w:pPr>
        <w:ind w:left="60" w:right="299" w:firstLine="324"/>
        <w:spacing w:after="0" w:line="270" w:lineRule="auto"/>
        <w:rPr>
          <w:sz w:val="20"/>
          <w:szCs w:val="20"/>
          <w:color w:val="auto"/>
        </w:rPr>
      </w:pPr>
      <w:r>
        <w:rPr>
          <w:rFonts w:ascii="Times New Roman" w:cs="Times New Roman" w:eastAsia="Times New Roman" w:hAnsi="Times New Roman"/>
          <w:sz w:val="18"/>
          <w:szCs w:val="18"/>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actions, pursuing one or more of the following steps to raise additional capital, none of which can be guaranteed or are entirely within the Company’s control:</w:t>
      </w:r>
    </w:p>
    <w:p>
      <w:pPr>
        <w:spacing w:after="0" w:line="105"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sale of the Company’s equity securities;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third-party investments in or other strategic options for OnkosXcel;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debt financing and/or restructuring of its existing Credit Agreement;</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partners to advance the Company’s product pipeline;</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marketing partners;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overhead and headcount to focus on core priorities; and/or</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47" w:lineRule="exact"/>
        <w:rPr>
          <w:sz w:val="20"/>
          <w:szCs w:val="20"/>
          <w:color w:val="auto"/>
        </w:rPr>
      </w:pPr>
    </w:p>
    <w:p>
      <w:pPr>
        <w:ind w:left="60" w:right="139" w:firstLine="324"/>
        <w:spacing w:after="0" w:line="270" w:lineRule="auto"/>
        <w:rPr>
          <w:sz w:val="20"/>
          <w:szCs w:val="20"/>
          <w:color w:val="auto"/>
        </w:rPr>
      </w:pPr>
      <w:r>
        <w:rPr>
          <w:rFonts w:ascii="Times New Roman" w:cs="Times New Roman" w:eastAsia="Times New Roman" w:hAnsi="Times New Roman"/>
          <w:sz w:val="18"/>
          <w:szCs w:val="18"/>
          <w:color w:val="auto"/>
        </w:rPr>
        <w:t>If the Company is unable to raise capital when needed or on acceptable terms, or if it is unable to procure collaboration arrangements to advance its programs, the Company would be forced to discontinue some of its operations or develop and implement a plan, beyond its Reprioritization initiatives, to further extend payables, reduce overhead, scale back or cease some or all of its revised operating plan until sufficient additional capital is raised to support further operations.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left="60" w:right="199" w:firstLine="324"/>
        <w:spacing w:after="0" w:line="277" w:lineRule="auto"/>
        <w:rPr>
          <w:sz w:val="20"/>
          <w:szCs w:val="20"/>
          <w:color w:val="auto"/>
        </w:rPr>
      </w:pPr>
      <w:r>
        <w:rPr>
          <w:rFonts w:ascii="Times New Roman" w:cs="Times New Roman" w:eastAsia="Times New Roman" w:hAnsi="Times New Roman"/>
          <w:sz w:val="17"/>
          <w:szCs w:val="17"/>
          <w:color w:val="auto"/>
        </w:rPr>
        <w:t>The preparation of financial statements in accordance with U.S. GAAP requires management to make estimates and assumptions that affect amounts reported in the condensed consolidated financial statements and notes thereto. Estimates are used in the following areas, among others: revenue recognition, derivative liabilities, stock-based compensation expense, accrued expenses and income taxes. Although these estimates are based on the Company’s knowledge of current events and actions it may undertake in the future, actual results may ultimately materially differ from these estimates.</w:t>
      </w:r>
    </w:p>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previously disclosed in Note 3 to the Consolidated Financial Statements in the Company’s Annual Report on Form 10-K for the year ended December 31, 2024, except for the following:</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Restricted Cash represents cash required to be set aside as collateral under a letter of credit for our annual Directors and Officers (D&amp;O) insurance premiums which are financed and paid over the next ten months. The restriction will lapse when the D&amp;O insurance premiums are paid.</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02"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Segment reporting, which requires disclosure of incremental segment information on an annual and interim basis. The standard is effective for years beginning after December 15, 2023, and interim periods beginning after December 15, 2024 and early adoption is permitted. The Company adopted the new standard in fiscal year 2024 for annual and retrospective reporting periods with all interim disclosures beginning in the first quarter of fiscal year 2025. For additional information, see Note 17,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In March 2024, the FASB issued ASU 2024-01, Compensation – Stock Compensation (Topic 718) – Scope application of profit interest and similar awards, which clarifies how an entity determines whether a profits interest or similar award is within the scope of Topic 718 or if it is not a share-based payment arrangement and therefore within the scope of other guidance. ASU 2024-01 is effective for annual periods beginning after December 15, 2024, and interim periods within those annual periods. The adoption of this guidance did not have a significant impact on our financial statements, and the Company does not expect this guidance to have a material impact prospectively.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effective in future periods</w:t>
      </w:r>
    </w:p>
    <w:p>
      <w:pPr>
        <w:spacing w:after="0" w:line="202"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disclosure of disaggregated income taxes paid by jurisdiction, enhances disclosures in the effective tax rate reconciliation and modifies other income tax-related disclosures. The amendments are effective for annual periods beginning after December 15, 2024. The Company is currently evaluating the effect of adopting this guidance on its condensed consolidated financial statements.</w:t>
      </w:r>
    </w:p>
    <w:p>
      <w:pPr>
        <w:spacing w:after="0" w:line="183"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which requires public entities to disclose specified information about certain costs and expenses. ASU 2024-03 is effective for annual periods beginning after December 15, 2026 and interim reporting periods beginning after December 15, 2027, with early adoption permitted. The Company is evaluating the effect of adopting this guidance on its condensed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Restructuring</w:t>
      </w:r>
    </w:p>
    <w:p>
      <w:pPr>
        <w:spacing w:after="0" w:line="18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On May 8, 2024, the Company took actions as part of its continued efforts to preserve cash and prioritize investment in its core clinical programs. The Company reduced its workforce by approximately 15% and notified impacted employees on May 8, 2024. All related restructuring costs were paid in the second quarter of 2024.</w:t>
      </w:r>
    </w:p>
    <w:p>
      <w:pPr>
        <w:spacing w:after="0" w:line="176" w:lineRule="exact"/>
        <w:rPr>
          <w:sz w:val="20"/>
          <w:szCs w:val="20"/>
          <w:color w:val="auto"/>
        </w:rPr>
      </w:pPr>
    </w:p>
    <w:p>
      <w:pPr>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On September 17, 2024, the Company reduced its workforce by an additional 28% to extend its cash runway and prioritize clinical development of BXCL501. The Company completed the Clinical Prioritization in October 2024, paid $475 of the related costs during the first quarter of 2025, and paid the remaining $128 during the second quarter of 2025.</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Inventory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5900" w:type="dxa"/>
            <w:vAlign w:val="bottom"/>
          </w:tcPr>
          <w:p>
            <w:pPr>
              <w:spacing w:after="0"/>
              <w:rPr>
                <w:sz w:val="17"/>
                <w:szCs w:val="17"/>
                <w:color w:val="auto"/>
              </w:rPr>
            </w:pPr>
          </w:p>
        </w:tc>
        <w:tc>
          <w:tcPr>
            <w:tcW w:w="9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94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94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94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0"/>
        </w:trPr>
        <w:tc>
          <w:tcPr>
            <w:tcW w:w="5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19" w:firstLine="324"/>
        <w:spacing w:after="0" w:line="312" w:lineRule="auto"/>
        <w:rPr>
          <w:sz w:val="20"/>
          <w:szCs w:val="20"/>
          <w:color w:val="auto"/>
        </w:rPr>
      </w:pPr>
      <w:r>
        <w:rPr>
          <w:rFonts w:ascii="Times New Roman" w:cs="Times New Roman" w:eastAsia="Times New Roman" w:hAnsi="Times New Roman"/>
          <w:sz w:val="17"/>
          <w:szCs w:val="17"/>
          <w:color w:val="auto"/>
        </w:rPr>
        <w:t>The Company recorded inventory write-downs totaling $95 for the three and six months ended June 30, 2025. The Company recorded inventory write downs of $0 and $45 for the three and six months ended June 30, 2024, respectively.</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1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(1,653)</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0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$75 and $77 for the three months ended June 30, 2025 and 2024, respectively, and $151 and $155 for the six months ended June 30, 2025 and 2024,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Accrued Expenses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5"/>
                <w:szCs w:val="15"/>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59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10"/>
        </w:trPr>
        <w:tc>
          <w:tcPr>
            <w:tcW w:w="59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Transactions with BioXcel LLC</w:t>
      </w:r>
    </w:p>
    <w:p>
      <w:pPr>
        <w:spacing w:after="0" w:line="189"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a Separation and Shared Services Agreement with BioXcel LLC that took effect on June 30, 2017, as amended and restated thereafter (the “Services Agreement”), pursuant to which BioXcel LLC has agreed to provide the Company with certain intellectual property prosecution and management and research and development activities.</w:t>
      </w:r>
    </w:p>
    <w:p>
      <w:pPr>
        <w:spacing w:after="0" w:line="15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Under the Services Agreement, the Company had an option, exercisable until December 31, 2024, to enter into a separate collaborative services agreement with BioXcel LLC pursuant to which BioXcel LLC shall perform product identification and related services for us utilizing its EvolverAI. The Company agreed to pay BioXcel LLC $18 per month from March 13, 2023 to December 31, 2024 in exchange for this option. This option was not exercised. However, BioXcel LLC continues to perform certain administrative services under the terms of the original contract. We agreed to negotiate any such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$10,000 in the aggregate and not be payable prior to proof of concept in humans and (ii) commercialization milestone payments shall be based on reaching annual net sales levels, be limited to 3% of the applicable net sales level, and not exceed $30,000 in the aggregate. The Company did not exercise its option to renew the agreement for product identification and related services utilizing BioXcel LLC’s EvolverAI. Subsequent to December 31, 2024 no development activity has been carried out by BioXcel LLC and none is contemplated.</w:t>
      </w:r>
    </w:p>
    <w:p>
      <w:pPr>
        <w:spacing w:after="0" w:line="147"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Service charges recorded under the Services Agreement for the three and six months ended June 30, 2025 and 2024, respectively were as follows: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3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200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436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4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shd w:val="clear" w:color="auto" w:fill="CCEEFF"/>
          </w:tcPr>
          <w:p>
            <w:pPr>
              <w:jc w:val="right"/>
              <w:ind w:right="48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0"/>
        </w:trPr>
        <w:tc>
          <w:tcPr>
            <w:tcW w:w="4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132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0"/>
        </w:trPr>
        <w:tc>
          <w:tcPr>
            <w:tcW w:w="4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there were no outstanding service charges related to the Services Agreement included in Due to related parties in the Company’s Condensed Consolidated Balance Sheets.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Debt and Credit Facilities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Debt, net of unamortized discounts and financing costs, consists of the following:</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5"/>
                <w:szCs w:val="15"/>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59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 and Guaranty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102,319</w:t>
            </w:r>
          </w:p>
        </w:tc>
      </w:tr>
      <w:tr>
        <w:trPr>
          <w:trHeight w:val="216"/>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Payable-in-kind ("PIK") interest</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w:t>
            </w:r>
          </w:p>
        </w:tc>
      </w:tr>
      <w:tr>
        <w:trPr>
          <w:trHeight w:val="20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106,722</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premiums, discounts and issuance costs</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w:t>
            </w:r>
          </w:p>
        </w:tc>
      </w:tr>
      <w:tr>
        <w:trPr>
          <w:trHeight w:val="209"/>
        </w:trPr>
        <w:tc>
          <w:tcPr>
            <w:tcW w:w="59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108,685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102,508</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(11,216)</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102,508</w:t>
            </w: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39" w:firstLine="324"/>
        <w:spacing w:after="0" w:line="242" w:lineRule="auto"/>
        <w:rPr>
          <w:sz w:val="20"/>
          <w:szCs w:val="20"/>
          <w:color w:val="auto"/>
        </w:rPr>
      </w:pPr>
      <w:r>
        <w:rPr>
          <w:rFonts w:ascii="Times New Roman" w:cs="Times New Roman" w:eastAsia="Times New Roman" w:hAnsi="Times New Roman"/>
          <w:sz w:val="18"/>
          <w:szCs w:val="18"/>
          <w:color w:val="auto"/>
        </w:rPr>
        <w:t>On April 19, 2022, the Company entered into two strategic financing agreements: (i)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(ii) a Revenue Interest Financing Agreement (the “RIFA”; and together with the Credit Agreement, the “OFA Facilities”) by and among the Company, the purchasers party thereto (the “Purchasers”) and OFA as administrative agent. Under the OFA Facilities, the Lenders and the Purchasers agreed to, in the aggregate between the two OFA Facilities, provide up to $260,000 in gross funding to support the Company’s commercial activities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sublingual film. In addition, the OFA Facilities are intended to support the expansion of clinical development efforts of BXCL501, which includes a Phase 3 program for the acute treatment of agitation in patients with Alzheimer’s disease, and for general corporate purposes. The Lenders and Purchasers are comprised of affiliates of Oaktree Capital Management, L.P. and Qatar Investment Authority.</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First Amendment to Credit Agreement and Guaranty</w:t>
      </w:r>
    </w:p>
    <w:p>
      <w:pPr>
        <w:spacing w:after="0" w:line="24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On November 13, 2023, the Company, the lenders party to the Credit Agreement and OFA entered into a Waiver and First Amendment to Credit Agreement and Guaranty (the “First Amendment”) that provided for (i) a waiver and a modification to the covenant in the Credit Agreement regarding investments in OnkosXcel and (ii) an agreement among the parties to further revise key financial terms in the Credit Agreement and terminate the RIFA. Pursuant to the First Amendment, the Lenders agreed to permit the Company to invest up to a maximum of $30,000 at any time outstanding in OnkosXcel, increased from $25,000 at any time outstanding. The First Amendment also waived any defaults or events of default arising under the Credit Agreement due to a breach prior to the date of the First Amendment of the OnkosXcel investment covenant, or a breach of the Company’s obligation to notify OFA of such default. In connection with the First Amendment, the Company paid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Second Amendment to Credit Agreement and Guaranty and Termination of the RIFA</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On December 5, 2023, (the “Second Amendment Effective Date”), the Company entered into the Second Amendment to Credit Agreement and Guaranty and Termination of Revenue Interest Financing Agreement (the “Second Amendment”), which further amended the Credit Agreement. On the Second Amendment Effective Date, the Credit Agreement was amended to provide up to $202,319 in senior secured term loans, including the initial Tranche A of $70,000, which was funded on April 28, 2022, and related capitalized interest on Tranche A through the Second Amendment Effective Date in the amount of $72,319. In addition, the $30,000 in financing previously provided to the Company under the RIFA on July 8, 2022 was converted to a term loan under the Credit Agreement (the “Tranche A-2 Term Loan”). The RIFA and all commitments for potential future funding thereunder were terminated. In addition, pursuant to the Second Amendment, the Lenders agreed to permit the Company to invest up to a maximum of $30,865 at any time outstanding in OnkosXcel, increased from $30,000. In connection with the Second Amendment, the Company agreed to pay to the Lenders an exit fee equal to 0.25% of the loans under the Credit Agreement repaid upon maturity or prepayment of the loans (which exit fee is in addition to, and not in lieu of, the exit fee provided for by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First Amendment). As of June 30, 2025, $80,000 in commitments under the Credit Agreement remains unfunded. The blended effective interest rate on the Tranches A-1 and A-2 as of June 30, 2025 was approximately 15.3%.</w:t>
      </w:r>
    </w:p>
    <w:p>
      <w:pPr>
        <w:spacing w:after="0" w:line="135"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remaining tranches may be borrowed at the Company’s option subject to satisfaction of certain conditions, including regulatory and financial milestones. Tranche B of the Credit Agreement is $20,000 and was available upon satisfaction of certain conditions and financial milestones. Tranche B expired on December 31, 2024. Tranche C of the Credit Agreement is $30,000 and is available upon satisfaction of certain conditions, including receipt of certain regulatory and financial milestones. Tranche D of the Credit Agreement is $50,000 and is available upon satisfaction of the Tranche C Term Loans conditions precedent to, and the funding of Tranche C Loans, including specified minimum net sales of the Company attributable to sales of BXCL501 for a trailing twelve consecutive month period, on or before December 31, 2025. As of June 30, 2025, Tranches C and D, totaling $80,000, remain available for borrowing if the milestones above are met.</w:t>
      </w:r>
    </w:p>
    <w:p>
      <w:pPr>
        <w:spacing w:after="0" w:line="148"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The loans under the Credit Agreement do not amortize and mature on April 19, 2027. The Company may, at its option, no earlier than September 21, 2026 and no later than October 21, 2026, request an extension of the maturity date to April, 19, 2028, provided that the Company satisfies certain conditions including receipt of certain regulatory and financial milestones. Borrowings under the Credit Agreement are issued at a 200-basis point original issue discount and bear interest at a variable annual rate of TERM SOFR (but not less than 2.5% or more than 5.5%) plus 7.5%, payable quarterly. The rate resets every three months based on the current Term SOFR rate. Of such interest, above 8% per annum is, at the Company’s option, payable in kind by capitalizing and adding such interest to the outstanding principal amount of loans from the first payment date on which such interest is owed through March 31, 2025, unless, with respect to any payment date, the Company elects to pay all or a portion of such interest in cash. The Company is required to pay a ticking fee equal to 0.75% per annum on the undrawn amount of the commitments, payable quarterly commencing 120 days after April 22, 2022 through the termination of the commitments, which is expensed as incurred and recognized as interest expense in the Consolidated Statements of Operations. The Company may voluntarily prepay the Credit Agreement at any time subject to a prepayment fee.</w:t>
      </w:r>
    </w:p>
    <w:p>
      <w:pPr>
        <w:spacing w:after="0" w:line="152"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The Company’s obligations under the Credit Agreement are guaranteed by BTI’s existing and subsequently acquired or organized subsidiaries, subject to certain exceptions. BTI’s obligations under the Credit Agreement and the related guarantees thereunder are secured, subject to customary permitted liens and other agreed upon exceptions, by (i) a pledge of all of the equity interests of all of the Company’s existing and any future direct subsidiaries, and (ii) a perfected security interest in all of its and the guarantors’ tangible and intangible assets (except that the guarantees provided by the BXCL701 Subsidiaries (as defined below) are unsecured).</w:t>
      </w:r>
    </w:p>
    <w:p>
      <w:pPr>
        <w:spacing w:after="0" w:line="160"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The Company must also comply with certain financial covenants, including (i) maintenance of cash or permitted cash equivalent investments in accounts controlled by OFA for the Lenders, of at least (a) initially, $15,000, (b) from and after the funding of the Tranche B loans, $20,000, and (c) from and after the Company’s satisfaction of the funding conditions for the Tranche C loans, $15,000, provided, that the liquidity covenant applicable at any time will be increased upon certain events related to a sale of OnkosXcel (up to a maximum amount equal to $37,500), provided that the minimum liquidity amount will in no event exceed 50% of the aggregate amount of loans outstanding under the Credit Agreement at any time; and (ii) a minimum revenue test, measured quarterly beginning with the Company’s fiscal quarter ending on December 31, 2024 (such six-month period the “Revenue Covenant Measurement Period”), that requires it and its subsidiaries’ consolidated net revenue for the six consecutive month period ending on the last day of each such fiscal quarter to not be less than a minimum revenue amount specified in the Credit Agreement (such testing date, the “Revenue Covenant Measurement Testing Date” and the covenant described in this clause (ii) the “Revenue Covenant”). The Company’s failure to comply with the financial covenants will result in an event of default, subject to certain cure rights with respect to the Revenue Covenant. If, as of a Revenue Covenant Measurement Testing Date, the Company’s revenue for the applicable Revenue Covenant Measurement Period is less than the minimum revenue amount specified for the applicable period then required under the Revenue Covenant, the Company would have a right to cure such shortfall for a total of three fiscal periods by making a revenue cure payment (which would be treated as prepayments of the loans subject to a prepayment fee) to the Lenders in an amount equal to the difference between such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minimum required revenue amount and the Company’s actual revenues for such Revenue Covenant Measurement Period, such payment to not be less than $1,000. If paid, the Company will be deemed to have complied with the Revenue Covenant as of such Revenue Covenant Measurement Testing Date. Any such payment will be applied to the prepayment of the loans under the Credit Agreement.</w:t>
      </w:r>
    </w:p>
    <w:p>
      <w:pPr>
        <w:spacing w:after="0" w:line="15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Credit Agreement permits OnkosXcel (together with OnkosXcel Employee Holdings, LLC (“Employee Holdings”), a subsidiary of BTI, and their respective subsidiaries, the “BXCL701 Subsidiaries”) to receive third-party investment or transfer all or substantially all of their assets to an unaffiliated third party, in each case subject to terms and conditions set forth in the Credit Agreement, including the escrow of certain proceeds received by BTI and its subsidiaries (other than the BXCL701 Subsidiaries) in respect of these disposition events and, under circumstances set forth in the Credit Agreement, the mandatory prepayment of such escrowed amounts. The Company’s equity interests in the BXCL701 Subsidiaries have been pledged in support of its obligations under the Credit Agreement, and the BXCL701 Subsidiaries have provided direct guarantees of BTI’s obligations under the Credit Agreement on an unsecured basis. However, the pledge, guarantee and other obligations of the BXCL701 Subsidiaries under the Credit Agreement will be released upon certain agreed upon events, including an initial public offering by the BXCL701 Subsidiaries or the ownership by unaffiliated third parties of at least 20% of the equity interests in the BXCL701 Subsidiaries.</w:t>
      </w:r>
    </w:p>
    <w:p>
      <w:pPr>
        <w:spacing w:after="0" w:line="14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events of default that are customary for financings of this type relating to, among other things, payment defaults, breach of covenants, breach of representations and warranties, cross default to material indebtedness, bankruptcy-related defaults, judgment defaults, breach of the financial covenants described above, and the occurrence of certain change of control events. In certain circumstances, events of default are subject to customary cure periods. The Credit Agreement also contains certain regulatory-related events of default, which do not have cure periods. Following an event of default and any applicable cure period, the Lenders will have the right upon notice to terminate any undrawn commitments and may accelerate all amounts outstanding under the Credit Agreement, in addition to other remedies available to them as the Company’s secured creditors.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Third and Fourth Amendments to Credit Agreement and Guaranty</w:t>
      </w:r>
    </w:p>
    <w:p>
      <w:pPr>
        <w:spacing w:after="0" w:line="256"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On February 12, 2024, the Company entered into the Third Amendment to Credit Agreement and Guaranty (the “Third Amendment”), which amended the Credit Agreement. Pursuant to the Third Amendment, the Lenders agreed to waive the covenant that the Company shall not receive a report and opinion from the Company’s independent auditors that contains a “going concern” or like qualification or exception or emphasis of matter of going concern footnote with respect to the Company’s financial statements for the fiscal year ended December 31, 2023 and, as a result, such event shall not be an event of default. As a condition to the effectiveness of the Third Amendment, among other things, the Company shall have received at least $40,000 in gross proceeds from a registered public sale of the Company’s common stock, warrants and/or pre-funded warrants on or before February 20, 2024. The Company did not meet this condition and therefore the Third Amendment did not become effective.</w:t>
      </w:r>
    </w:p>
    <w:p>
      <w:pPr>
        <w:spacing w:after="0" w:line="18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On March 20, 2024 (the “Effective Date”), the Company entered into the Fourth Amendment to the Credit Agreement and Guaranty (the “Fourth Amendment”), which amended the Credit Agreement. Pursuant to the Fourth Amendment, the Lenders agreed to waive the covenant that the Company shall not receive a report and opinion from the Company’s independent registered public accounting firm that contains a “going concern” or similar qualification with respect to the Company’s financial statements for the year ended December 31, 2023. Accordingly, while the Company’s independent registered public accounting firm’s report contained in the Annual Report on Form 10-K for the fiscal year ended December 31, 2023 contains a “going concern” explanatory paragraph, it does not constitute an event of default under the Credit Agreement.</w:t>
      </w:r>
    </w:p>
    <w:p>
      <w:pPr>
        <w:spacing w:after="0" w:line="192"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The Fourth Amendment includes a covenant that the Company will receive, (i) after the Effective Date and on or before April 15, 2024, at least $25,000 in gross proceeds from the issuance of its common stock, warrants and/or pre-funded warrants, and/or in non-refundable cash consideration from partnering transactions entered into after the Effective Date (so long as such partnering transactions would not require the Company or any of its subsidiaries to make any cash investments in connection with the partnering transactions and no such cash investments are made) and (ii) after the Effective Date and on or before November 30, 2024, at least $50,000 (for the avoidance of doubt, inclusive of amounts previously counted toward the preceding clause (i)) in gross proceeds from the issuance of its common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stock, warrants and/or pre-funded warrants, and/or in cash and/or non-cash consideration (measured at fair market value, as determined by the Administrative Agent (as defined in the Credit Agreement) in its sole discretion ) from partnering transactions entered into after the Effective Date. Failure to perform this covenant would constitute (A) a default under the Credit Agreement and (B) an event of default under the Credit Agreement, subject to a cure period, solely in the case of clause (i) of the preceding sentence, until May 15, 2024. For the avoidance of doubt, failure to perform clause (ii) of the preceding sentence would constitute an immediate event of default under the Credit Agreement without any cure or grace period.</w:t>
      </w:r>
    </w:p>
    <w:p>
      <w:pPr>
        <w:spacing w:after="0" w:line="189"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addition, the Fourth Amendment provides that if the Company has not, after the Effective Date and on or before September 30, 2024, received at least $40,000 in gross proceeds from the issuance of its common stock, warrants and/or pre-funded warrants, and/or cash and/or non-cash consideration (measured at fair market value, as determined by the Administrative Agent in its sole discretion) from partnering transactions entered into after the Effective Date, the “Minimum Liquidity Amount” (as defined in the Credit Agreement) that the Company is required to maintain at all times will increase to $25,000 from $15,000, unless and until the Company has received, after the Effective Date and on or before November 30, 2024, at least $50,000 in gross proceeds from the issuance of the Company’s common stock, warrants and/or pre-funded warrants, and/or in cash and/or non-cash consideration (measured at fair market value, as determined by the Administrative Agent in its sole discretion) from partnering transactions entered into after the Effective Date. On March 27, 2024, the Company received $25,000 in gross proceeds from the issuance of its common stock, warrants, and pre-funded warrants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satisfying the April 15, 2024 covenant requirement of the Fourth Amendment. During the third quarter of 2024, the Company received $467 of gross proceeds from the issuance of the Company’s common stock. As of September 30, 2024, the Company had satisfied $30,943 of the $40,000 required to maintain the Minimum Liquidity Amount and the $50,000 gross proceeds requirement. As a result, at September 30, 2024, the Minimum Liquidity Amount increased to $25,000.</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Fifth Amendment to Credit Agreement and Guaranty</w:t>
      </w:r>
    </w:p>
    <w:p>
      <w:pPr>
        <w:spacing w:after="0" w:line="24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On November 21, 2024, the Company entered into the Fifth Amendment to Credit Agreement and Guaranty and First Amendment to Fourth Amendment to Credit Agreement and Guaranty (the “Fifth Amendment”), which amended the Credit Agreement and Guaranty, dated April 19, 2022, by and among the Company, as the borrower, certain subsidiaries of the Company from time to time party thereto as subsidiary guarantors, the lenders party thereto (the “Lenders”), and Oaktree Fund Administration LLC (“OFA”) as administrative agent (as amended by the Waiver and First Amendment to Credit Agreement and Guaranty, dated as of November 13, 2023, the Second Amendment to Credit Agreement and Guaranty and Termination of Revenue Interest Financing Agreement, dated as of December 5, 2023, the Third Amendment to Credit Agreement, dated as of February 12, 2024, and the Fourth Amendment to Credit Agreement and Guaranty, dated as of March 20, 2024 (the “Fourth Amendment”), the “Existing Credit Agreement”).</w:t>
      </w:r>
    </w:p>
    <w:p>
      <w:pPr>
        <w:spacing w:after="0" w:line="188" w:lineRule="exact"/>
        <w:rPr>
          <w:sz w:val="20"/>
          <w:szCs w:val="20"/>
          <w:color w:val="auto"/>
        </w:rPr>
      </w:pPr>
    </w:p>
    <w:p>
      <w:pPr>
        <w:ind w:left="60" w:right="179" w:firstLine="324"/>
        <w:spacing w:after="0" w:line="273" w:lineRule="auto"/>
        <w:rPr>
          <w:sz w:val="20"/>
          <w:szCs w:val="20"/>
          <w:color w:val="auto"/>
        </w:rPr>
      </w:pPr>
      <w:r>
        <w:rPr>
          <w:rFonts w:ascii="Times New Roman" w:cs="Times New Roman" w:eastAsia="Times New Roman" w:hAnsi="Times New Roman"/>
          <w:sz w:val="17"/>
          <w:szCs w:val="17"/>
          <w:color w:val="auto"/>
        </w:rPr>
        <w:t>Pursuant to the Fifth Amendment, the Lenders agreed to, among other things, (i) waive the Credit Agreement’s covenant that the report and opinion the Company will receive from its independent registered public accounting firm with respect to the financial statements for the year ending December 31, 2024 will not contain a “going concern” or similar qualification, (ii) permanently waive the Credit Agreement’s minimum revenue covenant, and (iii) waive the Fourth Amendment’s requirement that the Company raise, after the effective date of the Fourth Amendment and on or before November 30, 2024, at least $50,000 in gross cash proceeds from the issuance of its common stock, warrants, and/or pre-funded warrants, and/or in cash and/or non-cash consideration from newly entered-into partnering transactions.</w:t>
      </w:r>
    </w:p>
    <w:p>
      <w:pPr>
        <w:spacing w:after="0" w:line="131"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Fifth Amendment includes a new capital raising covenant requiring that the Company receive (A) after the effective date of the Fifth Amendment and on or prior to November 27, 2024, at least $7,000 in gross cash proceeds from the issuance of the Company’s common stock, warrants and/or pre-funded warrants(“Raise 1”), (B) after the effective date of the Fifth Amendment and on or before March 15, 2025 (provided that the Company was required to use its commercially reasonable efforts to satisfy the requirement by February 15, 2025), at least $18,000 in net cash proceeds (including the proceeds of Raise 1) from (i) the issuance of the Company’s common stock, warrants and/or pre-funded warrants, (ii) non-refundable cash consideration from partnering transactions entered into after the effective date of the Fifth Amendment (so long as such partnering transactions would not require the Company or any of its subsidiaries to make any cash investments in connection with the partnering transactions and no such cash investments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56" w:lineRule="auto"/>
        <w:rPr>
          <w:sz w:val="20"/>
          <w:szCs w:val="20"/>
          <w:color w:val="auto"/>
        </w:rPr>
      </w:pPr>
      <w:r>
        <w:rPr>
          <w:rFonts w:ascii="Times New Roman" w:cs="Times New Roman" w:eastAsia="Times New Roman" w:hAnsi="Times New Roman"/>
          <w:sz w:val="18"/>
          <w:szCs w:val="18"/>
          <w:color w:val="auto"/>
        </w:rPr>
        <w:t>are made), (iii) the issuance of the Company’s subordinated debt (subject to terms set forth in the Fifth Amendment), and/or (iv) asset sales permitted pursuant to the Credit Agreement or consented to by the Lenders (such capital raise, “Raise 2”), and (C) after the effective date of the Fifth Amendment and on or prior to the earlier of (x) August 15, 2025 and (y) the date that is 30 days after the final data readout of the SERENITY At-Home Phase 3 trial, at least $29,000 in net cash proceeds (including the proceeds from Raise 1 and Raise 2) from the same permitted capital raising activities listed in the preceding clause (B) (“Raise 3”).</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Fifth Amendment and the required capital raises described in the preceding paragraph,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Lenders agreed to modify the Credit Agreement’s minimum liquidity covenant to require minimum cash liquidity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$7,500 (instead of $25,000) from and after the closing of Raise 1 until March 30, 2025. On March 31, 2025, the minimum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liquidity amount increased to $10,000 and on September 30, 2025, the minimum liquidity amount will further increase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$15,000.</w:t>
      </w:r>
    </w:p>
    <w:p>
      <w:pPr>
        <w:spacing w:after="0" w:line="166" w:lineRule="exact"/>
        <w:rPr>
          <w:sz w:val="20"/>
          <w:szCs w:val="20"/>
          <w:color w:val="auto"/>
        </w:rPr>
      </w:pPr>
    </w:p>
    <w:p>
      <w:pPr>
        <w:ind w:left="60" w:right="43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Fifth Amendment, the Company paid a one-time amortization payment of $2,500 principal amount, together with accrued and unpaid interest and a portion of the prepayment fee and other fees payable in December 2024.</w:t>
      </w:r>
    </w:p>
    <w:p>
      <w:pPr>
        <w:spacing w:after="0" w:line="135"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Fifth Amendment also modifies the interest rate of the loans provided under the Credit Agreement from a floating rate of Term SOFR plus 7.50% per annum, to a fixed rate of 13% per annum, retroactive to and effective as of September 30, 2024. For the quarterly payment dates ending December 31, 2024, March 31, 2025, and June 30, 2025, the Company will have the ability to make interest payments of up to 10% per annum “in-kind” by capitalizing and adding such interest to the outstanding principal amount of the loans under the Credit Agreement. In addition, pursuant to the Fifth Amendment, the Company will be required to make quarterly amortization payments equal to 5.0% of the principal amount of funded loans, together with applicable prepayment fees, beginning on March 31, 2026.</w:t>
      </w:r>
    </w:p>
    <w:p>
      <w:pPr>
        <w:spacing w:after="0" w:line="162"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On the effective date of the Fifth Amendment and as a condition to effectiveness thereof, the Company’s wholly owned subsidiaries OnkosXcel Therapeutics, LLC and OnkosXcel Employee Holdings, LLC (collectively, “OnkosXcel”), which previously provided unsecured guarantees of the Company’s obligations under the Credit Agreement, granted security interests in substantially all of their assets to support such obligations.</w:t>
      </w:r>
    </w:p>
    <w:p>
      <w:pPr>
        <w:spacing w:after="0" w:line="139"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Fifth Amendment amends the negative covenants under the Credit Agreement to remove flexibility the Company and its subsidiaries previously had thereunder to undertake various transactions, including, without limitation, with respect to potential dispositions of OnkosXcel or out-licenses by OnkosXcel of its intellectual property.</w:t>
      </w:r>
    </w:p>
    <w:p>
      <w:pPr>
        <w:spacing w:after="0" w:line="135"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Pursuant to the Fifth Amendment, the Company committed to appoint a new independent board director (subject to customary background checks, applicable law, confirmation of independence and Nasdaq rules), and to provide the independent director with various privileges and committee memberships on the board of directors of the Company (including the appointment of such director on committee to be formed to focus on capital raising and evaluate strategic options). The Company also agreed to engage an investment banker reasonably acceptable to OFA and the Lenders to assist the Company and its board of directors with evaluating and exploring strategic options.</w:t>
      </w:r>
    </w:p>
    <w:p>
      <w:pPr>
        <w:spacing w:after="0" w:line="160" w:lineRule="exact"/>
        <w:rPr>
          <w:sz w:val="20"/>
          <w:szCs w:val="20"/>
          <w:color w:val="auto"/>
        </w:rPr>
      </w:pPr>
    </w:p>
    <w:p>
      <w:pPr>
        <w:ind w:left="60" w:right="219" w:firstLine="324"/>
        <w:spacing w:after="0" w:line="273" w:lineRule="auto"/>
        <w:rPr>
          <w:sz w:val="20"/>
          <w:szCs w:val="20"/>
          <w:color w:val="auto"/>
        </w:rPr>
      </w:pPr>
      <w:r>
        <w:rPr>
          <w:rFonts w:ascii="Times New Roman" w:cs="Times New Roman" w:eastAsia="Times New Roman" w:hAnsi="Times New Roman"/>
          <w:sz w:val="17"/>
          <w:szCs w:val="17"/>
          <w:color w:val="auto"/>
        </w:rPr>
        <w:t>The Company also agreed to covenants requiring that the Company’s cash expenditures be monitored by the Lenders according to a board-approved budget provided to the Lenders prior to the signing of the Fifth Amendment, which cash budget will be updated on a bi-weekly basis going forward. The Company will not be permitted to make disbursements for any two-week period in excess of 115% of the aggregate budgeted amount of disbursements for the applicable period. Finally, pursuant to the Fifth Amendment, the Company is restricted from paying cash bonuses for its employees or executives during the fiscal years 2024 and 2025 without OFA’s consent or increasing the cash compensation for fiscal year 2025 for certain senior officers of the Company from their compensation for fiscal year 2024.</w:t>
      </w: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Sixth Amendment to Credit Agreement</w:t>
      </w:r>
    </w:p>
    <w:p>
      <w:pPr>
        <w:spacing w:after="0" w:line="202" w:lineRule="exact"/>
        <w:rPr>
          <w:sz w:val="20"/>
          <w:szCs w:val="20"/>
          <w:color w:val="auto"/>
        </w:rPr>
      </w:pPr>
    </w:p>
    <w:p>
      <w:pPr>
        <w:ind w:left="60" w:right="499" w:firstLine="324"/>
        <w:spacing w:after="0" w:line="266" w:lineRule="auto"/>
        <w:rPr>
          <w:sz w:val="20"/>
          <w:szCs w:val="20"/>
          <w:color w:val="auto"/>
        </w:rPr>
      </w:pPr>
      <w:r>
        <w:rPr>
          <w:rFonts w:ascii="Times New Roman" w:cs="Times New Roman" w:eastAsia="Times New Roman" w:hAnsi="Times New Roman"/>
          <w:sz w:val="18"/>
          <w:szCs w:val="18"/>
          <w:color w:val="auto"/>
        </w:rPr>
        <w:t>On March 4, 2025, the Company entered into the Sixth Amendment to our Credit Agreement (the “Sixth Amendment”), pursuant to which the Lenders agreed to, among other things, delay the date on which the Company is required to engage an investment banker (which date has been subsequently extended to July 31, 2025).</w:t>
      </w:r>
    </w:p>
    <w:p>
      <w:pPr>
        <w:spacing w:after="0" w:line="135" w:lineRule="exact"/>
        <w:rPr>
          <w:sz w:val="20"/>
          <w:szCs w:val="20"/>
          <w:color w:val="auto"/>
        </w:rPr>
      </w:pPr>
    </w:p>
    <w:p>
      <w:pPr>
        <w:ind w:left="380" w:right="239"/>
        <w:spacing w:after="0" w:line="461" w:lineRule="auto"/>
        <w:rPr>
          <w:sz w:val="20"/>
          <w:szCs w:val="20"/>
          <w:color w:val="auto"/>
        </w:rPr>
      </w:pPr>
      <w:r>
        <w:rPr>
          <w:rFonts w:ascii="Times New Roman" w:cs="Times New Roman" w:eastAsia="Times New Roman" w:hAnsi="Times New Roman"/>
          <w:sz w:val="18"/>
          <w:szCs w:val="18"/>
          <w:color w:val="auto"/>
        </w:rPr>
        <w:t xml:space="preserve">As of June 30, 2025, we were in compliance with all restrictive and financial covenants under the Credit Agreement. </w:t>
      </w:r>
      <w:r>
        <w:rPr>
          <w:rFonts w:ascii="Times New Roman" w:cs="Times New Roman" w:eastAsia="Times New Roman" w:hAnsi="Times New Roman"/>
          <w:sz w:val="18"/>
          <w:szCs w:val="18"/>
          <w:b w:val="1"/>
          <w:bCs w:val="1"/>
          <w:color w:val="auto"/>
        </w:rPr>
        <w:t>Warrants and Equity Investment Right</w:t>
      </w:r>
    </w:p>
    <w:p>
      <w:pPr>
        <w:spacing w:after="0" w:line="1"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Second Amendment, on the Second Amendment Effective Date, the Company amended and restated the warrants granted to the Lenders on April 19, 2022 to purchase up to 17 shares of the Company’s common stock at an exercise price of $320.64 per share (the “Closing Date Warrants”). Pursuant to the amendment and restatement of the Closing Date Warrants, dated December 5, 2023 (the “Amended and Restated Closing Date Warrants”), the exercise price of the Closing Date Warrants has been reduced to $58.3232 per share. In addition, the Company granted new warrants to the Lenders to purchase up to 4 shares of the Company’s common stock (the “2023 Warrant Shares”) at an exercise price of $58.3232 per share (the “2023 Warrants” and together with the Amended and Restated Closing Date Warrants, the “Warrants”). The Amended and Restated Closing Date Warrants and the 2023 Warrants will expire on April 19, 2029 and may be net exercised at the holders election. In addition, pursuant to the Credit Agreement, the Lenders have the right to purchase shares of the Company’s common stock after the Second Amendment Effective Date,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BTI entered into a registration rights agreement (the “Registration Rights Agreement”) with the Lenders and filed a registration statement on Form S-3 to register the shares issuable upon exercise of the Warrants and, if issued, the shares related to the Equity Investment Right, for resale. The maximum shares of the Company’s common stock issuable under the Warrants (including the Closing Date Warrants and the 2023 Warrants) and Lenders’ Equity Investment Right was 366 as of March 31, 2024. On the Second Amendment Effective Date, Company amended and restated its Registration Rights Agreement (the “Amended and Restated Registration Rights Agreement”) with the Lenders, dated April 19, 2022, pursuant to which the Company agreed to register the 2023 Warrant Shares for resale.</w:t>
      </w:r>
    </w:p>
    <w:p>
      <w:pPr>
        <w:spacing w:after="0" w:line="151"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As part of the Credit Agreement, OnkosXcel, a wholly owned subsidiary of BTI, granted warrants to the Lenders to purchase 175 individual limited liability company units (which number of units is not in thousands; referred to herein as the “OnkosXcel Warrants”).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47"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Fourth Amendment discussed below, the Company granted new warrants to the Lenders to purchase up to 6 shares of its common stock (the “2024 Warrant Shares”) at an exercise price of $49.1568 per share (the “2024 Warrants”), which represents a 10% premium over the arithmetic average of the volume-weighted average price of the Company’s common stock on the Nasdaq Capital Market during the 30 trading days preceding the Effective Date. The 2024 Warrants will expire on April 19, 2029 and may be net exercised at the holder’s election. On the Effective Date, the Company amended and restated its Amended and Restated Registration Rights Agreement (the “Second Amended and Restated Registration Rights Agreement”) with the Lenders, originally dated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April 19, 2022. Pursuant to the Second Amended and Restated Registration Rights Agreement, the Company agreed to register the 2024 Warrant Shares for resale.</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Fifth Amendment Warrants, Registration Rights Agreement and Equity Investment Right Termination</w:t>
      </w:r>
    </w:p>
    <w:p>
      <w:pPr>
        <w:spacing w:after="0" w:line="202"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Prior to the Fifth Amendment, pursuant to the Credit Agreement, the Lenders had the right to purchase shares of our common stock,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The Equity investment Right was terminated as part of the Fifth Amendment. We entered into a registration rights agreement with the Lenders (as amended and restated in connection with the Second Amendment, the “Amended and Restated Registration Rights Agreement”) and filed registration statements on Form S-3 to register the shares issuable upon exercise of the Closing Date Warrants, 2023 Warrants and the New Warrants for resale. The maximum shares of our common stock issuable under the Closing Date Warrants, the 2023 Warrants and the Lenders’ Equity Investment Right was 366. On the Effective Date, we further amended and restated the Amended and Restated Registration Rights Agreement (the “Second Amended and Restated Registration Rights Agreement”) with the Lenders. Pursuant to the Second Amended and Restated Registration Rights Agreement, we agreed to register the 2024 Warrant Shares for resale.</w:t>
      </w:r>
    </w:p>
    <w:p>
      <w:pPr>
        <w:spacing w:after="0" w:line="14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Fifth Amendment, the Company agreed to, substantially concurrently with the closing of Raise 1, grant new warrants to the Lenders to purchase an aggregate of 313 shares of common stock on the closing date of the Fifth Amendment, at an exercise price of $0.16 per share (the “New Warrants”). During the three months ended June 30, 2025, the Company issued 284 shares of Common Stock in connection with the cashless exercises of the 313 New Warrants.</w:t>
      </w:r>
    </w:p>
    <w:p>
      <w:pPr>
        <w:spacing w:after="0" w:line="143"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addition, the Company agreed to, substantially concurrently with the closing of Raise 1, amend and restate all warrants to purchase stock of the Company issued to the Lenders prior to the effective date of the Fifth Amendment, to revise the exercise price thereunder to an exercise price equal to the lower of (i) the price per share of the common stock of the Company issued in Raise 1 and (ii) arithmetic average of the volume-weighted average price of the Company’s common stock on the Nasdaq Capital Market during the 30 trading days preceding Raise 1 (such existing warrants, as amended and restated, the “Original Warrants”). The Original Warrants provide the Lenders with the right to purchase a total of 28 shares of common stock of the Company, and the exercise prices of $58.3232 per share and $49.1568 per share were reduced to $7.68 per share.</w:t>
      </w:r>
    </w:p>
    <w:p>
      <w:pPr>
        <w:spacing w:after="0" w:line="165"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On the date of issuance of the New Warrants, the Company agreed to amend and restate its Second Amended and Restated Registration Rights Agreement with the Lenders, dated March 20, 2024. Pursuant to such amendment and restatement (the “Third Amended and Restated Registration Rights Agreement”), the Company will agree to register the shares of common stock issuable under the New Warrants, in addition to all Original Warrants, for resale.</w:t>
      </w:r>
    </w:p>
    <w:p>
      <w:pPr>
        <w:spacing w:after="0" w:line="13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part of entering into the Credit Agreement, OnkosXcel, a wholly owned subsidiary of BTI, granted the OnkosXcel Warrants to the Lenders to purchase 175 individual limited liability company units.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Maturities of debt are expected to be as follows: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09"/>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22,431</w:t>
            </w: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89,725</w:t>
            </w: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was as follows: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22"/>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9"/>
        </w:trPr>
        <w:tc>
          <w:tcPr>
            <w:tcW w:w="4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r>
      <w:tr>
        <w:trPr>
          <w:trHeight w:val="196"/>
        </w:trPr>
        <w:tc>
          <w:tcPr>
            <w:tcW w:w="4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r>
      <w:tr>
        <w:trPr>
          <w:trHeight w:val="216"/>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debt discount and amortization of financing costs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0"/>
        </w:trPr>
        <w:tc>
          <w:tcPr>
            <w:tcW w:w="4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interest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189" w:lineRule="exact"/>
        <w:rPr>
          <w:sz w:val="20"/>
          <w:szCs w:val="20"/>
          <w:color w:val="auto"/>
        </w:rPr>
      </w:pPr>
    </w:p>
    <w:p>
      <w:pPr>
        <w:ind w:left="60" w:right="219" w:firstLine="405"/>
        <w:spacing w:after="0" w:line="253" w:lineRule="auto"/>
        <w:rPr>
          <w:sz w:val="20"/>
          <w:szCs w:val="20"/>
          <w:color w:val="auto"/>
        </w:rPr>
      </w:pPr>
      <w:r>
        <w:rPr>
          <w:rFonts w:ascii="Times New Roman" w:cs="Times New Roman" w:eastAsia="Times New Roman" w:hAnsi="Times New Roman"/>
          <w:sz w:val="18"/>
          <w:szCs w:val="18"/>
          <w:color w:val="auto"/>
        </w:rPr>
        <w:t xml:space="preserve">BTI identified certain freestanding financial instruments and/or embedded features that require separate accounting from the borrowings under the OFA Facilities. This includes the OnkosXcel Warrants and Equity Investment Right held by the Lenders, along with certain put/call options. The OnkosXcel Warrants and Equity Investment Right do not meet certain scope exceptions under U.S. GAAP, primarily because the exercise prices and number of shares of the Company’s common stock issuable under the instruments are variable, and the instruments meet the definition of a derivative instrument. Therefore, these instruments are recorded as Derivative liabilities in the Condensed Consolidated Balance Sheets. The respective derivative liabilities were recorded at fair value on the date of issuance and are revalued on each balance sheet date until such instruments are settled or expire, with changes in the fair value between reporting periods recorded within Other (income) expense, net in the Company’s Condensed Consolidated Statements of Operations. As discussed in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the Equity Investment Right was terminated on November 25, 2024 in connection with the Fifth Amendment to the Credit Agreement, and the Company recorded a termination gain, reducing the carrying value of the Equity Investment Right to $0.</w:t>
      </w:r>
    </w:p>
    <w:p>
      <w:pPr>
        <w:spacing w:after="0" w:line="188" w:lineRule="exact"/>
        <w:rPr>
          <w:sz w:val="20"/>
          <w:szCs w:val="20"/>
          <w:color w:val="auto"/>
        </w:rPr>
      </w:pPr>
    </w:p>
    <w:p>
      <w:pPr>
        <w:ind w:left="60" w:right="159" w:firstLine="401"/>
        <w:spacing w:after="0" w:line="254" w:lineRule="auto"/>
        <w:rPr>
          <w:sz w:val="20"/>
          <w:szCs w:val="20"/>
          <w:color w:val="auto"/>
        </w:rPr>
      </w:pPr>
      <w:r>
        <w:rPr>
          <w:rFonts w:ascii="Times New Roman" w:cs="Times New Roman" w:eastAsia="Times New Roman" w:hAnsi="Times New Roman"/>
          <w:sz w:val="18"/>
          <w:szCs w:val="18"/>
          <w:color w:val="auto"/>
        </w:rPr>
        <w:t xml:space="preserve">With respect to the Purchase Agreement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xml:space="preserve">, BTI determined that the Accompanying Warrants fail the equity classification criteria and are therefore classified as liabilities in accordance with ASC 480, Distinguishing Liabilities from Equity ("ASC 480") and ASC 815, Derivatives and Hedging (“ASC 815”). The Accompanying Warrants failed to meet the requirements to be indexed to equity and equity classified, and meet the definition of a derivative instrument. Therefore, these instruments are recorded as Derivative liabilities in the Condensed Consolidated Balance Sheet as of June 30, 2025. The respective derivative liabilities were recorded at fair value on the date of issuance and are revalued on each balance sheet date until such instruments are settled or expire, with changes in the fair value between reporting periods recorded within Other (income) expense, net in the Company’s Condensed Consolidated Statements of Operations. We value the Accompanying Warrants using the Black-Scholes option pricing model as discussed in Note 14,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0" w:right="499" w:firstLine="401"/>
        <w:spacing w:after="0" w:line="261" w:lineRule="auto"/>
        <w:rPr>
          <w:sz w:val="20"/>
          <w:szCs w:val="20"/>
          <w:color w:val="auto"/>
        </w:rPr>
      </w:pPr>
      <w:r>
        <w:rPr>
          <w:rFonts w:ascii="Times New Roman" w:cs="Times New Roman" w:eastAsia="Times New Roman" w:hAnsi="Times New Roman"/>
          <w:sz w:val="18"/>
          <w:szCs w:val="18"/>
          <w:color w:val="auto"/>
        </w:rPr>
        <w:t>On November 21, 2024, the exercise price of 534 of the Accompanying Warrants was reduced from $51.20 to $9.136 per share. For the three and six months ended June 30, 2025, the Company recorded total net gains of $78 and $1,757, respectively, in Other (income) expense, net, in the Company’s Consolidated Statements of Operations. As of June 30, 2025, the fair value of the Accompanying Warrants was $563.</w:t>
      </w:r>
    </w:p>
    <w:p>
      <w:pPr>
        <w:spacing w:after="0" w:line="178" w:lineRule="exact"/>
        <w:rPr>
          <w:sz w:val="20"/>
          <w:szCs w:val="20"/>
          <w:color w:val="auto"/>
        </w:rPr>
      </w:pPr>
    </w:p>
    <w:p>
      <w:pPr>
        <w:jc w:val="both"/>
        <w:ind w:left="60" w:right="159" w:firstLine="401"/>
        <w:spacing w:after="0" w:line="267" w:lineRule="auto"/>
        <w:rPr>
          <w:sz w:val="20"/>
          <w:szCs w:val="20"/>
          <w:color w:val="auto"/>
        </w:rPr>
      </w:pPr>
      <w:r>
        <w:rPr>
          <w:rFonts w:ascii="Times New Roman" w:cs="Times New Roman" w:eastAsia="Times New Roman" w:hAnsi="Times New Roman"/>
          <w:sz w:val="18"/>
          <w:szCs w:val="18"/>
          <w:color w:val="auto"/>
        </w:rPr>
        <w:t xml:space="preserve">On November 25, 2024, with respect to the Underwriter Agreement discussed in Note 11, </w:t>
      </w:r>
      <w:r>
        <w:rPr>
          <w:rFonts w:ascii="Times New Roman" w:cs="Times New Roman" w:eastAsia="Times New Roman" w:hAnsi="Times New Roman"/>
          <w:sz w:val="18"/>
          <w:szCs w:val="18"/>
          <w:i w:val="1"/>
          <w:iCs w:val="1"/>
          <w:color w:val="auto"/>
        </w:rPr>
        <w:t>Common Stock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Activities</w:t>
      </w:r>
      <w:r>
        <w:rPr>
          <w:rFonts w:ascii="Times New Roman" w:cs="Times New Roman" w:eastAsia="Times New Roman" w:hAnsi="Times New Roman"/>
          <w:sz w:val="18"/>
          <w:szCs w:val="18"/>
          <w:color w:val="auto"/>
        </w:rPr>
        <w:t>, the Company issued additional warrants (the “November 2024 Accompanying Warrants”). The November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Accompanying Warrants failed to meet the requirements to be indexed to equity and equity classified,</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and meet the definition of a derivative instrument. Therefore, these instruments are recorded as Derivative liabilities in the</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Consolidated Balance Sheet as of June 30, 2025. The respective derivative liabilities were recorded at fair value on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of issuance and are revalued on each balance sheet date until such instruments are settled or expire, with changes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between reporting periods recorded within Other (income) expense, net in the Company’s Consolidated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Statements of Operations. For the three and six months ended June 30, 2025, the Company recorded total net gains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$160 and $3,240, respectively, in Other (income) expense, net, in the Company’s Consolidated Statements of Operations.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June 30, 2025, the fair value of the November 2024 Accompanying Warrants was $1,033.</w:t>
      </w:r>
    </w:p>
    <w:p>
      <w:pPr>
        <w:spacing w:after="0" w:line="205" w:lineRule="exact"/>
        <w:rPr>
          <w:sz w:val="20"/>
          <w:szCs w:val="20"/>
          <w:color w:val="auto"/>
        </w:rPr>
      </w:pPr>
    </w:p>
    <w:p>
      <w:pPr>
        <w:ind w:left="60" w:right="219" w:firstLine="401"/>
        <w:spacing w:after="0" w:line="270" w:lineRule="auto"/>
        <w:rPr>
          <w:sz w:val="20"/>
          <w:szCs w:val="20"/>
          <w:color w:val="auto"/>
        </w:rPr>
      </w:pPr>
      <w:r>
        <w:rPr>
          <w:rFonts w:ascii="Times New Roman" w:cs="Times New Roman" w:eastAsia="Times New Roman" w:hAnsi="Times New Roman"/>
          <w:sz w:val="17"/>
          <w:szCs w:val="17"/>
          <w:color w:val="auto"/>
        </w:rPr>
        <w:t xml:space="preserve">On March 3, 2025, with respect to the March 2025 Offering discussed in Note 11, </w:t>
      </w:r>
      <w:r>
        <w:rPr>
          <w:rFonts w:ascii="Times New Roman" w:cs="Times New Roman" w:eastAsia="Times New Roman" w:hAnsi="Times New Roman"/>
          <w:sz w:val="17"/>
          <w:szCs w:val="17"/>
          <w:i w:val="1"/>
          <w:iCs w:val="1"/>
          <w:color w:val="auto"/>
        </w:rPr>
        <w:t>Common Stock Financing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Activities</w:t>
      </w:r>
      <w:r>
        <w:rPr>
          <w:rFonts w:ascii="Times New Roman" w:cs="Times New Roman" w:eastAsia="Times New Roman" w:hAnsi="Times New Roman"/>
          <w:sz w:val="17"/>
          <w:szCs w:val="17"/>
          <w:color w:val="auto"/>
        </w:rPr>
        <w:t>, the Company issued additional warrants (the “March 2025 Accompanying Warrants”). The March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Accompanying Warrants failed to meet the requirements to be indexed to equity and equity classified, and meet the definition of a derivative instrument. Therefore, these instruments are recorded as Derivative liabilities in the Consolidated Balance Sheet as of June 30, 2025. The respective derivative liabilities were recorded at fair value on the date of issuance in the amount of $2,831 and are revalued on each balance sheet date until such instruments are settled or expire, with changes in the fair value between reporting periods recorded within Other (income) expense, net in the Company’s Consolidated Statements of Operations. For the three and six months ended June 30, 2025, the Company recorded total net gains of $425 and $1,854, respectively, in Other (income) expense, net, in the Company’s Consolidated Statements of Operations. As of June 30, 2025, the fair value of the March 2025 Accompanying Warrants was $977.</w:t>
      </w:r>
    </w:p>
    <w:p>
      <w:pPr>
        <w:spacing w:after="0" w:line="177" w:lineRule="exact"/>
        <w:rPr>
          <w:sz w:val="20"/>
          <w:szCs w:val="20"/>
          <w:color w:val="auto"/>
        </w:rPr>
      </w:pPr>
    </w:p>
    <w:p>
      <w:pPr>
        <w:ind w:left="60" w:right="179" w:firstLine="401"/>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March 2025 Offering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the Company also issued option warrants (the “Option Warrants”). The Option Warrants failed to meet the requirements to be indexed to equity and equity classified, and meet the definition of a derivative instrument. Therefore, these instruments are initially recorded as Derivative liabilities. The respective derivative liabilities were recorded at fair value on the date of issuance in the amount of $369. The Option Warrants expired on March 18, 2025 without being exercised, and the Company recorded a termination gain of $369 in Other (income) expense, net, in the Company’s Condensed Consolidated Statements of Operations. As of June 30, 2025, the fair value of the Option Warrants was $0.</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Common Stock Financing Activities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Jeffries At-the-Market Program</w:t>
      </w:r>
    </w:p>
    <w:p>
      <w:pPr>
        <w:spacing w:after="0" w:line="229" w:lineRule="exact"/>
        <w:rPr>
          <w:sz w:val="20"/>
          <w:szCs w:val="20"/>
          <w:color w:val="auto"/>
        </w:rPr>
      </w:pPr>
    </w:p>
    <w:p>
      <w:pPr>
        <w:ind w:left="60" w:right="159" w:firstLine="324"/>
        <w:spacing w:after="0" w:line="270" w:lineRule="auto"/>
        <w:rPr>
          <w:sz w:val="20"/>
          <w:szCs w:val="20"/>
          <w:color w:val="auto"/>
        </w:rPr>
      </w:pPr>
      <w:r>
        <w:rPr>
          <w:rFonts w:ascii="Times New Roman" w:cs="Times New Roman" w:eastAsia="Times New Roman" w:hAnsi="Times New Roman"/>
          <w:sz w:val="17"/>
          <w:szCs w:val="17"/>
          <w:color w:val="auto"/>
        </w:rPr>
        <w:t>In May 2021, the Company entered into an Open Market Sale Agreement (as amended, supplemented and/or restated from time to time, the “Sale Agreement”) with Jefferies LLC (“Jefferies”) pursuant to which the Company could offer and sell shares of its common stock, having an aggregate offering price of up to $100,000, from time to time, through an “at the market offering” program under which Jefferies will act as sale agent. In November 2023, the Company amended the Sale Agreement to increase the size of the “at the market offering" program to $150,000. On March 26, 2025, the Company and Jefferies terminated that certain Open Market Sales Agreement. There have been no sales of the Company’s common stock under the Sale Agreement for the three and six months ended June 30, 2025. For the three months ended June 30, 2024, the Company sold 177 shares under the Sale Agreement for gross proceeds of $5,472 and received proceeds of $5,308, net of issuance costs of $164. For the six months ended June 30, 2024, the Company sold 218 shares under the Sale Agreement for gross proceeds of $7,215 and received proceeds of $6,999, net of issuance costs of $216.</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March 2024 Offering</w:t>
      </w:r>
    </w:p>
    <w:p>
      <w:pPr>
        <w:spacing w:after="0" w:line="22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On March 25, 2024, the Company entered into a Securities Purchase Agreement (the “Purchase Agreement”) with the purchasers named therein (collectively, the “Purchasers”). Pursuant to the Purchase Agreement, the Company agreed to issue and sell to the Purchasers in a registered direct offering (the “Offering”) under an effective shelf registration statement on Form S-3 (File No. 333-275261) and a related prospectus supplement filed with the Securities and Exchange Commission on March 25, 2024 (the “Prospectus Supplement”) an aggregate of 191 shares (the “Shares”) of Common Stock, and accompanying warrants (the “Accompanying Warrants”) to purchase up to 191 shares of common stock at a combined offering price of $46.416 per Share and Accompanying Warrant and pre-funded warrants (the “Pre-Funded Warrants”) to purchase up to 348 shares of common stock and Accompanying Warrants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purchase up to 348 shares of common stock, at a combined offering price of $46.40 per share underlying each Pre-Funded</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Warrant and Accompanying Warrant, which equals the offering price per Share and Accompanying Warrant less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$0.016 exercise price per share of the Pre-Funded Warrants. The Pre-Funded Warrants and Accompanying Warrants are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listed on the Nasdaq Capital Market or any other securities exchange or trading system and the Company does not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intend to list them. On March 27, 2024, the Company received $25,000 of gross proceeds from the Offering, incurred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costs of $248, and received net proceeds of $24,752.</w:t>
      </w:r>
    </w:p>
    <w:p>
      <w:pPr>
        <w:spacing w:after="0" w:line="207"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Pre-Funded Warrants have an exercise price per share of common stock equal to $0.016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The Pre-Funded Warrants meet the equity classification criteria and are therefore classified as equity. For the year ended December 31, 2024, all 348 Pre-Funded Warrants were exercised and the same number of shares of common stock were issued.</w:t>
      </w:r>
    </w:p>
    <w:p>
      <w:pPr>
        <w:spacing w:after="0" w:line="189"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Accompanying Warrants have an exercise price per share of common stock equal to $51.20 per share. The exercise price and the number of shares of common stock issuable upon exercise of the Accompanying Warrants are subject to appropriate adjustments in the event of certain stock dividends and distributions, stock splits, stock combinations, reclassifications or similar events affecting the common stock. The Accompanying Warrants will be exercisable at any time after the date of issuance and will expire on the fifth anniversary of the date of issuance. The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Condensed Consolidated Balance Sheet as of June 30, 2025.</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November 2024 Offering</w:t>
      </w:r>
    </w:p>
    <w:p>
      <w:pPr>
        <w:spacing w:after="0" w:line="22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On November 22, 2024, the Company entered into an underwriting agreement (the “Underwriting Agreement”) with Canaccord Genuity LLC, as underwriter (the “Underwriter”), in connection with the issuance and sale by the Company in a public offering of (i) 350 shares of the Company’s common stock, and accompanying warrants (the “November 2024 Accompanying Warrants”) to purchase 350 shares of Common Stock, at a combined public offering price of $7.68 per share, and, in lieu thereof to certain investors, (ii) Pre-Funded Warrants to purchase 563 shares of Common Stock, and accompanying warrants to purchase 563 shares of Common Stock, at a combined public offering price of $7.664 per pre-funded warrant, which equals the public offering price per share of Common Stock and accompanying warrant less the $0.016 exercise price per share of the pre-funded warrants, less underwriting discounts and commissions, pursuant to an effective shelf registration statement on Form S-3 (Registration No. 333-275261) and a related prospectus supplement filed with the Securities and Exchange Commission. The Company received net proceeds from the offering of approximately $6,128, after deducting underwriting discounts and commissions and offering expenses of $871. The Company intends to use the net proceeds of the offering to fund the SERENITY At-Home trial, prepare for the initiation of the TRANQUILITY In-Care trial, working capital and general corporate purposes.</w:t>
      </w:r>
    </w:p>
    <w:p>
      <w:pPr>
        <w:spacing w:after="0" w:line="18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Pre-Funded Warrants have an exercise price per share of common stock equal to $0.016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The Pre-Funded Warrants meet the equity classification criteria and are therefore classified as equity. For the year ended December 31, 2024, 80 Pre-Funded Warrants were exercised and the same number of shares of common stock were issued. The remaining 483 Pre-Funded Warrants were exercised and the same number of common stock were issued during the first three months of 2025 in exchange for $8 of proceeds received.</w:t>
      </w:r>
    </w:p>
    <w:p>
      <w:pPr>
        <w:spacing w:after="0" w:line="192" w:lineRule="exact"/>
        <w:rPr>
          <w:sz w:val="20"/>
          <w:szCs w:val="20"/>
          <w:color w:val="auto"/>
        </w:rPr>
      </w:pPr>
    </w:p>
    <w:p>
      <w:pPr>
        <w:ind w:left="60" w:right="319" w:firstLine="324"/>
        <w:spacing w:after="0" w:line="289" w:lineRule="auto"/>
        <w:rPr>
          <w:sz w:val="20"/>
          <w:szCs w:val="20"/>
          <w:color w:val="auto"/>
        </w:rPr>
      </w:pPr>
      <w:r>
        <w:rPr>
          <w:rFonts w:ascii="Times New Roman" w:cs="Times New Roman" w:eastAsia="Times New Roman" w:hAnsi="Times New Roman"/>
          <w:sz w:val="17"/>
          <w:szCs w:val="17"/>
          <w:color w:val="auto"/>
        </w:rPr>
        <w:t>The November 2024 Accompanying Warrants have an exercise price per share of common stock equal to $7.68 per share. The exercise price and the number of shares of common stock issuable upon exercise of the November 2024 Accompanying Warrants are subject to appropriate adjustments in the event of certain stock dividends and distributions,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56" w:lineRule="auto"/>
        <w:rPr>
          <w:sz w:val="20"/>
          <w:szCs w:val="20"/>
          <w:color w:val="auto"/>
        </w:rPr>
      </w:pPr>
      <w:r>
        <w:rPr>
          <w:rFonts w:ascii="Times New Roman" w:cs="Times New Roman" w:eastAsia="Times New Roman" w:hAnsi="Times New Roman"/>
          <w:sz w:val="18"/>
          <w:szCs w:val="18"/>
          <w:color w:val="auto"/>
        </w:rPr>
        <w:t>stock splits, stock combinations, reclassifications or similar events affecting the common stock. The November 2024 Accompanying Warrants are exercisable at any time after the date of issuance and will expire on the fifth anniversary of the date of issuance. The November 2024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Condensed Consolidated Balance Sheet as of June 30, 2025.</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March 2025 Offering</w:t>
      </w:r>
    </w:p>
    <w:p>
      <w:pPr>
        <w:spacing w:after="0" w:line="22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On March 3, 2025, the Company entered into a purchase agreement (the “March 2025 Offering”) with a purchaser. Pursuant to the March 2025 Offering, the Company agreed to issue and sell to the purchaser and the purchaser agreed to buy in a registered direct offering (i) an aggregate of 188 shares (the “Shares”) of Common Stock at an offering price of $3.50 per Share, (ii) Pre-Funded Warrants to purchase up to 3,812 shares of Common Stock, at an offering price of $3.499 per share underlying the Pre-Funded Warrants, which equals the offering price per share less the $0.001 exercise price per share of the Pre-Funded Warrants, and (iii) an aggregate of 4,000 accompanying warrants (the “March 2025 Accompanying Warrants”) to purchase up to 4,000 shares of Common Stock at an offering price of $4.20 per accompanying warrant, pursuant to an effective registration statement on Form S-3 (File No. 333-275261), including the base prospectus included therein, and prospectus supplement filed with the SEC on March 4, 2025. The Company received net proceeds from the offering of approximately $12,957, after deducting underwriting discounts and commissions and offering expenses of $1,039.</w:t>
      </w:r>
    </w:p>
    <w:p>
      <w:pPr>
        <w:spacing w:after="0" w:line="186" w:lineRule="exact"/>
        <w:rPr>
          <w:sz w:val="20"/>
          <w:szCs w:val="20"/>
          <w:color w:val="auto"/>
        </w:rPr>
      </w:pPr>
    </w:p>
    <w:p>
      <w:pPr>
        <w:ind w:left="60" w:right="199" w:firstLine="324"/>
        <w:spacing w:after="0" w:line="272" w:lineRule="auto"/>
        <w:rPr>
          <w:sz w:val="20"/>
          <w:szCs w:val="20"/>
          <w:color w:val="auto"/>
        </w:rPr>
      </w:pPr>
      <w:r>
        <w:rPr>
          <w:rFonts w:ascii="Times New Roman" w:cs="Times New Roman" w:eastAsia="Times New Roman" w:hAnsi="Times New Roman"/>
          <w:sz w:val="17"/>
          <w:szCs w:val="17"/>
          <w:color w:val="auto"/>
        </w:rPr>
        <w:t>The Pre-Funded Warrants have an exercise price per share of common stock equal to $0.001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The Pre-Funded Warrants meet the equity classification criteria and are therefore classified as equity. For the three months ended June 30, 2025, 765 Pre-Funded Warrants were exercised and the same number of common stock were issued in exchange for $1 of proceeds received. For the six months ended June 30, 2025, 2,453 Pre-Funded Warrants were exercised and the same number of common stock were issued in exchange for $3 of proceeds received.</w:t>
      </w:r>
    </w:p>
    <w:p>
      <w:pPr>
        <w:spacing w:after="0" w:line="17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March 2025 Accompanying Warrants have an exercise price per share of common stock equal to $4.20 per share. The exercise price and the number of shares of common stock issuable upon exercise of the March 2025 Accompanying Warrants are subject to appropriate adjustments in the event of certain stock dividends and distributions, stock splits, stock combinations, reclassifications or similar events affecting the common stock. The March 2025 Accompanying Warrants will be exercisable at any time after the date of issuance and will expire on the fifth anniversary of the date of issuance. The March 2025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Condensed Consolidated Balance Sheet as of June 30, 2025.</w:t>
      </w:r>
    </w:p>
    <w:p>
      <w:pPr>
        <w:spacing w:after="0" w:line="188" w:lineRule="exact"/>
        <w:rPr>
          <w:sz w:val="20"/>
          <w:szCs w:val="20"/>
          <w:color w:val="auto"/>
        </w:rPr>
      </w:pPr>
    </w:p>
    <w:p>
      <w:pPr>
        <w:ind w:left="60" w:right="419" w:firstLine="324"/>
        <w:spacing w:after="0" w:line="256" w:lineRule="auto"/>
        <w:rPr>
          <w:sz w:val="20"/>
          <w:szCs w:val="20"/>
          <w:color w:val="auto"/>
        </w:rPr>
      </w:pPr>
      <w:r>
        <w:rPr>
          <w:rFonts w:ascii="Times New Roman" w:cs="Times New Roman" w:eastAsia="Times New Roman" w:hAnsi="Times New Roman"/>
          <w:sz w:val="18"/>
          <w:szCs w:val="18"/>
          <w:color w:val="auto"/>
        </w:rPr>
        <w:t>In the March 2025 Offering, the Company also issued to the purchaser option warrants, to purchase up to 4,000 shares of Common Stock (or pre-funded warrants in lieu thereof) and accompanying warrants to purchase up to 4,000 shares of Common Stock. The exercise price of the Option Warrant is $3.50 per underlying share of Common Stock or $3.499 per underlying pre-funded warrant to purchase one share of Common Stock and accompanying warrant. The option accompanying warrants have an exercise price per share of common stock equal to $4.20 per share. The Option Warrants expired on March 18, 2025 without being exercised.</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Canaccord At-the-Market Program</w:t>
      </w:r>
    </w:p>
    <w:p>
      <w:pPr>
        <w:spacing w:after="0" w:line="229"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On April 3, 2025, the Company entered into an Equity Distribution Agreement (the “Equity Distribution Agreement”) with Canaccord Genuity LLC (“Canaccord”) to sell shares of the Company’s common stock, par value $0.001 per share, with aggregate gross sales proceeds of up to $8,135, from time to time, through an “at the market” equity offering program under which Canaccord will act as sales agent. For the three months ended June 30, 2025, the Company sold 97 shares of its common stock for a gross amount of $139, incurred issuance costs of $4, and received net proceeds of $135.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189"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The Company’s 2017 Plan became effective in August 2017. Following the effective date of the Company's 2020 Plan, the Company ceased granting awards under the 2017 Plan, however, the terms and conditions of the 2017 Plan continue to govern any outstanding awards granted thereunder.</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2020 Incentive Award Plan</w:t>
      </w:r>
    </w:p>
    <w:p>
      <w:pPr>
        <w:spacing w:after="0" w:line="202" w:lineRule="exact"/>
        <w:rPr>
          <w:sz w:val="20"/>
          <w:szCs w:val="20"/>
          <w:color w:val="auto"/>
        </w:rPr>
      </w:pPr>
    </w:p>
    <w:p>
      <w:pPr>
        <w:ind w:left="60" w:right="279" w:firstLine="324"/>
        <w:spacing w:after="0" w:line="272" w:lineRule="auto"/>
        <w:rPr>
          <w:sz w:val="20"/>
          <w:szCs w:val="20"/>
          <w:color w:val="auto"/>
        </w:rPr>
      </w:pPr>
      <w:r>
        <w:rPr>
          <w:rFonts w:ascii="Times New Roman" w:cs="Times New Roman" w:eastAsia="Times New Roman" w:hAnsi="Times New Roman"/>
          <w:sz w:val="17"/>
          <w:szCs w:val="17"/>
          <w:color w:val="auto"/>
        </w:rPr>
        <w:t>The Company’s 2020 Plan was approved and became effective at the Company’s 2020 annual meeting of stockholders on May 20, 2020, and unless earlier terminated by the Board of Directors, will remain in effect until March 26, 2030. The 2020 Plan originally authorized for issuance the sum of (i) 57 shares of the Company’s common stock and</w:t>
      </w:r>
    </w:p>
    <w:p>
      <w:pPr>
        <w:spacing w:after="0" w:line="2" w:lineRule="exact"/>
        <w:rPr>
          <w:sz w:val="20"/>
          <w:szCs w:val="20"/>
          <w:color w:val="auto"/>
        </w:rPr>
      </w:pPr>
    </w:p>
    <w:p>
      <w:pPr>
        <w:ind w:left="60" w:right="159" w:hanging="10"/>
        <w:spacing w:after="0" w:line="251" w:lineRule="auto"/>
        <w:tabs>
          <w:tab w:leader="none" w:pos="3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shares of the Company’s common stock, which represents the number of shares that remained available for issuance under the 2017 Plan immediately prior to the approval of the 2020 Plan by the Company’s stockholders. Any shares of common stock which, immediately prior to the approval of the 2020 Plan by the Company’s stockholders,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 (A) 4% of the aggregate number of shares of the Company’s common stock outstanding on the final day of the immediately preceding calendar year and (B) such smaller number of shares of common stock as determined by the Board of Directors. The shares available for issuance under the 2020 Plan increased by 124 shares and 75 shares on January 1, 2025 and 2024, respectively.</w:t>
      </w:r>
    </w:p>
    <w:p>
      <w:pPr>
        <w:spacing w:after="0" w:line="152"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Stock options granted under the 2020 Plan have a term of ten years. The vesting schedule of all awards granted under the 2020 Plan is determined by the Board of Directors, which is generally four years.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June 30, 2025, there were 74 shares available to be granted under the 2020 Plan.</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Restricted stock units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BTI RSUs.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7400" w:type="dxa"/>
            <w:vAlign w:val="bottom"/>
          </w:tcPr>
          <w:p>
            <w:pPr>
              <w:spacing w:after="0"/>
              <w:rPr>
                <w:sz w:val="15"/>
                <w:szCs w:val="15"/>
                <w:color w:val="auto"/>
              </w:rPr>
            </w:pPr>
          </w:p>
        </w:tc>
        <w:tc>
          <w:tcPr>
            <w:tcW w:w="14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42"/>
        </w:trPr>
        <w:tc>
          <w:tcPr>
            <w:tcW w:w="74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7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19" w:firstLine="324"/>
        <w:spacing w:after="0" w:line="312" w:lineRule="auto"/>
        <w:rPr>
          <w:sz w:val="20"/>
          <w:szCs w:val="20"/>
          <w:color w:val="auto"/>
        </w:rPr>
      </w:pPr>
      <w:r>
        <w:rPr>
          <w:rFonts w:ascii="Times New Roman" w:cs="Times New Roman" w:eastAsia="Times New Roman" w:hAnsi="Times New Roman"/>
          <w:sz w:val="17"/>
          <w:szCs w:val="17"/>
          <w:color w:val="auto"/>
        </w:rPr>
        <w:t>During the six months ended June 30, 2025, the Company granted 68 time-based BTI RSUs which fully vest on the one-year anniversary of the grant date. The weighted average grant date fair value per share for the BTI RSUs for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six months ended June 30, 2025 was $2.02. The remaining outstanding RSUs generally vest over four years, with 25% vesting at the one-year anniversary of the grant date and the balance vesting ratably over the remaining 12 quarters of the vesting period. Unrecognized stock-based compensation expense related to the BTI RSUs was approximately $445 and $1,040 as of June 30, 2025 and 2024, respectively.</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Performance stock units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Performance Units related to BTI common stock.</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7900" w:type="dxa"/>
            <w:vAlign w:val="bottom"/>
          </w:tcPr>
          <w:p>
            <w:pPr>
              <w:spacing w:after="0"/>
              <w:rPr>
                <w:sz w:val="15"/>
                <w:szCs w:val="15"/>
                <w:color w:val="auto"/>
              </w:rPr>
            </w:pPr>
          </w:p>
        </w:tc>
        <w:tc>
          <w:tcPr>
            <w:tcW w:w="9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42"/>
        </w:trPr>
        <w:tc>
          <w:tcPr>
            <w:tcW w:w="79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7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In July 2024, the Company granted 87 Performance Units to employees. The Performance Units vest on the one-year anniversary of the grant date, provided certain performance criteria are met. The weighted average value per share of Performance Units granted in 2024 was $19.20. None of the Performance Units had vested as of June 30, 2025. Unrecognized stock-based compensation expense related to these Performance Units expected to vest was zero as stock-based compensation expense of $1,098 was recognized during the three months ended June 30, 2025 due to certain performance criteria being met as determined by the Compensation Committee of the Board of Directors.</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OnkosXcel profit sharing units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the PSUs associated with OnkosXcel as described below.</w:t>
      </w: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16"/>
        </w:trPr>
        <w:tc>
          <w:tcPr>
            <w:tcW w:w="586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8"/>
                <w:szCs w:val="18"/>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 per unit</w:t>
            </w:r>
          </w:p>
        </w:tc>
      </w:tr>
      <w:tr>
        <w:trPr>
          <w:trHeight w:val="199"/>
        </w:trPr>
        <w:tc>
          <w:tcPr>
            <w:tcW w:w="5860" w:type="dxa"/>
            <w:vAlign w:val="bottom"/>
          </w:tcPr>
          <w:p>
            <w:pPr>
              <w:spacing w:after="0"/>
              <w:rPr>
                <w:sz w:val="17"/>
                <w:szCs w:val="17"/>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7"/>
                <w:szCs w:val="17"/>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 whole dollars)</w:t>
            </w:r>
          </w:p>
        </w:tc>
      </w:tr>
      <w:tr>
        <w:trPr>
          <w:trHeight w:val="209"/>
        </w:trPr>
        <w:tc>
          <w:tcPr>
            <w:tcW w:w="58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r>
      <w:tr>
        <w:trPr>
          <w:trHeight w:val="216"/>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w:t>
            </w:r>
          </w:p>
        </w:tc>
      </w:tr>
      <w:tr>
        <w:trPr>
          <w:trHeight w:val="216"/>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5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units as of June 30, 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r>
      <w:tr>
        <w:trPr>
          <w:trHeight w:val="20"/>
        </w:trPr>
        <w:tc>
          <w:tcPr>
            <w:tcW w:w="5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79" w:firstLine="324"/>
        <w:spacing w:after="0" w:line="261" w:lineRule="auto"/>
        <w:rPr>
          <w:sz w:val="20"/>
          <w:szCs w:val="20"/>
          <w:color w:val="auto"/>
        </w:rPr>
      </w:pPr>
      <w:r>
        <w:rPr>
          <w:rFonts w:ascii="Times New Roman" w:cs="Times New Roman" w:eastAsia="Times New Roman" w:hAnsi="Times New Roman"/>
          <w:sz w:val="18"/>
          <w:szCs w:val="18"/>
          <w:color w:val="auto"/>
        </w:rPr>
        <w:t>During 2024, OnkosXcel Employee Holdings, LLC, a management holding company used to facilitate the grant of equity interests to service providers of OnkosXcel granted 15 individual (not in thousands) time-based PSUs related to OnkosXcel to certain employees of the Company in consideration for services provided to OnkosXcel. The PSUs represent indirect equity interests in OnkosXcel. These PSUs vest ratably over 48 months.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PSUs granted in 2024 were estimated at the date of grant using a Black-Scholes option pricing model and assumptions below.</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2024 grant profit share</w:t>
            </w:r>
          </w:p>
        </w:tc>
      </w:tr>
      <w:tr>
        <w:trPr>
          <w:trHeight w:val="238"/>
        </w:trPr>
        <w:tc>
          <w:tcPr>
            <w:tcW w:w="6560" w:type="dxa"/>
            <w:vAlign w:val="bottom"/>
          </w:tcPr>
          <w:p>
            <w:pPr>
              <w:spacing w:after="0"/>
              <w:rPr>
                <w:sz w:val="20"/>
                <w:szCs w:val="20"/>
                <w:color w:val="auto"/>
              </w:rPr>
            </w:pP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unit valuation inputs</w:t>
            </w:r>
          </w:p>
        </w:tc>
      </w:tr>
      <w:tr>
        <w:trPr>
          <w:trHeight w:val="209"/>
        </w:trPr>
        <w:tc>
          <w:tcPr>
            <w:tcW w:w="656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9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97.4 %</w:t>
            </w:r>
          </w:p>
        </w:tc>
        <w:tc>
          <w:tcPr>
            <w:tcW w:w="320" w:type="dxa"/>
            <w:vAlign w:val="bottom"/>
            <w:shd w:val="clear" w:color="auto" w:fill="CCEEFF"/>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19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3.6 %</w:t>
            </w:r>
          </w:p>
        </w:tc>
        <w:tc>
          <w:tcPr>
            <w:tcW w:w="32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2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2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5.8 years</w:t>
            </w:r>
          </w:p>
        </w:tc>
      </w:tr>
    </w:tbl>
    <w:p>
      <w:pPr>
        <w:spacing w:after="0" w:line="179"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Unrecognized stock-based compensation expense related to these awards was $230 and $372 as of June 30, 2025 and 2024, respectively.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OnkosXcel restricted stock units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the OnkosXcel RSUs.</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4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7400" w:type="dxa"/>
            <w:vAlign w:val="bottom"/>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units</w:t>
            </w:r>
          </w:p>
        </w:tc>
      </w:tr>
      <w:tr>
        <w:trPr>
          <w:trHeight w:val="209"/>
        </w:trPr>
        <w:tc>
          <w:tcPr>
            <w:tcW w:w="7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7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74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139 OnkosXcel Restricted Stock Units outstanding. Unrecognized stock-based compensation expense related to the awards expected to vest was approximately $40 and $312 as of June 30, 2025 and 2024, respectively.</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Stock options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the Company’s stock option activity for the six months ended June 30, 2025 is presented below.</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5500" w:type="dxa"/>
            <w:vAlign w:val="bottom"/>
          </w:tcPr>
          <w:p>
            <w:pPr>
              <w:spacing w:after="0"/>
              <w:rPr>
                <w:sz w:val="15"/>
                <w:szCs w:val="15"/>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price per share</w:t>
            </w:r>
          </w:p>
        </w:tc>
      </w:tr>
      <w:tr>
        <w:trPr>
          <w:trHeight w:val="142"/>
        </w:trPr>
        <w:tc>
          <w:tcPr>
            <w:tcW w:w="55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265.36</w:t>
            </w:r>
          </w:p>
        </w:tc>
        <w:tc>
          <w:tcPr>
            <w:tcW w:w="260" w:type="dxa"/>
            <w:vAlign w:val="bottom"/>
            <w:shd w:val="clear" w:color="auto" w:fill="CCEEFF"/>
          </w:tcPr>
          <w:p>
            <w:pPr>
              <w:spacing w:after="0"/>
              <w:rPr>
                <w:sz w:val="18"/>
                <w:szCs w:val="18"/>
                <w:color w:val="auto"/>
              </w:rPr>
            </w:pPr>
          </w:p>
        </w:tc>
      </w:tr>
      <w:tr>
        <w:trPr>
          <w:trHeight w:val="216"/>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6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w:t>
            </w:r>
          </w:p>
        </w:tc>
        <w:tc>
          <w:tcPr>
            <w:tcW w:w="260" w:type="dxa"/>
            <w:vAlign w:val="bottom"/>
            <w:shd w:val="clear" w:color="auto" w:fill="CCEEFF"/>
          </w:tcPr>
          <w:p>
            <w:pPr>
              <w:spacing w:after="0"/>
              <w:rPr>
                <w:sz w:val="18"/>
                <w:szCs w:val="18"/>
                <w:color w:val="auto"/>
              </w:rPr>
            </w:pPr>
          </w:p>
        </w:tc>
      </w:tr>
      <w:tr>
        <w:trPr>
          <w:trHeight w:val="216"/>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374.66</w:t>
            </w:r>
          </w:p>
        </w:tc>
        <w:tc>
          <w:tcPr>
            <w:tcW w:w="26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204.57</w:t>
            </w:r>
          </w:p>
        </w:tc>
        <w:tc>
          <w:tcPr>
            <w:tcW w:w="260" w:type="dxa"/>
            <w:vAlign w:val="bottom"/>
            <w:tcBorders>
              <w:bottom w:val="single" w:sz="8" w:color="CCEEFF"/>
            </w:tcBorders>
          </w:tcPr>
          <w:p>
            <w:pPr>
              <w:spacing w:after="0"/>
              <w:rPr>
                <w:sz w:val="21"/>
                <w:szCs w:val="21"/>
                <w:color w:val="auto"/>
              </w:rPr>
            </w:pPr>
          </w:p>
        </w:tc>
      </w:tr>
      <w:tr>
        <w:trPr>
          <w:trHeight w:val="196"/>
        </w:trPr>
        <w:tc>
          <w:tcPr>
            <w:tcW w:w="5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June 30,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241.14</w:t>
            </w:r>
          </w:p>
        </w:tc>
        <w:tc>
          <w:tcPr>
            <w:tcW w:w="260" w:type="dxa"/>
            <w:vAlign w:val="bottom"/>
          </w:tcPr>
          <w:p>
            <w:pPr>
              <w:spacing w:after="0"/>
              <w:rPr>
                <w:sz w:val="20"/>
                <w:szCs w:val="20"/>
                <w:color w:val="auto"/>
              </w:rPr>
            </w:pPr>
          </w:p>
        </w:tc>
      </w:tr>
    </w:tbl>
    <w:p>
      <w:pPr>
        <w:spacing w:after="0" w:line="179"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the intrinsic value of options outstanding was $0. The intrinsic value for stock options is calculated based on the difference between the exercise prices of the underlying awards and the quoted stock price of the Company’s common stock as of the reporting date.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No stock options were exercised for the three and six months ended June 30, 2025. As of June 30, 2025, the total intrinsic value of stock options exercisable was $0.</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 average grant date fair value per share of options granted as of June 30, 2025 was $6.21.</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 average grant date fair value per share of options vested as of June 30, 2025 was $177.37.</w:t>
      </w:r>
    </w:p>
    <w:p>
      <w:pPr>
        <w:spacing w:after="0" w:line="185"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contractual life is 5.2 years for options exercisable as of June 30, 2025. The weighted average remaining contractual life was 6.0 years for options outstanding as of June 30, 2025.</w:t>
      </w:r>
    </w:p>
    <w:p>
      <w:pPr>
        <w:spacing w:after="0" w:line="135"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Unrecognized compensation expense related to unvested stock option awards as of June 30, 2025 was $1,057 and will be recognized over the remaining vesting periods of the underlying awards. The weighted-average period over which such compensation is expected to be recognized is 1.0 years.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fair value of stock options granted during the six months ended June 30, 2025 and 2024 was estimated using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Black-Scholes pricing model with the following assumptions:</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4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40" w:type="dxa"/>
            <w:vAlign w:val="bottom"/>
          </w:tcPr>
          <w:p>
            <w:pPr>
              <w:spacing w:after="0"/>
              <w:rPr>
                <w:sz w:val="13"/>
                <w:szCs w:val="13"/>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20" w:type="dxa"/>
            <w:vAlign w:val="bottom"/>
          </w:tcPr>
          <w:p>
            <w:pPr>
              <w:spacing w:after="0"/>
              <w:rPr>
                <w:sz w:val="13"/>
                <w:szCs w:val="13"/>
                <w:color w:val="auto"/>
              </w:rPr>
            </w:pPr>
          </w:p>
        </w:tc>
      </w:tr>
      <w:tr>
        <w:trPr>
          <w:trHeight w:val="173"/>
        </w:trPr>
        <w:tc>
          <w:tcPr>
            <w:tcW w:w="4000" w:type="dxa"/>
            <w:vAlign w:val="bottom"/>
          </w:tcPr>
          <w:p>
            <w:pPr>
              <w:spacing w:after="0"/>
              <w:rPr>
                <w:sz w:val="15"/>
                <w:szCs w:val="15"/>
                <w:color w:val="auto"/>
              </w:rPr>
            </w:pPr>
          </w:p>
        </w:tc>
        <w:tc>
          <w:tcPr>
            <w:tcW w:w="24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40" w:type="dxa"/>
            <w:vAlign w:val="bottom"/>
          </w:tcPr>
          <w:p>
            <w:pPr>
              <w:spacing w:after="0"/>
              <w:rPr>
                <w:sz w:val="15"/>
                <w:szCs w:val="15"/>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20" w:type="dxa"/>
            <w:vAlign w:val="bottom"/>
          </w:tcPr>
          <w:p>
            <w:pPr>
              <w:spacing w:after="0"/>
              <w:rPr>
                <w:sz w:val="15"/>
                <w:szCs w:val="15"/>
                <w:color w:val="auto"/>
              </w:rPr>
            </w:pPr>
          </w:p>
        </w:tc>
      </w:tr>
      <w:tr>
        <w:trPr>
          <w:trHeight w:val="142"/>
        </w:trPr>
        <w:tc>
          <w:tcPr>
            <w:tcW w:w="40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108.0</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2025, the Company continued using the historical volatility of its common stock to estimate volatility. Prior to 2023, volatility was estimated using a combination of the historical volatility of publicly traded peer companies and that of the Company’s common stock. The expected term of the awards is estimated based on the simplified method, which calculates the expected term based upon the midpoint of the life of the award and the vesting period. The Company uses the simplified method because it does not have sufficient option exercise data to provide a reasonable basis upon which to estimate the expected term. The expected dividend yield is zero percent as the Company has no history of paying dividends nor does management expect to pay dividends over the contractual terms of these options. The risk-free interest rates are determined by reference to the U.S. Treasury yield curve in effect at the time of grant, with maturities approximating the expected term of the stock options. The fair value of the underlying common stock is generally determined as the closing price of the Company’s common stock on The Nasdaq Capital Market on the grant date, with consideration of whether there is material nonpublic information that could impact that estimated fair value when it is released.</w:t>
      </w:r>
    </w:p>
    <w:p>
      <w:pPr>
        <w:spacing w:after="0" w:line="14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awards issued under the 2017 Plan and the 2020 Plan, as well as the OnkosXcel RSUs and PSUs, of $1,556 and $1,057 for the three months ended June 30, 2025 and 2024, respectively, and $1,736 and $4,490 for the six months ended June 30, 2025 and 2024, respectively, which were comprised as 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20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38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216"/>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w:t>
            </w:r>
          </w:p>
        </w:tc>
      </w:tr>
      <w:tr>
        <w:trPr>
          <w:trHeight w:val="209"/>
        </w:trPr>
        <w:tc>
          <w:tcPr>
            <w:tcW w:w="3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r>
      <w:tr>
        <w:trPr>
          <w:trHeight w:val="20"/>
        </w:trPr>
        <w:tc>
          <w:tcPr>
            <w:tcW w:w="3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44"/>
        </w:trPr>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61"/>
        </w:trPr>
        <w:tc>
          <w:tcPr>
            <w:tcW w:w="3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202"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The Company’s 2020 Employee Stock Purchase Plan (the “ESPP”) was also approved and became effective at the Company’s 2020 annual meeting of stockholders on May 20, 2020. The ESPP is designed to assist eligible employees of the Company with the opportunity to purchase the Company’s common stock at a discount through accumulated payroll deductions during successive offering periods. The aggregate number of shares that were initially available to be issued pursuant to rights granted under the ESPP was 6 shares of common stock. In addition, the number of shares available for issuance under the ESPP increases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of Directors. The number of shares that may be issued or transferred pursuant to rights granted under the component of the ESPP that is intended to qualify for favorable U.S. federal tax treatment under Section 423 of the Internal Revenue Code (the “Section 423 Component”) shall not exceed 31 shares. The purchase price will be determined by the administrator of the ESPP and, for purposes of the Section 423 Component, shall not be less than 85% of the fair value of a share on the first trading day or on the last trading day of the applicable offering period, whichever is lower. The shares available for issuance under the ESPP increased by 31 shares and 19 shares on January 1, 2025 and 2024, respectively. To date, no shares have been sold under the ESPP. There were 106 shares available for issuance as of June 30, 2025.</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189" w:lineRule="exact"/>
        <w:rPr>
          <w:sz w:val="20"/>
          <w:szCs w:val="20"/>
          <w:color w:val="auto"/>
        </w:rPr>
      </w:pPr>
    </w:p>
    <w:p>
      <w:pPr>
        <w:jc w:val="both"/>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BTI leases office space for its corporate headquarters at 555 Long Wharf Drive, New Haven, Connecticut (the “HQ Lease”) under an operating lease that expires in February 2026. The Company has an option to renew the HQ Lease for one additional five-year term. Payments under the HQ Lease are fixed.</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also leases equipment such as copiers and information technology equipment.</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future minimum annual lease payments under operating leases, as of June 30, 2025, are as follows:</w:t>
      </w:r>
    </w:p>
    <w:p>
      <w:pPr>
        <w:spacing w:after="0" w:line="192" w:lineRule="exact"/>
        <w:rPr>
          <w:sz w:val="20"/>
          <w:szCs w:val="20"/>
          <w:color w:val="auto"/>
        </w:rPr>
      </w:pPr>
    </w:p>
    <w:tbl>
      <w:tblPr>
        <w:tblLayout w:type="fixed"/>
        <w:tblInd w:w="840" w:type="dxa"/>
        <w:tblCellMar>
          <w:top w:w="0" w:type="dxa"/>
          <w:left w:w="0" w:type="dxa"/>
          <w:bottom w:w="0" w:type="dxa"/>
          <w:right w:w="0" w:type="dxa"/>
        </w:tblCellMar>
      </w:tblPr>
      <w:tr>
        <w:trPr>
          <w:trHeight w:val="173"/>
        </w:trPr>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5"/>
                <w:szCs w:val="15"/>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6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6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lease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liability</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0"/>
        </w:trPr>
        <w:tc>
          <w:tcPr>
            <w:tcW w:w="6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Long-term portion of operating lease liability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The current portion of the Company’s operating lease liability of $256 as of June 30, 2025, is included in Other current liabilities on the Condensed Consolidated Balance Sheets.</w:t>
      </w:r>
    </w:p>
    <w:p>
      <w:pPr>
        <w:spacing w:after="0" w:line="135"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Lease expense was $101 and $99 for the three months ended June 30, 2025 and 2024, respectively, and $202 and $198 for the six months ended June 30, 2025 and 2024, respectively.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renewal options are not included in the ROU asset or lease liability.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Fair Value Measurements</w:t>
      </w:r>
    </w:p>
    <w:p>
      <w:pPr>
        <w:spacing w:after="0" w:line="18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groups its assets and liabilities measured at fair value in three levels based on the nature of the inputs and assumptions used to determine fair value. 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additional information on the accounting policies related to fair value.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net, and accounts payable approximate fair value due to the short-term nature of these instruments. As of June 30, 2025 and December 31, 2024, the Company had $16,034 and $29,036, respectively, primarily in money market funds that hold U.S. government cash equivalent instruments (included in cash and cash equivalents) which were valued based on Level 1 inputs. There were no transfers between levels within the hierarchy during the three and six months ended June 30, 2025 and the year ended December 31, 2024.</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Derivative liabilities measured at fair value on a recurring basis are summarized below.</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9"/>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196"/>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BTI Warrants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1,596</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2,573</w:t>
            </w: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OnkosXcel Warrants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41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2,611</w:t>
            </w: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619"/>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9"/>
        </w:trPr>
        <w:tc>
          <w:tcPr>
            <w:tcW w:w="4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9"/>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196"/>
        </w:trPr>
        <w:tc>
          <w:tcPr>
            <w:tcW w:w="4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196"/>
        </w:trPr>
        <w:tc>
          <w:tcPr>
            <w:tcW w:w="4160" w:type="dxa"/>
            <w:vAlign w:val="bottom"/>
          </w:tcPr>
          <w:p>
            <w:pPr>
              <w:spacing w:after="0"/>
              <w:rPr>
                <w:sz w:val="17"/>
                <w:szCs w:val="17"/>
                <w:color w:val="auto"/>
              </w:rPr>
            </w:pPr>
          </w:p>
        </w:tc>
        <w:tc>
          <w:tcPr>
            <w:tcW w:w="9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BTI Warrants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6,593</w:t>
            </w: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OnkosXcel Warrants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40</w:t>
            </w:r>
          </w:p>
        </w:tc>
      </w:tr>
      <w:tr>
        <w:trPr>
          <w:trHeight w:val="210"/>
        </w:trPr>
        <w:tc>
          <w:tcPr>
            <w:tcW w:w="41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6,633</w:t>
            </w: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Derivative liabilities are comprised of the OnkosXcel Warrants, BTI Warrants, and Option Warrants. The fair value of the derivative liabilities was determined using Binomial Option Pricing and Distribution models for the OnkosXcel Warrants and Option Warrants, and using a Black Scholes model for the BTI Warrants.</w:t>
      </w:r>
    </w:p>
    <w:p>
      <w:pPr>
        <w:spacing w:after="0" w:line="149" w:lineRule="exact"/>
        <w:rPr>
          <w:sz w:val="20"/>
          <w:szCs w:val="20"/>
          <w:color w:val="auto"/>
        </w:rPr>
      </w:pPr>
    </w:p>
    <w:p>
      <w:pPr>
        <w:jc w:val="both"/>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for the six months ended June 30, 2025. Both observable and unobservable inputs were used to determine the fair value of positions that the Company has classified within the Level 3 category.</w:t>
      </w:r>
    </w:p>
    <w:p>
      <w:pPr>
        <w:spacing w:after="0" w:line="14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-3175</wp:posOffset>
            </wp:positionV>
            <wp:extent cx="13544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Balance - January 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16"/>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 of derivative liabilities - BTI Warrant (March 2025 Accompanying Warrants)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 of derivative liabilities - Option Warrant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of derivative liabilities - Option Warrant</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 Balance - June 30</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679"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the derivative liabilities was reported in the Condensed Consolidated Statements of Operations as Other (income) expense, net, for the three and six months ended June 30, 2025.</w:t>
      </w:r>
    </w:p>
    <w:p>
      <w:pPr>
        <w:spacing w:after="0" w:line="121"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estimating the fair value of the derivative liability related to the OnkosXcel Warrants, inputs included third-party fair value estimates of OnkosXcel limited liability company units along with the volatility of those units (which was set at 115% based on the historical volatility of the Company’s stock, along with a peer group of comparable publicly traded companies), and the timing and probability of the relevant capital transactions occurring.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In estimating the fair value of the derivative liability related to the Option Warrants, the valuation inputs used were a strike price of $3.50, the Company’s stock price of $2.70, volatility of 39.2% (adjusted to set the value of securities in the March 2025 Offering equal to the consideration paid), a term of 0.04 years and a risk-free rate of 4.39%. The Option Warrants expired on March 18, 2025 without being exercised, and the Company recorded a termination gain of $369 in Other (income) expense, net, in the Company’s Condensed Consolidated Statements of Operations.</w:t>
      </w:r>
    </w:p>
    <w:p>
      <w:pPr>
        <w:spacing w:after="0" w:line="156"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estimating the fair value of the derivative liability related to the BTI Warrants – March 2025 Accompanying Warrants, the valuation inputs used were a strike price of $4.20, the Company’s stock price of $2.70, volatility of 39.2% (adjusted to set the value of securities in the March 2025 Offering equal to the consideration paid), a term of 5 years and a risk-free rate of 4.01%. The Company remeasured the fair value at June 30, 2025 of $977, and for the three and six months ended June 30, 2025 recorded an unrealized gain of $425 and $1,854, respectively, within Other (income) expense, net in the Company’s Condensed Consolidated Statements of Operations. The valuation inputs used as of June 30, 2025 were a strike price of $4.20, the Company’s stock price of $1.81, volatility of 38.7%, term of 4.7 years and risk-free rate of 3.78%.</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estimated fair value of the Credit Agreement as of June 30, 2025 and December 31, 2024 was $101,135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$94,204, respectively. Both observable and unobservable inputs were used to determine the fair value of long-term debt,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which was classified within the Level 3 category.</w:t>
      </w:r>
    </w:p>
    <w:p>
      <w:pPr>
        <w:spacing w:after="0" w:line="166" w:lineRule="exact"/>
        <w:rPr>
          <w:sz w:val="20"/>
          <w:szCs w:val="20"/>
          <w:color w:val="auto"/>
        </w:rPr>
      </w:pPr>
    </w:p>
    <w:p>
      <w:pPr>
        <w:jc w:val="both"/>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BTI warrants issued and outstanding by the Company and the corresponding balance sheet classification:</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Warrant Recipient</w:t>
            </w:r>
          </w:p>
        </w:tc>
        <w:tc>
          <w:tcPr>
            <w:tcW w:w="25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Warrant Type</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8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3"/>
                <w:szCs w:val="13"/>
                <w:color w:val="auto"/>
              </w:rPr>
            </w:pPr>
          </w:p>
        </w:tc>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173"/>
        </w:trPr>
        <w:tc>
          <w:tcPr>
            <w:tcW w:w="2780" w:type="dxa"/>
            <w:vAlign w:val="bottom"/>
            <w:gridSpan w:val="2"/>
            <w:vMerge w:val="continue"/>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Lenders and RIFA Purchasers</w:t>
            </w:r>
          </w:p>
        </w:tc>
        <w:tc>
          <w:tcPr>
            <w:tcW w:w="2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Closing Date Warrants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4/19/2022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8"/>
        </w:trPr>
        <w:tc>
          <w:tcPr>
            <w:tcW w:w="2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Lenders and RIFA Purchasers</w:t>
            </w:r>
          </w:p>
        </w:tc>
        <w:tc>
          <w:tcPr>
            <w:tcW w:w="2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2023 Warrants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12/5/2023</w:t>
            </w:r>
          </w:p>
        </w:tc>
        <w:tc>
          <w:tcPr>
            <w:tcW w:w="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2"/>
                <w:szCs w:val="12"/>
                <w:color w:val="auto"/>
              </w:rPr>
            </w:pPr>
          </w:p>
        </w:tc>
        <w:tc>
          <w:tcPr>
            <w:tcW w:w="1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Lenders and RIFA Purchasers</w:t>
            </w:r>
          </w:p>
        </w:tc>
        <w:tc>
          <w:tcPr>
            <w:tcW w:w="2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2024 Warrants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3/20/2024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9"/>
        </w:trPr>
        <w:tc>
          <w:tcPr>
            <w:tcW w:w="2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Armistice Capital Master Fund Ltd.</w:t>
            </w:r>
          </w:p>
        </w:tc>
        <w:tc>
          <w:tcPr>
            <w:tcW w:w="2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Accompanying Warrants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3/25/2024</w:t>
            </w:r>
          </w:p>
        </w:tc>
        <w:tc>
          <w:tcPr>
            <w:tcW w:w="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9.136</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534</w:t>
            </w:r>
          </w:p>
        </w:tc>
        <w:tc>
          <w:tcPr>
            <w:tcW w:w="60" w:type="dxa"/>
            <w:vAlign w:val="bottom"/>
          </w:tcPr>
          <w:p>
            <w:pPr>
              <w:spacing w:after="0"/>
              <w:rPr>
                <w:sz w:val="12"/>
                <w:szCs w:val="12"/>
                <w:color w:val="auto"/>
              </w:rPr>
            </w:pPr>
          </w:p>
        </w:tc>
        <w:tc>
          <w:tcPr>
            <w:tcW w:w="1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7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Armistice Capital Master Fund Ltd.</w:t>
            </w:r>
          </w:p>
        </w:tc>
        <w:tc>
          <w:tcPr>
            <w:tcW w:w="2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Accompanying Warrants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3/25/2024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51.20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Armistice Capital Master Fund Ltd.</w:t>
            </w:r>
          </w:p>
        </w:tc>
        <w:tc>
          <w:tcPr>
            <w:tcW w:w="2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November 2024 Accompanying Warrants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60" w:type="dxa"/>
            <w:vAlign w:val="bottom"/>
          </w:tcPr>
          <w:p>
            <w:pPr>
              <w:spacing w:after="0"/>
              <w:rPr>
                <w:sz w:val="12"/>
                <w:szCs w:val="12"/>
                <w:color w:val="auto"/>
              </w:rPr>
            </w:pPr>
          </w:p>
        </w:tc>
        <w:tc>
          <w:tcPr>
            <w:tcW w:w="1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Heights Capital Management</w:t>
            </w:r>
          </w:p>
        </w:tc>
        <w:tc>
          <w:tcPr>
            <w:tcW w:w="2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November 2024 Accompanying Warrants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Hudson Bay Capital Management</w:t>
            </w:r>
          </w:p>
        </w:tc>
        <w:tc>
          <w:tcPr>
            <w:tcW w:w="2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November 2024 Accompanying Warrants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12"/>
                <w:szCs w:val="12"/>
                <w:color w:val="auto"/>
              </w:rPr>
            </w:pPr>
          </w:p>
        </w:tc>
        <w:tc>
          <w:tcPr>
            <w:tcW w:w="1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IntraCoastal Capital, LLC</w:t>
            </w:r>
          </w:p>
        </w:tc>
        <w:tc>
          <w:tcPr>
            <w:tcW w:w="25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November 2024 Accompanying Warrants</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78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Murchison Capital Partners, LP and assignees</w:t>
            </w:r>
          </w:p>
        </w:tc>
        <w:tc>
          <w:tcPr>
            <w:tcW w:w="252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March 2025 Accompanying Warrants</w:t>
            </w:r>
          </w:p>
        </w:tc>
        <w:tc>
          <w:tcPr>
            <w:tcW w:w="82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3/4/2025</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4.20</w:t>
            </w:r>
          </w:p>
        </w:tc>
        <w:tc>
          <w:tcPr>
            <w:tcW w:w="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6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83"/>
        </w:trPr>
        <w:tc>
          <w:tcPr>
            <w:tcW w:w="27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warrants issued</w:t>
            </w:r>
          </w:p>
        </w:tc>
        <w:tc>
          <w:tcPr>
            <w:tcW w:w="24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w:t>
            </w:r>
          </w:p>
        </w:tc>
        <w:tc>
          <w:tcPr>
            <w:tcW w:w="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Closing Date Warrants, which was a non-recurring fair value, was determined as of the date of issuance using a Black-Scholes pricing model and the fair value of $3,245 was recorded as a component of stockholders’ equity in Additional-paid-in-capital in the Condensed Consolidated Balance Sheets, with the offset recorded as a discount on the amounts funded under the OFA Facilities. This non-recurring measurement is classified as Level 2. The inputs used were a strike price of $320.64, the Company’s stock price of $238.88, volatility of 95%, term of 7 years and risk-free rate of 2.95%.</w:t>
      </w:r>
    </w:p>
    <w:p>
      <w:pPr>
        <w:spacing w:after="0" w:line="187"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As discussed in Note 9, Debt and Credit Facilities, in connection with the closing of the Second Amendment of the Credit Agreement, on the Second Amendment Effective Date, the Company amended and restated the Closing Date Warrants granted to the Lenders to have an exercise price of $58.3232 per share.</w:t>
      </w:r>
    </w:p>
    <w:p>
      <w:pPr>
        <w:spacing w:after="0" w:line="176" w:lineRule="exact"/>
        <w:rPr>
          <w:sz w:val="20"/>
          <w:szCs w:val="20"/>
          <w:color w:val="auto"/>
        </w:rPr>
      </w:pPr>
    </w:p>
    <w:p>
      <w:pPr>
        <w:ind w:left="60" w:right="299" w:firstLine="324"/>
        <w:spacing w:after="0" w:line="277" w:lineRule="auto"/>
        <w:rPr>
          <w:sz w:val="20"/>
          <w:szCs w:val="20"/>
          <w:color w:val="auto"/>
        </w:rPr>
      </w:pPr>
      <w:r>
        <w:rPr>
          <w:rFonts w:ascii="Times New Roman" w:cs="Times New Roman" w:eastAsia="Times New Roman" w:hAnsi="Times New Roman"/>
          <w:sz w:val="17"/>
          <w:szCs w:val="17"/>
          <w:color w:val="auto"/>
        </w:rPr>
        <w:t>Using a Black-Scholes pricing model, the Company determined that the Closing Date Warrants’ fair values at the original strike price of $320.64 and the amended strike price of $58.3232 were $548 and $802, respectively, as of the Second Amendment Effective Date. The Closing Date Warrants’ incremental increase in fair value for the repricing of $254, was recorded as a component of stockholders’ equity in Additional-paid-in-capital in the Condensed Consolidated Balance Sheets, with the offset recorded as a discount on the amounts refinanced under the Credit Agreement.</w:t>
      </w:r>
    </w:p>
    <w:p>
      <w:pPr>
        <w:spacing w:after="0" w:line="168"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Second Amendment, the Company issued 4 “2023 Warrants” at a strike price of $58.3232 per share. The fair value of the 2023 Warrants, which is a non-recurring fair value, was determined as of the date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issuance using a Black-Scholes pricing model and the fair value of $200 was recorded as a component of stockholders’ equity in Additional-paid-in-capital in the Condensed Consolidated Balance Sheets, with the offset recorded as a discount on the amounts funded under the Credit Agreement. This non-recurring measurement is classified as Level 2. The inputs used were a strike price of $58.3232, the Company’s stock price of $59.36, volatility of 99%, term of 5.4 years and risk-free rate of 4.14%.</w:t>
      </w:r>
    </w:p>
    <w:p>
      <w:pPr>
        <w:spacing w:after="0" w:line="183"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Fourth Amendment, the Company issued 6 “2024 Warrants” at a strike price of $49.1568 per share. The fair value of the “2024 Warrants”, which was a non-recurring fair value, was determined as of the date of issuance using a Black-Scholes pricing model and the fair value of $224 was recorded as a component of stockholders’ equity in Additional-paid-in-capital in the Condensed Consolidated Balance Sheets, with the offset recorded as a discount on the amounts funded under the OFA Facilities. This non-recurring measurement is classified as Level 2. The inputs used were a strike price of $49.1568, the Company’s stock price of $44.48, volatility of 112.2%, term of 5 years and risk-free rate of 4.25%.</w:t>
      </w:r>
    </w:p>
    <w:p>
      <w:pPr>
        <w:spacing w:after="0" w:line="189" w:lineRule="exact"/>
        <w:rPr>
          <w:sz w:val="20"/>
          <w:szCs w:val="20"/>
          <w:color w:val="auto"/>
        </w:rPr>
      </w:pPr>
    </w:p>
    <w:p>
      <w:pPr>
        <w:jc w:val="both"/>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Fifth Amendment of the Credit Agreement, on the Fifth Amendment Effective Date of November 25, 2024, the Company amended and restated the Closing Date Warrants, 2023 Warrants, and 2024 Warrants granted to the Lenders to have an exercise price of $7.68 per share.</w:t>
      </w:r>
    </w:p>
    <w:p>
      <w:pPr>
        <w:spacing w:after="0" w:line="176"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Using a Black-Scholes pricing model, the Company determined that the Closing Date Warrants, 2023 Warrants, and 2024 Warrants’ fair values at the previously amended strike price of $58.3232 and original strike price of $49.1568 the amended strike price of $7.68 were $105 and $164, respectively, as of the Fifth Amendment Effective Date. The Closing Date Warrants, 2023 Warrants, and 2024 Warrants’ incremental increase in fair value for the repricing of $59, was recorded as a component of stockholders’ equity in Additional-paid-in-capital in the Condensed Consolidated Balance Sheets, with the offset recorded as a discount on the amounts refinanced under the Credit Agreement.</w:t>
      </w:r>
    </w:p>
    <w:p>
      <w:pPr>
        <w:spacing w:after="0" w:line="187"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fair value of the Accompanying Warrants at issuance on March 25, 2024 was determined using a Black-Scholes pricing model and was recorded as a derivative liability with the offset recorded as a component of stockholders’ equity in Additional-paid-in-capital in the Condensed Consolidated Balance Sheets. This fair value measurement is classified as Level 2. On November 25, 2024, 534 of the 539 Accompanying Warrants’ strike price were amended to $9.136. The Company remeasured the Accompanying Warrants’ fair value at June 30, 2025 of $563, and for the three and six months ended June 30, 2025 recorded a net gain of $78 and $1,757, respectively, within Other (income) expense, net in the Company’s Condensed Consolidated Statements of Operations. The valuation inputs used as of June 30, 2025 were strike prices of $9.136 and $51.20 for 534 and 5 Accompanying Warrants, respectively, the Company’s stock price of $1.81, volatility of 125.8%, term of 3.75 years and risk-free rate of 3.72%.</w:t>
      </w:r>
    </w:p>
    <w:p>
      <w:pPr>
        <w:spacing w:after="0" w:line="188"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The fair value of the November 2024 Accompanying Warrants at issuance on November 25, 2024 was determined using a Black-Scholes pricing model and was recorded as a derivative liability with the offset recorded as a component of stockholders’ equity in Additional-paid-in-capital in the Condensed Consolidated Balance Sheets. This fair value measurement is classified as Level 2. The Company remeasured the November 2024 Accompanying Warrants’ fair value at June 30, 2025 of $1,033, and for the three and six months ended June 30, 2025 recorded a net gain of $160 and $3,240, respectively, within Other (income) expense, net in the Company’s Condensed Consolidated Statements of Operations. The valuation inputs used as of June 30, 2025 were a strike price of $7.68, the Company’s stock price of $1.81, volatility of 118.5%, term of 4.4 years and risk-free rate of 3.76%.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Net Loss Per Share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Basic and diluted net loss per share are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9"/>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(numerator)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(19,187)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(8,299)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(denominator)</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Potentially dilutive securities outstanding consists of stock options, RSUs and performance units, and BTI warrants.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had common stock equivalents outstanding are as follows: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9"/>
        </w:trPr>
        <w:tc>
          <w:tcPr>
            <w:tcW w:w="6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6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r>
      <w:tr>
        <w:trPr>
          <w:trHeight w:val="209"/>
        </w:trPr>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shd w:val="clear" w:color="auto" w:fill="CCEEFF"/>
          </w:tcPr>
          <w:p>
            <w:pPr>
              <w:spacing w:after="0"/>
              <w:rPr>
                <w:sz w:val="18"/>
                <w:szCs w:val="18"/>
                <w:color w:val="auto"/>
              </w:rPr>
            </w:pPr>
          </w:p>
        </w:tc>
      </w:tr>
      <w:tr>
        <w:trPr>
          <w:trHeight w:val="216"/>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r>
      <w:tr>
        <w:trPr>
          <w:trHeight w:val="216"/>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r>
      <w:tr>
        <w:trPr>
          <w:trHeight w:val="216"/>
        </w:trPr>
        <w:tc>
          <w:tcPr>
            <w:tcW w:w="6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BTI Warrants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tcBorders>
              <w:bottom w:val="single" w:sz="8" w:color="CCEEFF"/>
            </w:tcBorders>
          </w:tcPr>
          <w:p>
            <w:pPr>
              <w:spacing w:after="0"/>
              <w:rPr>
                <w:sz w:val="18"/>
                <w:szCs w:val="18"/>
                <w:color w:val="auto"/>
              </w:rPr>
            </w:pPr>
          </w:p>
        </w:tc>
      </w:tr>
      <w:tr>
        <w:trPr>
          <w:trHeight w:val="210"/>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common stock equivalents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18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 subject to litigation and regulatory examinations as well as information gathering requests, inquiries and/or investigations. Other than the items below, the Company is not currently subject to any matters where it believes there is a reasonable possibility that a material loss may be incurred.</w:t>
      </w:r>
    </w:p>
    <w:p>
      <w:pPr>
        <w:spacing w:after="0" w:line="153"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July 7, 2023, plaintiff Katelyn Martin filed a class action complaint against the Company and certain executives in the United States District Court for the District of Connecticut, captioned </w:t>
      </w:r>
      <w:r>
        <w:rPr>
          <w:rFonts w:ascii="Times New Roman" w:cs="Times New Roman" w:eastAsia="Times New Roman" w:hAnsi="Times New Roman"/>
          <w:sz w:val="18"/>
          <w:szCs w:val="18"/>
          <w:i w:val="1"/>
          <w:iCs w:val="1"/>
          <w:color w:val="auto"/>
        </w:rPr>
        <w:t>Martin v. BioXcel Therapeutics, et al.</w:t>
      </w:r>
      <w:r>
        <w:rPr>
          <w:rFonts w:ascii="Times New Roman" w:cs="Times New Roman" w:eastAsia="Times New Roman" w:hAnsi="Times New Roman"/>
          <w:sz w:val="18"/>
          <w:szCs w:val="18"/>
          <w:color w:val="auto"/>
        </w:rPr>
        <w:t xml:space="preserve">, 3:23-cv-00915 (D. Conn). The case has since been renamed to </w:t>
      </w:r>
      <w:r>
        <w:rPr>
          <w:rFonts w:ascii="Times New Roman" w:cs="Times New Roman" w:eastAsia="Times New Roman" w:hAnsi="Times New Roman"/>
          <w:sz w:val="18"/>
          <w:szCs w:val="18"/>
          <w:i w:val="1"/>
          <w:iCs w:val="1"/>
          <w:color w:val="auto"/>
        </w:rPr>
        <w:t>Hills et al v. BioXcel Therapeutics, Inc. et</w:t>
      </w:r>
      <w:r>
        <w:rPr>
          <w:rFonts w:ascii="Times New Roman" w:cs="Times New Roman" w:eastAsia="Times New Roman" w:hAnsi="Times New Roman"/>
          <w:sz w:val="18"/>
          <w:szCs w:val="18"/>
          <w:color w:val="auto"/>
        </w:rPr>
        <w:t xml:space="preserve"> al. On October 4, 2023, pursuant to the Private Securities Litigation Reform Act, the court appointed two co-Lead Plaintiffs. The co-Lead Plaintiffs filed an amended complaint on December 5, 2023, alleging violations of Sections 10(b) and 20A of the Securities and Exchange Act of 1934 (the “Exchange Act”) and SEC Rule 10b-5 promulgated thereunder. On July 11, 2024, the Court dismissed the amended complaint without prejudice and, on August 1, 2024, co-Lead Plaintiffs filed a second amended complaint. The second amended complaint alleges that defendants made false or misleading statements regarding the TRANQUILITY II trial and the development of BXCL501 for an expanded indication related to the treatment of certain Alzheimer’s-related agitation. The Company moved to dismiss the second amended complaint on September 6, 2024. On February 24, 2025, while the Company’s motion to dismiss remained pending, Plaintiffs moved for leave to further amend their complaint. The Company filed an opposition to the motion on March 17, 2025 and Plaintiffs filed a reply in support of the motion on April 7, 2025. Oral argument on the pending motions is scheduled for August 27, 2025. On April 9, 2025, the court stayed the matter to allow the parties to engage in a private mediation session. The parties held a mediation on May 12, 2025 but did not reach a settlement agreement. The Court lifted the stay and scheduled an August 27, 2025 hearing on BioXcel’s motion to dismiss the second amended complaint and Plaintiff’s motion for leave to amend the second amended complaint.</w:t>
      </w:r>
    </w:p>
    <w:p>
      <w:pPr>
        <w:spacing w:after="0" w:line="153" w:lineRule="exact"/>
        <w:rPr>
          <w:sz w:val="20"/>
          <w:szCs w:val="20"/>
          <w:color w:val="auto"/>
        </w:rPr>
      </w:pPr>
    </w:p>
    <w:p>
      <w:pPr>
        <w:ind w:left="60" w:right="419" w:firstLine="324"/>
        <w:spacing w:after="0" w:line="312" w:lineRule="auto"/>
        <w:rPr>
          <w:sz w:val="20"/>
          <w:szCs w:val="20"/>
          <w:color w:val="auto"/>
        </w:rPr>
      </w:pPr>
      <w:r>
        <w:rPr>
          <w:rFonts w:ascii="Times New Roman" w:cs="Times New Roman" w:eastAsia="Times New Roman" w:hAnsi="Times New Roman"/>
          <w:sz w:val="17"/>
          <w:szCs w:val="17"/>
          <w:color w:val="auto"/>
        </w:rPr>
        <w:t>On November 28, 2023, Plaintiffs Pratheesan Panancherry and Jeffrey Bastress filed a stockholder derivative complaint in the United States District Court for the District of Connecticut purportedly on behalf of the Company and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 xml:space="preserve">against Vimal Mehta, Richard I. Steinhart, Peter Mueller, June Bray, Sandeep Laumas, Michael Miller, Michal Votruba, and Krishnan Nandabalan as Defendants, and the Company as Nominal Defendant under the caption </w:t>
      </w:r>
      <w:r>
        <w:rPr>
          <w:rFonts w:ascii="Times New Roman" w:cs="Times New Roman" w:eastAsia="Times New Roman" w:hAnsi="Times New Roman"/>
          <w:sz w:val="18"/>
          <w:szCs w:val="18"/>
          <w:i w:val="1"/>
          <w:iCs w:val="1"/>
          <w:color w:val="auto"/>
        </w:rPr>
        <w:t>Panancherry et al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xml:space="preserve">,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Securities Exchange Act of 1934. The cases have been consolidated under the caption </w:t>
      </w:r>
      <w:r>
        <w:rPr>
          <w:rFonts w:ascii="Times New Roman" w:cs="Times New Roman" w:eastAsia="Times New Roman" w:hAnsi="Times New Roman"/>
          <w:sz w:val="18"/>
          <w:szCs w:val="18"/>
          <w:i w:val="1"/>
          <w:iCs w:val="1"/>
          <w:color w:val="auto"/>
        </w:rPr>
        <w:t>In re BioXcel Therapeutics, Inc. Stockholder Derivative Litigation</w:t>
      </w:r>
      <w:r>
        <w:rPr>
          <w:rFonts w:ascii="Times New Roman" w:cs="Times New Roman" w:eastAsia="Times New Roman" w:hAnsi="Times New Roman"/>
          <w:sz w:val="18"/>
          <w:szCs w:val="18"/>
          <w:color w:val="auto"/>
        </w:rPr>
        <w:t>, 3:23-cv-1554 (D. Conn.). The consolidated action is currently stayed.</w:t>
      </w:r>
    </w:p>
    <w:p>
      <w:pPr>
        <w:spacing w:after="0" w:line="16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January 11, 2024, Plaintiff Jeremy Smith filed a stockholder derivative complaint in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w:t>
      </w:r>
      <w:r>
        <w:rPr>
          <w:rFonts w:ascii="Times New Roman" w:cs="Times New Roman" w:eastAsia="Times New Roman" w:hAnsi="Times New Roman"/>
          <w:sz w:val="18"/>
          <w:szCs w:val="18"/>
          <w:i w:val="1"/>
          <w:iCs w:val="1"/>
          <w:color w:val="auto"/>
        </w:rPr>
        <w:t>Smith v. Mehta et al,</w:t>
      </w:r>
      <w:r>
        <w:rPr>
          <w:rFonts w:ascii="Times New Roman" w:cs="Times New Roman" w:eastAsia="Times New Roman" w:hAnsi="Times New Roman"/>
          <w:sz w:val="18"/>
          <w:szCs w:val="18"/>
          <w:color w:val="auto"/>
        </w:rPr>
        <w:t xml:space="preserve"> 1:24-cv-00041. Following the initial action, Plaintiff Janice Korff filed a stockholder derivative complaint in the District of Delaware raising similar claims as Smith (1:24-cv-130), including business torts and violations of the Securities Exchange Act of 1934. The cases have been consolidated under the caption </w:t>
      </w:r>
      <w:r>
        <w:rPr>
          <w:rFonts w:ascii="Times New Roman" w:cs="Times New Roman" w:eastAsia="Times New Roman" w:hAnsi="Times New Roman"/>
          <w:sz w:val="18"/>
          <w:szCs w:val="18"/>
          <w:i w:val="1"/>
          <w:iCs w:val="1"/>
          <w:color w:val="auto"/>
        </w:rPr>
        <w:t>In re BioXcel Therapeutics, Inc. Derivative Litigation</w:t>
      </w:r>
      <w:r>
        <w:rPr>
          <w:rFonts w:ascii="Times New Roman" w:cs="Times New Roman" w:eastAsia="Times New Roman" w:hAnsi="Times New Roman"/>
          <w:sz w:val="18"/>
          <w:szCs w:val="18"/>
          <w:color w:val="auto"/>
        </w:rPr>
        <w:t>, 1:24-cv-00041 (D. Del.). The consolidated action is currently stayed.</w:t>
      </w:r>
    </w:p>
    <w:p>
      <w:pPr>
        <w:spacing w:after="0" w:line="151"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May 7, 2025, Plaintiff Yaakov Portnoy filed a stockholder derivative complaint in the Court of Chancery of the State of Delaware purportedly on behalf of the Company and against Vimal Mehta, Peter Mueller, June Bray, Sandeep “Steve” Laumas, Michael P. Miller, Michal Votruba, Richard I. Steinhart, Robert Risinger, and Krishnan Nandabalan, and the Company as Nominal Defendant under the caption </w:t>
      </w:r>
      <w:r>
        <w:rPr>
          <w:rFonts w:ascii="Times New Roman" w:cs="Times New Roman" w:eastAsia="Times New Roman" w:hAnsi="Times New Roman"/>
          <w:sz w:val="18"/>
          <w:szCs w:val="18"/>
          <w:i w:val="1"/>
          <w:iCs w:val="1"/>
          <w:color w:val="auto"/>
        </w:rPr>
        <w:t>Yaakov Portnoy, derivatively on behalf of BioXcel Therapeutics,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v. Vimal Mehta, et al</w:t>
      </w:r>
      <w:r>
        <w:rPr>
          <w:rFonts w:ascii="Times New Roman" w:cs="Times New Roman" w:eastAsia="Times New Roman" w:hAnsi="Times New Roman"/>
          <w:sz w:val="18"/>
          <w:szCs w:val="18"/>
          <w:color w:val="auto"/>
        </w:rPr>
        <w:t>, 2025-0508-BWD (Del. Ch.). The complaint alleges similar claims to those raised in</w:t>
      </w:r>
      <w:r>
        <w:rPr>
          <w:rFonts w:ascii="Times New Roman" w:cs="Times New Roman" w:eastAsia="Times New Roman" w:hAnsi="Times New Roman"/>
          <w:sz w:val="18"/>
          <w:szCs w:val="18"/>
          <w:i w:val="1"/>
          <w:iCs w:val="1"/>
          <w:color w:val="auto"/>
        </w:rPr>
        <w:t xml:space="preserve"> In re BioXcel Therapeutics, Inc. Derivative Litigation</w:t>
      </w:r>
      <w:r>
        <w:rPr>
          <w:rFonts w:ascii="Times New Roman" w:cs="Times New Roman" w:eastAsia="Times New Roman" w:hAnsi="Times New Roman"/>
          <w:sz w:val="18"/>
          <w:szCs w:val="18"/>
          <w:color w:val="auto"/>
        </w:rPr>
        <w:t>, 1:24-cv-00041 (D. Del.), including business torts.</w:t>
      </w:r>
    </w:p>
    <w:p>
      <w:pPr>
        <w:spacing w:after="0" w:line="147" w:lineRule="exact"/>
        <w:rPr>
          <w:sz w:val="20"/>
          <w:szCs w:val="20"/>
          <w:color w:val="auto"/>
        </w:rPr>
      </w:pPr>
    </w:p>
    <w:p>
      <w:pPr>
        <w:ind w:left="60" w:right="419" w:firstLine="324"/>
        <w:spacing w:after="0" w:line="312" w:lineRule="auto"/>
        <w:rPr>
          <w:sz w:val="20"/>
          <w:szCs w:val="20"/>
          <w:color w:val="auto"/>
        </w:rPr>
      </w:pPr>
      <w:r>
        <w:rPr>
          <w:rFonts w:ascii="Times New Roman" w:cs="Times New Roman" w:eastAsia="Times New Roman" w:hAnsi="Times New Roman"/>
          <w:sz w:val="17"/>
          <w:szCs w:val="17"/>
          <w:color w:val="auto"/>
        </w:rPr>
        <w:t>At this time, the Company does not believe the claims in the above-captioned matters have merit, and intends to vigorously defend against them; however, the potential costs and liabilities associated with this litigation are uncertain.</w:t>
      </w:r>
    </w:p>
    <w:p>
      <w:pPr>
        <w:spacing w:after="0" w:line="113"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April 2022, the Company signed a commercial supply agreement that requires minimum annual payments for the first three years of the agreement that in aggregate total $10,000 for the three-year period, of which $5,000 was originally due in year ended 2024. On July 11, 2024, the Company entered into an amendment to the commercial supply agreement (the “Product Supply Agreement Amendment”) that reduces the specified minimum annual payment over the next three years starting in the year ended 2024 and, thereafter, for a specified interval, provides for minimum annual payments to the extent that the Company receives approval of a supplemental new drug application (sNDA) or a new drug application (NDA) from the FDA for enumerated indications. The Company’s renegotiated agreement reduced the minimum commitment for 2024 to $1,000 and thereafter for the term of the agreement in annual amounts ranging from $2,000 to $5,000 subject, in certain instances, to the extent that the Company receives approval of an sNDA or NDA from the FDA for enumerated indications. In accordance with the Product Supply Agreement Amendment, the minimum commitments were reduced to $1,000, $2,000 and $2,000 in the years 2024, 2025, and 2026. In addition, the Company agreed to make a reconciliation payment of $1,200 in the third quarter of 2024 for full settlement for amounts due prior to the July 11, 2024 amendment.</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18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The Company views its operations and manages its business as one operating and reportable segment, utilizing artificial intelligence (“AI”) to develop transformative medicines in neuroscience and immuno-oncology. The Company is focused on utilizing cutting-edge technology and innovative research to develop high-value therapeutics aimed at transforming patients’ lives. The Company employs various AI platforms to reduce therapeutic development costs and potentially accelerate development timelines.</w:t>
      </w:r>
    </w:p>
    <w:p>
      <w:pPr>
        <w:spacing w:after="0" w:line="156"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Consistent with the operational structure, the Chief Executive Officer, as the chief operating decision maker (“CODM”), reviews weekly cash usage and allocates resources based on consolidated net loss that also is reported on the consolidated statements of operations. The measure of segment assets is reported on the balance sheet as total consolidated assets. The CODM utilizes consolidated net loss by comparing actual results against budgeted amounts on a quarterly basis. As part of this process, consolidated net loss is a critical performance measure used to evaluate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039"/>
        <w:spacing w:after="0" w:line="282" w:lineRule="auto"/>
        <w:rPr>
          <w:sz w:val="20"/>
          <w:szCs w:val="20"/>
          <w:color w:val="auto"/>
        </w:rPr>
      </w:pPr>
      <w:r>
        <w:rPr>
          <w:rFonts w:ascii="Times New Roman" w:cs="Times New Roman" w:eastAsia="Times New Roman" w:hAnsi="Times New Roman"/>
          <w:sz w:val="18"/>
          <w:szCs w:val="18"/>
          <w:color w:val="auto"/>
        </w:rPr>
        <w:t>Company’s operating performance and guide strategic decisions and resource allocations, including additional investments in research and development and commercialization activities.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6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r>
      <w:tr>
        <w:trPr>
          <w:trHeight w:val="142"/>
        </w:trPr>
        <w:tc>
          <w:tcPr>
            <w:tcW w:w="38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16"/>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Clinical trials expense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Chemical, manufacturing and controls cost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16"/>
        </w:trPr>
        <w:tc>
          <w:tcPr>
            <w:tcW w:w="3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10"/>
        </w:trPr>
        <w:tc>
          <w:tcPr>
            <w:tcW w:w="3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research and development costs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costs: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and marketing</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(718)</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Travel related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09"/>
        </w:trPr>
        <w:tc>
          <w:tcPr>
            <w:tcW w:w="388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commercial costs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Travel related expenses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r>
      <w:tr>
        <w:trPr>
          <w:trHeight w:val="178"/>
        </w:trPr>
        <w:tc>
          <w:tcPr>
            <w:tcW w:w="3880" w:type="dxa"/>
            <w:vAlign w:val="bottom"/>
          </w:tcPr>
          <w:p>
            <w:pPr>
              <w:ind w:left="400"/>
              <w:spacing w:after="0" w:line="177" w:lineRule="exact"/>
              <w:rPr>
                <w:sz w:val="20"/>
                <w:szCs w:val="20"/>
                <w:color w:val="auto"/>
              </w:rPr>
            </w:pPr>
            <w:r>
              <w:rPr>
                <w:rFonts w:ascii="Times New Roman" w:cs="Times New Roman" w:eastAsia="Times New Roman" w:hAnsi="Times New Roman"/>
                <w:sz w:val="18"/>
                <w:szCs w:val="18"/>
                <w:color w:val="auto"/>
              </w:rPr>
              <w:t>Total selling, general and administrative</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4"/>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200" w:type="dxa"/>
            <w:vAlign w:val="bottom"/>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19,251</w:t>
            </w: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09"/>
        </w:trPr>
        <w:tc>
          <w:tcPr>
            <w:tcW w:w="3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15,972</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26,239</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43,145</w:t>
            </w: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(509)</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(657)</w:t>
            </w: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(12,026)</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(7,216)</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(12,058)</w:t>
            </w:r>
          </w:p>
        </w:tc>
      </w:tr>
      <w:tr>
        <w:trPr>
          <w:trHeight w:val="210"/>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(26,441)</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(35,090)</w:t>
            </w:r>
          </w:p>
        </w:tc>
      </w:tr>
      <w:tr>
        <w:trPr>
          <w:trHeight w:val="21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(26,441)</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(35,090)</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18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in connection with the March 2025 issuance and sale in a public offering of (i) 188 shares of the Company’s common stock, (ii) pre-funded warrants to purchase 3,812 shares of Common Stock, and (iii) accompanying warrants to purchase 4,000 shares of Common Stock, after June 30, 2025 but before financial statement issuance, certain investors exercised the remaining 1,359 pre-funded warrants to purchase 1,359 shares of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99" w:firstLine="324"/>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the Company previously entered into an Equity Distribution Agreement with Canaccord, pursuant to which the Company could offer and sell shares of its common stock, having an aggregate price of up to $8,135, from time to time, through an “at the market” equity offering program under which Canaccord will act as sales agent. After June 30, 2025 but before financial statement issuance, the Company sold 4,627 shares under the Equity Distribution Agreement for gross proceeds of $7,991 and received proceeds of $7,751, net of issuance costs of $240.</w:t>
      </w:r>
    </w:p>
    <w:p>
      <w:pPr>
        <w:spacing w:after="0" w:line="184"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On August 6, 2025, the Company increased the maximum amount of shares that are eligible to be sold pursuant to the Equity Distribution Agreement to allow for the offer and sale of up to $3,500 of its common stock. Prior to financial statement issuance, the Company sold 1,050 shares for gross proceeds of $3,500 and received proceeds of $3,395, net of issuance costs of $105. Following the sale of common stock, the Company raised sufficient net proceeds to satisfy the Raise 3 requirement under the Fifth Amendemnt to the Credit Agreement.</w:t>
      </w:r>
    </w:p>
    <w:p>
      <w:pPr>
        <w:spacing w:after="0" w:line="183"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Pursuant to the Sixth Amendment of the Credit Agreement, the Company retained an investment banker prior to July 31, 2025.</w:t>
      </w:r>
    </w:p>
    <w:p>
      <w:pPr>
        <w:spacing w:after="0" w:line="162"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On August 1, 2025, the Compensation Committee of the Board unanimously approved the issuance of an aggregate amount of 45 RSU grants to certain designated executive employee grantees. The RSU grants are structured as retention awards that vest one-hundred percent (100%) on or within thirty (30) days of 9 months from the grant date, subject to continued employment, with full acceleration upon a change in control occurring on or prior to the first anniversary of the grant date. Each RSU grant includes dividend equivalent rights.</w:t>
      </w:r>
    </w:p>
    <w:p>
      <w:pPr>
        <w:spacing w:after="0" w:line="183"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On August 11, 2025, the Company received proceeds of $3,560 from the exercise of 848 March 2025 Accompanying Warrants at an exercise price of $4.20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interim condensed consolidated financial statements and related notes appearing elsewhere in this report and the audited financial statements and related notes contained in our Annual Report on Form 10-K for the year ended December 31, 2024. In addition to historical information, this discussion and analysis contains forward-looking statements that involve risks, uncertainties and assumptions. Our actual results may differ materially from those discussed below and in the forward-looking statements. Factors that could cause or contribute to these differences include, without limitation, those discussed in this Management’s Discussion and Analysis of Financial Condition and Results of Operations, those listed under “Summary Risk Factors,” and those discussed in the section titled “Risk Factors” included in Part II, Item 1A. of this report. All dollar amounts in the below Management’s Discussion and Analysis of Financial Condition and Results of Operations are presented in U.S. dollars, and all dollar and share amounts are presented in thousands, unless otherwise noted or the context otherwise provides.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(Nasdaq: BTAI, “the Company”) is a biopharmaceutical company utilizing artificial intelligence (“AI”) to develop transformative medicines in neuroscience. Our wholly owned subsidiary, OnkosXcel Therapeutics, is focused on the development of medicines in immuno-oncology. We utilize cutting-edge technology and innovative research to develop high-value therapeutics aimed at transforming patients’ lives. We employ our proprietary AI platform to reduce therapeutic development costs and potentially accelerate development timelines. Our approach leverages existing approved drugs and/or clinically evaluated product candidates together with big data and proprietary machine learning algorithms to identify new therapeutic indications. We believe this differentiated approach has proven its potential to reduce the expense and time associated with drug development in diseases with substantial unmet medical needs.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89" w:lineRule="exact"/>
        <w:rPr>
          <w:sz w:val="20"/>
          <w:szCs w:val="20"/>
          <w:color w:val="auto"/>
        </w:rPr>
      </w:pPr>
    </w:p>
    <w:p>
      <w:pPr>
        <w:ind w:left="60" w:right="299" w:firstLine="324"/>
        <w:spacing w:after="0" w:line="236" w:lineRule="auto"/>
        <w:rPr>
          <w:sz w:val="20"/>
          <w:szCs w:val="20"/>
          <w:color w:val="auto"/>
        </w:rPr>
      </w:pPr>
      <w:r>
        <w:rPr>
          <w:rFonts w:ascii="Times New Roman" w:cs="Times New Roman" w:eastAsia="Times New Roman" w:hAnsi="Times New Roman"/>
          <w:sz w:val="18"/>
          <w:szCs w:val="18"/>
          <w:color w:val="auto"/>
        </w:rPr>
        <w:t>Our most advanced neuroscience candidate is BXCL501. In indications other than those approved by the U.S. Food and Drug Administration (FDA)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is an investigational, proprietary, orally dissolving sublingual film formulation of dexmedetomidine in development for the treatment of agitation associated with psychiatric and neurological disorders. Our most advanced immuno-oncology asset, BXCL701, is an investigational oral innate immune activator from OnkosXcel Therapeutics as a potential therapy for the treatment of aggressive forms of prostate cancer, pancreatic cancer, and other solid and liquid tumors.</w:t>
      </w:r>
    </w:p>
    <w:p>
      <w:pPr>
        <w:spacing w:after="0" w:line="192" w:lineRule="exact"/>
        <w:rPr>
          <w:sz w:val="20"/>
          <w:szCs w:val="20"/>
          <w:color w:val="auto"/>
        </w:rPr>
      </w:pPr>
    </w:p>
    <w:p>
      <w:pPr>
        <w:jc w:val="both"/>
        <w:ind w:left="60" w:right="239" w:firstLine="324"/>
        <w:spacing w:after="0" w:line="193" w:lineRule="auto"/>
        <w:rPr>
          <w:sz w:val="20"/>
          <w:szCs w:val="20"/>
          <w:color w:val="auto"/>
        </w:rPr>
      </w:pPr>
      <w:r>
        <w:rPr>
          <w:rFonts w:ascii="Times New Roman" w:cs="Times New Roman" w:eastAsia="Times New Roman" w:hAnsi="Times New Roman"/>
          <w:sz w:val="18"/>
          <w:szCs w:val="18"/>
          <w:color w:val="auto"/>
        </w:rPr>
        <w:t>On April 6, 2022, we announced that the FDA approved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(dexmedetomidine) sublingual film for the acute treatment of agitation associated with schizophrenia or bipolar I or II disorder in adults.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approved to be self-administrated by patients under the supervision of a health care provider. On July 6, 2022, we announced that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commercially available in doses of 120 and 180 micrograms (“mcg”).</w:t>
      </w:r>
    </w:p>
    <w:p>
      <w:pPr>
        <w:spacing w:after="0" w:line="200" w:lineRule="exact"/>
        <w:rPr>
          <w:sz w:val="20"/>
          <w:szCs w:val="20"/>
          <w:color w:val="auto"/>
        </w:rPr>
      </w:pPr>
    </w:p>
    <w:p>
      <w:pPr>
        <w:ind w:left="60" w:right="139" w:firstLine="324"/>
        <w:spacing w:after="0" w:line="236" w:lineRule="auto"/>
        <w:rPr>
          <w:sz w:val="20"/>
          <w:szCs w:val="20"/>
          <w:color w:val="auto"/>
        </w:rPr>
      </w:pPr>
      <w:r>
        <w:rPr>
          <w:rFonts w:ascii="Times New Roman" w:cs="Times New Roman" w:eastAsia="Times New Roman" w:hAnsi="Times New Roman"/>
          <w:sz w:val="18"/>
          <w:szCs w:val="18"/>
          <w:color w:val="auto"/>
        </w:rPr>
        <w:t>We are currently conducting our SERENITY At-Home pivotal Phase 3 safety trial intended to support a supplemental new drug application (“sNDA”) submission to potentially expand the label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into the outpatient or at-home setting. On September 5, 2024, we announced the initiation of the trial, a double-blind, placebo-controlled study to evaluate the safety of a 120 mcg dose of BXCL501 in 200 patients for acute treatment of agitation associated with bipolar disorders or schizophrenia in the outpatient or at-home setting. On November 12, 2024, we announced that the first patient had been randomized.</w:t>
      </w:r>
    </w:p>
    <w:p>
      <w:pPr>
        <w:spacing w:after="0" w:line="160" w:lineRule="exact"/>
        <w:rPr>
          <w:sz w:val="20"/>
          <w:szCs w:val="20"/>
          <w:color w:val="auto"/>
        </w:rPr>
      </w:pPr>
    </w:p>
    <w:p>
      <w:pPr>
        <w:ind w:left="60" w:right="159" w:firstLine="324"/>
        <w:spacing w:after="0" w:line="233" w:lineRule="auto"/>
        <w:rPr>
          <w:sz w:val="20"/>
          <w:szCs w:val="20"/>
          <w:color w:val="auto"/>
        </w:rPr>
      </w:pPr>
      <w:r>
        <w:rPr>
          <w:rFonts w:ascii="Times New Roman" w:cs="Times New Roman" w:eastAsia="Times New Roman" w:hAnsi="Times New Roman"/>
          <w:sz w:val="18"/>
          <w:szCs w:val="18"/>
          <w:color w:val="auto"/>
        </w:rPr>
        <w:t>On May 12, 2025, we announced the trial was fully enrolled, and that more than 165 patients had been dosed. On August 1, 2025 we announced completion of the last patient last visit (LPLV) in the pivotal Phase 3 SERENITY At-Home clinical trial. Topline data from the study are expected to be released in August 2025 and are intended to support the planned supplemental New Drug Application (sNDA) to potentially expand the label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use in the outpatient or at-home setting.</w:t>
      </w:r>
    </w:p>
    <w:p>
      <w:pPr>
        <w:spacing w:after="0" w:line="175" w:lineRule="exact"/>
        <w:rPr>
          <w:sz w:val="20"/>
          <w:szCs w:val="20"/>
          <w:color w:val="auto"/>
        </w:rPr>
      </w:pPr>
    </w:p>
    <w:p>
      <w:pPr>
        <w:ind w:left="60" w:right="579" w:firstLine="324"/>
        <w:spacing w:after="0" w:line="312" w:lineRule="auto"/>
        <w:rPr>
          <w:sz w:val="20"/>
          <w:szCs w:val="20"/>
          <w:color w:val="auto"/>
        </w:rPr>
      </w:pPr>
      <w:r>
        <w:rPr>
          <w:rFonts w:ascii="Times New Roman" w:cs="Times New Roman" w:eastAsia="Times New Roman" w:hAnsi="Times New Roman"/>
          <w:sz w:val="17"/>
          <w:szCs w:val="17"/>
          <w:color w:val="auto"/>
        </w:rPr>
        <w:t>Our TRANQUILITY program is designed to evaluate BXCL501 as a potential treatment option for agitation associated with Alzheimer’s dementia in the outpatient or at-home setting and in-care facilities. We have had several</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 xml:space="preserve">FDA meetings to discuss the development program, and the FDA has commented on the proposed protocol for our TRANQUILITY In-Care Phase 3 trial, which is designed to evaluate the efficacy and safety of a 60 mcg dose of BXCL501 for agitation associated with Alzheimer’s dementia. The Company is advancing plans for initiation of the trial upon funding. See further discussion in </w:t>
      </w:r>
      <w:r>
        <w:rPr>
          <w:rFonts w:ascii="Times New Roman" w:cs="Times New Roman" w:eastAsia="Times New Roman" w:hAnsi="Times New Roman"/>
          <w:sz w:val="18"/>
          <w:szCs w:val="18"/>
          <w:i w:val="1"/>
          <w:iCs w:val="1"/>
          <w:color w:val="auto"/>
        </w:rPr>
        <w:t>“Our Neuroscience Clinical Programs”</w:t>
      </w:r>
      <w:r>
        <w:rPr>
          <w:rFonts w:ascii="Times New Roman" w:cs="Times New Roman" w:eastAsia="Times New Roman" w:hAnsi="Times New Roman"/>
          <w:sz w:val="18"/>
          <w:szCs w:val="18"/>
          <w:color w:val="auto"/>
        </w:rPr>
        <w:t xml:space="preserve"> below.</w:t>
      </w:r>
    </w:p>
    <w:p>
      <w:pPr>
        <w:spacing w:after="0" w:line="180" w:lineRule="exact"/>
        <w:rPr>
          <w:sz w:val="20"/>
          <w:szCs w:val="20"/>
          <w:color w:val="auto"/>
        </w:rPr>
      </w:pPr>
    </w:p>
    <w:p>
      <w:pPr>
        <w:ind w:left="60" w:right="919" w:firstLine="324"/>
        <w:spacing w:after="0" w:line="282" w:lineRule="auto"/>
        <w:rPr>
          <w:sz w:val="20"/>
          <w:szCs w:val="20"/>
          <w:color w:val="auto"/>
        </w:rPr>
      </w:pPr>
      <w:r>
        <w:rPr>
          <w:rFonts w:ascii="Times New Roman" w:cs="Times New Roman" w:eastAsia="Times New Roman" w:hAnsi="Times New Roman"/>
          <w:sz w:val="18"/>
          <w:szCs w:val="18"/>
          <w:color w:val="auto"/>
        </w:rPr>
        <w:t>As described further below, we have deprioritized the development of BXCL501 for certain other proposed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1905635</wp:posOffset>
            </wp:positionH>
            <wp:positionV relativeFrom="paragraph">
              <wp:posOffset>-236855</wp:posOffset>
            </wp:positionV>
            <wp:extent cx="285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Our most advanced immuno-oncology candidate, BXCL701, is an investigational oral innate immune activator from OnkosXcel Therapeutics as a potential therapy for the treatment of aggressive forms of prostate cancer, pancreatic cancer, and other solid and liquid tumors. As described further below, we have deprioritized the development of our BXCL701 programs, except as noted under “Immuno-Oncology”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-225425</wp:posOffset>
            </wp:positionV>
            <wp:extent cx="285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2024 Clinical Prioritization</w:t>
      </w:r>
    </w:p>
    <w:p>
      <w:pPr>
        <w:spacing w:after="0" w:line="229"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On May 8, 2024 the Company took actions as part of its continued efforts to preserve cash and prioritize investment in its core clinical programs. The Company reduced its workforce by approximately 15% and notified impacted employees on May 8, 2024. All related restructuring costs were paid in the second quarter of 2024.</w:t>
      </w:r>
    </w:p>
    <w:p>
      <w:pPr>
        <w:spacing w:after="0" w:line="176" w:lineRule="exact"/>
        <w:rPr>
          <w:sz w:val="20"/>
          <w:szCs w:val="20"/>
          <w:color w:val="auto"/>
        </w:rPr>
      </w:pPr>
    </w:p>
    <w:p>
      <w:pPr>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On September 17, 2024, the Company reduced its workforce by an additional 28% to extend its cash runway and prioritize clinical development of BXCL501. The Company completed the Clinical Prioritization in October 2024, paid $475 of the related costs during the first quarter of 2025, and paid the remaining $128 during the second quarter of 2025.</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IGALMI</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b w:val="1"/>
          <w:bCs w:val="1"/>
          <w:color w:val="auto"/>
        </w:rPr>
        <w:t xml:space="preserve"> Commercialization Strategy</w:t>
      </w:r>
    </w:p>
    <w:p>
      <w:pPr>
        <w:spacing w:after="0" w:line="226" w:lineRule="exact"/>
        <w:rPr>
          <w:sz w:val="20"/>
          <w:szCs w:val="20"/>
          <w:color w:val="auto"/>
        </w:rPr>
      </w:pPr>
    </w:p>
    <w:p>
      <w:pPr>
        <w:ind w:left="60" w:right="159" w:firstLine="324"/>
        <w:spacing w:after="0" w:line="228" w:lineRule="auto"/>
        <w:rPr>
          <w:sz w:val="20"/>
          <w:szCs w:val="20"/>
          <w:color w:val="auto"/>
        </w:rPr>
      </w:pPr>
      <w:r>
        <w:rPr>
          <w:rFonts w:ascii="Times New Roman" w:cs="Times New Roman" w:eastAsia="Times New Roman" w:hAnsi="Times New Roman"/>
          <w:sz w:val="17"/>
          <w:szCs w:val="17"/>
          <w:color w:val="auto"/>
        </w:rPr>
        <w:t>We are continuing to supply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through existing distribution channels. At the same time, while seeking potential commercial partners, we are maintaining IGALMI’s market presence with minimal commercial resources following our Clinical Prioritization in 2024. Our commercialization efforts are designed to build the foundation to launch additional potential follow-on indications. If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would be approved outside the U.S., we would consider launching the product through collaborations with third parties. However, no foreign applications have been made at this time.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Neuroscience Clinical Programs and Investigator-Sponsored Trials</w:t>
      </w:r>
    </w:p>
    <w:p>
      <w:pPr>
        <w:spacing w:after="0" w:line="229"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status of our major neuroscience clinical development programs and investigator-sponsored trials as of the date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03545" cy="27603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0354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About BXCL501</w:t>
      </w:r>
    </w:p>
    <w:p>
      <w:pPr>
        <w:spacing w:after="0" w:line="202" w:lineRule="exact"/>
        <w:rPr>
          <w:sz w:val="20"/>
          <w:szCs w:val="20"/>
          <w:color w:val="auto"/>
        </w:rPr>
      </w:pPr>
    </w:p>
    <w:p>
      <w:pPr>
        <w:ind w:left="60" w:right="159" w:firstLine="324"/>
        <w:spacing w:after="0" w:line="233" w:lineRule="auto"/>
        <w:rPr>
          <w:sz w:val="20"/>
          <w:szCs w:val="20"/>
          <w:color w:val="auto"/>
        </w:rPr>
      </w:pPr>
      <w:r>
        <w:rPr>
          <w:rFonts w:ascii="Times New Roman" w:cs="Times New Roman" w:eastAsia="Times New Roman" w:hAnsi="Times New Roman"/>
          <w:sz w:val="18"/>
          <w:szCs w:val="18"/>
          <w:color w:val="auto"/>
        </w:rPr>
        <w:t>BXCL501 is our most advanced neuroscience clinical candidate. In indications other than those approved by the FDA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is an investigational, proprietary, orally dissolving sublingual film formulation of dexmedetomidine, a selective alpha-2 receptor agonist, targeting symptoms from stress-related behaviors such as agitation. BXCL501 is currently being evaluated for the acute treatment of agitation related to bipolar disorders or schizophrenia in the outpatient or at-home setting.</w:t>
      </w:r>
    </w:p>
    <w:p>
      <w:pPr>
        <w:spacing w:after="0" w:line="161"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As a selective adrenergic agent with sublingual or buccal administration, BXCL501 is designed to be easily administered and has shown a relatively rapid onset of action in multiple clinical trials, including those studying patients with bipolar disorders, schizophrenia, and Alzheimer’s disease. We believe results from these studies suggest that BXCL501 has the potential to reduce agitation without producing excessive sedation. We also believe BXCL501 is highly differentiated from antipsychotics and benzodiazepines, which are currently used as first-line standard-of-care treatment for agitation despite often producing unwanted side effects such as excessive sedation or extra pyramidal motor effects. Managing patient agitation in neuropsychiatric and neurodegenerative disorders represents a significant challenge for physicians and caregivers. We believe BXCL501 has the potential to address these challenges and, if approved for the respective indications, has the potential to become the standard of care for the acute treatment of agitation associated with these disorders.</w:t>
      </w:r>
    </w:p>
    <w:p>
      <w:pPr>
        <w:spacing w:after="0" w:line="154"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addition, based on its mechanism of action, we believe BXCL501 has the potential to address some symptoms of several additional diseases or conditions, including opioid use disorder (“OUD”), acute stress disorder (“ASD”) and post-traumatic stress disorder (“PTSD”). BXCL501 is currently being evaluated for treatment of patients with those conditions in clinical trials sponsored by leading academic research institutions. See Government-Supported Investigator-Sponsored Trials (“ISTs”) below.</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BXCL501 Late-Stage Clinical Programs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SERENITY Program: Acute Treatment of Agitation Associated with Bipolar I or II Disorder or Schizophrenia</w:t>
      </w:r>
    </w:p>
    <w:p>
      <w:pPr>
        <w:spacing w:after="0" w:line="200" w:lineRule="exact"/>
        <w:rPr>
          <w:sz w:val="20"/>
          <w:szCs w:val="20"/>
          <w:color w:val="auto"/>
        </w:rPr>
      </w:pPr>
    </w:p>
    <w:p>
      <w:pPr>
        <w:ind w:left="60" w:right="159" w:firstLine="324"/>
        <w:spacing w:after="0" w:line="242" w:lineRule="auto"/>
        <w:rPr>
          <w:sz w:val="20"/>
          <w:szCs w:val="20"/>
          <w:color w:val="auto"/>
        </w:rPr>
      </w:pPr>
      <w:r>
        <w:rPr>
          <w:rFonts w:ascii="Times New Roman" w:cs="Times New Roman" w:eastAsia="Times New Roman" w:hAnsi="Times New Roman"/>
          <w:sz w:val="18"/>
          <w:szCs w:val="18"/>
          <w:color w:val="auto"/>
        </w:rPr>
        <w:t>Under our SERENITY program, we are focused on the continued development of BXCL501 (currently marketed and commercialized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a potential treatment option for agitation associated with bipolar I or II disorder or schizophrenia in the outpatient or at-home setting. The Company is currently advancing its SERENITY At-Home pivotal Phase 3 trial, which is designed as a double-blind, placebo-controlled study to evaluate the safety of a 120 mcg dose of BXCL501 in over 200 patients for acute treatment of agitation associated with bipolar disorders or schizophrenia in the outpatient or at-home setting. On both May 27, 2025 and July 1, 2025, the Company received positive recommendations by an independent Data Safety Monitoring Board (“DSMB”) to continue, without modification, the SERENITY At-Home pivotal Phase 3 safety trial of BXCL 501. The Company also initiated a clinical study designed to enroll approximately 30 patient-informant dyads to evaluate the correlation between patient-and informant-reported efficacy measurement and the Positive and Negative Syndrome Scale-Excitatory Component (“PEC”) scale, conducted by trained raters as recommended by the FDA. The study is more than 75% enrolled and we expect the study to be completed this quarter.</w:t>
      </w:r>
    </w:p>
    <w:p>
      <w:pPr>
        <w:spacing w:after="0" w:line="163"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On August 1, 2025 we announced completion of the last patient last visit in the pivotal Phase 3 SERENITY At-Home clinical trial. Topline data from the study are expected to be released in August 2025.</w:t>
      </w:r>
    </w:p>
    <w:p>
      <w:pPr>
        <w:spacing w:after="0" w:line="135" w:lineRule="exact"/>
        <w:rPr>
          <w:sz w:val="20"/>
          <w:szCs w:val="20"/>
          <w:color w:val="auto"/>
        </w:rPr>
      </w:pPr>
    </w:p>
    <w:p>
      <w:pPr>
        <w:ind w:left="60" w:right="139" w:firstLine="324"/>
        <w:spacing w:after="0" w:line="224" w:lineRule="auto"/>
        <w:rPr>
          <w:sz w:val="20"/>
          <w:szCs w:val="20"/>
          <w:color w:val="auto"/>
        </w:rPr>
      </w:pPr>
      <w:r>
        <w:rPr>
          <w:rFonts w:ascii="Times New Roman" w:cs="Times New Roman" w:eastAsia="Times New Roman" w:hAnsi="Times New Roman"/>
          <w:sz w:val="18"/>
          <w:szCs w:val="18"/>
          <w:color w:val="auto"/>
        </w:rPr>
        <w:t>The results of these trials are intended to support a supplemental new drug application (“sNDA”) submission to potentially expand the label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into the outpatient or at-home setting, beyond its current indication for use under healthcare provider supervision.</w:t>
      </w:r>
    </w:p>
    <w:p>
      <w:pPr>
        <w:spacing w:after="0" w:line="158"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On July 21, the Company announded a pre-sNDA meeting is scheduled for August 20, 2025, to gain alignment with the FDA regarding the content and format of the planned sNDA submission, which the Company is preparing. Additionally, the Company plans to reconfirm the understanding reached during the Type C meeting with the FDA on March 6, 2024, that FDA views the Company’s current development plans as a reasonable approach to support expanding the label to include at-home (outpatient) use of 120 mcg BXCL501 for the acute treatment of agitation associated with schizophrenia or bipolar disorders in the at-home setting.</w:t>
      </w:r>
    </w:p>
    <w:p>
      <w:pPr>
        <w:spacing w:after="0" w:line="143" w:lineRule="exact"/>
        <w:rPr>
          <w:sz w:val="20"/>
          <w:szCs w:val="20"/>
          <w:color w:val="auto"/>
        </w:rPr>
      </w:pPr>
    </w:p>
    <w:p>
      <w:pPr>
        <w:ind w:left="60" w:right="95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TRANQUILITY Program: Acute Treatment of Agitation Associated with Dementia due to Probable Alzheimer’s Disease (“AAD”)</w:t>
      </w:r>
    </w:p>
    <w:p>
      <w:pPr>
        <w:spacing w:after="0" w:line="132"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Under our TRANQUILITY program, we are evaluating BXCL501 as a potential treatment option for the acute treatment of agitation associated with Alzheimer’s dementia (“AAD”). On June 29, 2023, we announced positive topline results from our TRANQUILITY II Phase 3 trial. The randomized, double-blind, placebo-controlled, parallel group trial evaluated the safety and efficacy of BXCL501 for the acute treatment of AAD in adults 65 years and older with mild to moderate dementia in assisted living facilities and residential care settings who required minimal assistance with activities of daily living.</w:t>
      </w:r>
    </w:p>
    <w:p>
      <w:pPr>
        <w:spacing w:after="0" w:line="147" w:lineRule="exact"/>
        <w:rPr>
          <w:sz w:val="20"/>
          <w:szCs w:val="20"/>
          <w:color w:val="auto"/>
        </w:rPr>
      </w:pPr>
    </w:p>
    <w:p>
      <w:pPr>
        <w:ind w:left="60" w:right="259" w:firstLine="324"/>
        <w:spacing w:after="0" w:line="254" w:lineRule="auto"/>
        <w:rPr>
          <w:sz w:val="20"/>
          <w:szCs w:val="20"/>
          <w:color w:val="auto"/>
        </w:rPr>
      </w:pPr>
      <w:r>
        <w:rPr>
          <w:rFonts w:ascii="Times New Roman" w:cs="Times New Roman" w:eastAsia="Times New Roman" w:hAnsi="Times New Roman"/>
          <w:sz w:val="18"/>
          <w:szCs w:val="18"/>
          <w:color w:val="auto"/>
        </w:rPr>
        <w:t>On June 29, 2023, we also announced that we had learned that an investigator in the TRANQUILITY II study engaged in misconduct. Since that time, we have taken steps to further investigate and evaluate the conduct of the trial at the investigator’s clinical site. On October 25, 2023, we announced that an independent third-party audit of data integrity at the trial site did not identify any findings that they believed impacted the data reliability or integrity, nor did they find any evidence of additional misconduct or fraud. On March 3, 2025, we announced that the FDA concluded that the inspection of the single site in the trial was closed under 21 C.F.R.20.64(d)(3) and released the Establishment Inspection Report, designating “Voluntary Action Indicated” for the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spacing w:after="0" w:line="148"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Based on subsequent meetings with and feedback from the FDA, we plan to generate additional Phase 3 efficacy and safety data, in relevant care-facility settings and across severity of dementia, in our TRANQUILITY In-Care trial. On September 5, 2024, we submitted to the FDA the proposed protocol for the trial, a double-blind, placebo-</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controlled study to evaluate the efficacy and safety of a 60 mcg dose of BXCL501 for acute treatment of AAD in the care setting. On November 12, 2024, we announced that we had received FDA feedback on the proposed protocol. The Company is advancing plans for initiation of the trial upon funding. At a future meeting with the FDA, we plan to further discuss our trial design and the details of the requirement for long-term safety data.</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Pediatric Study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June 2021, we initiated a clinical trial designed to evaluate the safety and efficacy of BXCL501 in the acute</w:t>
      </w:r>
    </w:p>
    <w:p>
      <w:pPr>
        <w:spacing w:after="0" w:line="27" w:lineRule="exact"/>
        <w:rPr>
          <w:sz w:val="20"/>
          <w:szCs w:val="20"/>
          <w:color w:val="auto"/>
        </w:rPr>
      </w:pPr>
    </w:p>
    <w:p>
      <w:pPr>
        <w:ind w:left="60" w:right="219"/>
        <w:spacing w:after="0" w:line="235" w:lineRule="auto"/>
        <w:rPr>
          <w:sz w:val="20"/>
          <w:szCs w:val="20"/>
          <w:color w:val="auto"/>
        </w:rPr>
      </w:pPr>
      <w:r>
        <w:rPr>
          <w:rFonts w:ascii="Times New Roman" w:cs="Times New Roman" w:eastAsia="Times New Roman" w:hAnsi="Times New Roman"/>
          <w:sz w:val="18"/>
          <w:szCs w:val="18"/>
          <w:color w:val="auto"/>
        </w:rPr>
        <w:t>treatment of agitation associated with pediatric schizophrenia or bipolar disorders to fulfill pediatric study requirements agreed to with the FDA in connection with the approval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trial protocol has been reviewed and agreed to by the FDA, to fulfill the commitment to study BXCL501 in pediatric patients ages 13 to 17 with schizophrenia and ages 10 to 17 with bipolar disorders. This double-blind, placebo-controlled study is ongoing. Approximately 63% of the 150 total subjects have been enrolled in the U.S. and 95 of such subjects have completed the clinical trial. Similar to our registration trials in schizophrenia and bipolar disorder (SERENITY I and II), the primary endpoint is the change from baseline PEC total score at two hours.</w:t>
      </w:r>
    </w:p>
    <w:p>
      <w:pPr>
        <w:spacing w:after="0" w:line="201"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 October 2024, we submitted a request to the FDA for a deferral extension to complete enrollment requirements for pediatric patients with schizophrenia or schizoaffective disorder. The FDA granted a 3-year extension to complete the study.</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IGALMI</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Post-Marketing Requirement Study</w:t>
      </w:r>
    </w:p>
    <w:p>
      <w:pPr>
        <w:spacing w:after="0" w:line="104" w:lineRule="exact"/>
        <w:rPr>
          <w:sz w:val="20"/>
          <w:szCs w:val="20"/>
          <w:color w:val="auto"/>
        </w:rPr>
      </w:pPr>
    </w:p>
    <w:p>
      <w:pPr>
        <w:ind w:left="60" w:right="399" w:firstLine="324"/>
        <w:spacing w:after="0" w:line="221" w:lineRule="auto"/>
        <w:rPr>
          <w:sz w:val="20"/>
          <w:szCs w:val="20"/>
          <w:color w:val="auto"/>
        </w:rPr>
      </w:pPr>
      <w:r>
        <w:rPr>
          <w:rFonts w:ascii="Times New Roman" w:cs="Times New Roman" w:eastAsia="Times New Roman" w:hAnsi="Times New Roman"/>
          <w:sz w:val="18"/>
          <w:szCs w:val="18"/>
          <w:color w:val="auto"/>
        </w:rPr>
        <w:t>On June 25, 2024, we announced topline results from our post-marketing requirement study evaluating whether tolerance, tachyphylaxis, or withdrawal occur following repeat dosing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During the single-arm, open-label study, 28 inpatient adults with frequent episodes of agitation associated with bipolar disorders or schizophrenia self-administered 180 mcg dose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needed over seven days. A total of 83 episodes were treated. There was no evidence of tachyphylaxis, tolerance, or withdrawal, and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generally well tolerated.</w:t>
      </w:r>
    </w:p>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Additional Neuroscience Opportunities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BXCL501 Pipeline Opportunities for Franchise Expansion</w:t>
      </w:r>
    </w:p>
    <w:p>
      <w:pPr>
        <w:spacing w:after="0" w:line="189"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Based on its potential mechanism of action, we believe BXCL501 has the potential for broad applicability across several indications where agitation is a symptom of a condition or underlying disease. Research published in the journal Frontiers in Pharmacology showed that BXCL501 caused a significant reduction in behaviors induced by stress in translatable behavioral models related to psychiatric disorders, providing further support for the drug’s mechanism of action and potential suitability for broadly addressing stress-related disorders in addition to agitation.</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Government-Supported Investigator-Sponsored Trials (“ISTs”)</w:t>
      </w:r>
    </w:p>
    <w:p>
      <w:pPr>
        <w:spacing w:after="0" w:line="22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Our research partners have been awarded grants for the development of BXCL501 in alcohol use disorder (“AUD”) with comorbid post-traumatic stress disorder (“PTSD”), opioid use disorder (“OUD”), and acute stress disorder (“ASD”). The Company is providing, or has provided, regulatory and operational support and investigational product for these development opportunities, which are being funded through Cooperative Agreements with the U.S. Department of Defense Congressionally Directed Medical Research Program and National Institute on Drug Abuse (“NIDA”). Clinical and regulatory responsibilities are led by clinical researchers and regulatory staff at the Veterans Affairs Connecticut Healthcare System, Yale University Medical School, RTI International, Columbia University New York State Psychiatric Institute, and University of North Carolina at Chapel Hill.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Opioid Use Disorder (“OUD”)</w:t>
      </w:r>
    </w:p>
    <w:p>
      <w:pPr>
        <w:spacing w:after="0" w:line="229" w:lineRule="exact"/>
        <w:rPr>
          <w:sz w:val="20"/>
          <w:szCs w:val="20"/>
          <w:color w:val="auto"/>
        </w:rPr>
      </w:pPr>
    </w:p>
    <w:p>
      <w:pPr>
        <w:jc w:val="both"/>
        <w:ind w:left="60" w:right="319" w:firstLine="405"/>
        <w:spacing w:after="0" w:line="281" w:lineRule="auto"/>
        <w:rPr>
          <w:sz w:val="20"/>
          <w:szCs w:val="20"/>
          <w:color w:val="auto"/>
        </w:rPr>
      </w:pPr>
      <w:r>
        <w:rPr>
          <w:rFonts w:ascii="Times New Roman" w:cs="Times New Roman" w:eastAsia="Times New Roman" w:hAnsi="Times New Roman"/>
          <w:sz w:val="17"/>
          <w:szCs w:val="17"/>
          <w:color w:val="auto"/>
        </w:rPr>
        <w:t xml:space="preserve">As the Company previously announced, NIDA awarded a grant to Columbia University to fund clinical testing of BXCL501 as a potential treatment for mitigation of opioid withdrawal symptoms in patients diagnosed with OUD. The original 160-patient, three-site, four-arm </w:t>
      </w:r>
      <w:r>
        <w:rPr>
          <w:rFonts w:ascii="Times New Roman" w:cs="Times New Roman" w:eastAsia="Times New Roman" w:hAnsi="Times New Roman"/>
          <w:sz w:val="17"/>
          <w:szCs w:val="17"/>
          <w:color w:val="212121"/>
        </w:rPr>
        <w:t>study is a randomized, double-blind, double-dummy inpatient study comparing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121"/>
        </w:rPr>
        <w:t>BXCL501 (180 mcg and 240 mcg BID), lofexidine (as a positive control), and placebo. The study’s goal is to evaluate</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212121"/>
        </w:rPr>
        <w:t xml:space="preserve">the safety and efficacy of BXCL501 relative to lofexidine and placebo in subjects with OUD. A majority of OUD patients participating in the study are anticipated to be exposed to </w:t>
      </w:r>
      <w:r>
        <w:rPr>
          <w:rFonts w:ascii="Times New Roman" w:cs="Times New Roman" w:eastAsia="Times New Roman" w:hAnsi="Times New Roman"/>
          <w:sz w:val="18"/>
          <w:szCs w:val="18"/>
          <w:color w:val="000000"/>
        </w:rPr>
        <w:t>fentanyl adulterated or associated with xylazine</w:t>
      </w:r>
      <w:r>
        <w:rPr>
          <w:rFonts w:ascii="Times New Roman" w:cs="Times New Roman" w:eastAsia="Times New Roman" w:hAnsi="Times New Roman"/>
          <w:sz w:val="18"/>
          <w:szCs w:val="18"/>
          <w:color w:val="212121"/>
        </w:rPr>
        <w:t xml:space="preserve">. To date, four different </w:t>
      </w:r>
      <w:r>
        <w:rPr>
          <w:rFonts w:ascii="Times New Roman" w:cs="Times New Roman" w:eastAsia="Times New Roman" w:hAnsi="Times New Roman"/>
          <w:sz w:val="18"/>
          <w:szCs w:val="18"/>
          <w:color w:val="000000"/>
        </w:rPr>
        <w:t>sites have recruited, enrolled, and dosed patients diagnosed with OUD who are physically dependent on opioids,</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including prescription opioids. The Company is supplying BXCL501 for the study, which is sponsored by Columbia University</w:t>
      </w:r>
      <w:r>
        <w:rPr>
          <w:rFonts w:ascii="Times New Roman" w:cs="Times New Roman" w:eastAsia="Times New Roman" w:hAnsi="Times New Roman"/>
          <w:sz w:val="18"/>
          <w:szCs w:val="18"/>
          <w:color w:val="212121"/>
        </w:rPr>
        <w:t>. The study was subsequently stopped at 80 patients, or approximately one-half the original total, and the results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 xml:space="preserve">are currently being analyzed. We expect that the results from the current study will be used to select a recommended dose of BXCL501 to compare to placebo in a later outpatient Phase 3 study sponsored by </w:t>
      </w:r>
      <w:r>
        <w:rPr>
          <w:rFonts w:ascii="Times New Roman" w:cs="Times New Roman" w:eastAsia="Times New Roman" w:hAnsi="Times New Roman"/>
          <w:sz w:val="18"/>
          <w:szCs w:val="18"/>
          <w:color w:val="000000"/>
        </w:rPr>
        <w:t>NIDA.</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Alcohol Use Disorder (“AUD”) with Comorbid Post-traumatic Stress Disorder (“PTSD”)</w:t>
      </w:r>
    </w:p>
    <w:p>
      <w:pPr>
        <w:spacing w:after="0" w:line="22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December 2020, the Veterans Affairs Connecticut Healthcare System and Yale University Medical School were awarded a grant by the U.S. Department of Defense’s Congressionally Directed Medical Research Program with the overall objective to evaluate BXCL501 in patients who suffer from AUD with comorbid PTSD. The Company provided BXCL501 for the inpatient Alcohol Interaction Study, which has been completed. Yale has received approval from the Institutional Review Board (“IRB”) and allowance from the FDA to proceed with a trial to evaluate the effects of up to 80 mcg BID of BXCL501 per day for 28 days on alcohol consumption, PTSD symptoms, cognitive function, memory, sleep, and mood in patients diagnosed with mild, moderate, or severe AUD and who meet Criterion A for comorbid PTSD. The outpatient study has received funding approval from the Pharmacotherapies for Alcohol and Substance Use Disorders Alliance (funded through a Cooperative Agreement between the U.S. Department of Defense Congressionally Directed Medical Research Program and RTI International). Patient screening and enrollment is expected to begin in 2025. Study results may be used to inform a Phase 3 study in patients diagnosed with PTSD intended to commence with support by the Department of Defense Congresionally Directed Medical Research Program.</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Acute Stress Disorder (“ASD”)</w:t>
      </w:r>
    </w:p>
    <w:p>
      <w:pPr>
        <w:spacing w:after="0" w:line="229"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On October 15, 2024, we announced a U.S. Department of Defense grant to the University of North Carolina at Chapel Hill (“UNC”) through award contract HT94252411108 to fund a study of BXCL501 for treating ASD. The award provides $2,827 to the UNC Institute for Trauma Recovery from September 15, 2024 through September 14, 2026 to evaluate the potential efficacy of BXCL501 to reduce ASD symptom severity and/or posttraumatic neuropsychiatric symptoms. The double-blind, placebo-controlled trial is expected to enroll 100 patients experiencing ASD resulting from motor vehicle collisions beginning in 2025, with BXCL501 supplied by the Company.</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BXCL502</w:t>
      </w:r>
    </w:p>
    <w:p>
      <w:pPr>
        <w:spacing w:after="0" w:line="18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We identified a second neuropsychiatric drug candidate, BXCL502 − Latrepirdine (Dimebon) − through our AI-based platform. We had planned to evaluate BXCL502 initially as a monotherapy and possibly in combination with BXCL501 for the chronic treatment of agitation in patients with dementia and acute stress disorder. The active pharmaceutical ingredient (“API”) underlying BXCL502 affects serotonergic signaling in the brain. Our preclinical data suggests BXCL502 has the potential to treat stress-related neuropsychiatric symptoms in dementia and other stress-related disorders. In previously published third-party clinical trial data, daily administration of the API of BXCL502 demonstrated improvement in behaviors using a well-established, clinically validated symptom scale. Formulation and further clinical development planning for BXCL502 was paused as part of the Reprioritization.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Additional Product Candidates Identified Leveraging our AI Platform</w:t>
      </w:r>
    </w:p>
    <w:p>
      <w:pPr>
        <w:spacing w:after="0" w:line="202"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Our AI platform is comprised of a series of customized and specific AI applications aimed at identifying, predicting efficacy and testing of late-stage assets with known mechanisms of action and associated pharmacology and safety data. We target neuropsychiatric and neurological rare disorders, where the compounds are either disease-modifying or symptom-mitigating. Compounds are tested in relevant models of disease and rank-ordered based on the potential to enter the clinic and ease of development. Disease areas of interest are stress-related such as agitation, or neuropsychiatric symptoms associated with dementia and responsible for increased levels of healthcare burden. For example, our pipeline concepts BXCL503 and BXCL504 putatively have the potential to address apathy and aggression in dementia, respectively. Further development of these concepts is currently paused and investment in our AI capabilities have been reduced.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Neuroscience Intellectual Property</w:t>
      </w:r>
    </w:p>
    <w:p>
      <w:pPr>
        <w:spacing w:after="0" w:line="202"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Our policy is to protect and enhance the proprietary technologies, inventions, and improvements that are commercially important to our business by filing patent applications in the U.S. and other jurisdictions related to our proprietary technology, inventions, improvements, and product candidates. We also rely on trademarks, trade secrets, and know-how relating to our proprietary technologies and product candidates, continuing innovation, and in-licensing technology and products. This reliance is expected to develop, maintain, and strengthen our proprietary position for novel therapeutics and novel formulations of existing therapeutics across multiple therapeutic areas. We also plan to rely on data exclusivity, market exclusivity, and patent term extensions when available.</w:t>
      </w:r>
    </w:p>
    <w:p>
      <w:pPr>
        <w:spacing w:after="0" w:line="189" w:lineRule="exact"/>
        <w:rPr>
          <w:sz w:val="20"/>
          <w:szCs w:val="20"/>
          <w:color w:val="auto"/>
        </w:rPr>
      </w:pPr>
    </w:p>
    <w:p>
      <w:pPr>
        <w:ind w:left="60" w:right="139" w:firstLine="324"/>
        <w:spacing w:after="0" w:line="245" w:lineRule="auto"/>
        <w:rPr>
          <w:sz w:val="20"/>
          <w:szCs w:val="20"/>
          <w:color w:val="auto"/>
        </w:rPr>
      </w:pPr>
      <w:r>
        <w:rPr>
          <w:rFonts w:ascii="Times New Roman" w:cs="Times New Roman" w:eastAsia="Times New Roman" w:hAnsi="Times New Roman"/>
          <w:sz w:val="18"/>
          <w:szCs w:val="18"/>
          <w:color w:val="auto"/>
        </w:rPr>
        <w:t>We have multiple patent families filed to protect our neuroscience program, including BXCL501. As of July 28, 2025, our neuroscience patent portfolio included five Patent Cooperation Treaty (“PCT”) applications not yet in national phase, 13 U.S. utility applications, 17 issued U.S. utility patents, 55 pending non-U.S. utility applications, 22 allowed or granted non-U.S. patents (including four in Japan), one pending U.S. design patent application, and two registered design patents in Japan. Thirteen U.S. utility patents, directed to our proprietary sublingual film formulation of dexmedetomidine and methods of treating agitation, are listed in the FDA’s Approved Drug Products with Therapeutic Equivalence Evaluations (commonly known as the “Orange Book”)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with expiration dates between 2037 and 2043. In the formulation family, we have granted or allowed patents in China, Europe, Eurasia, Japan, Mexico, and the U.S., and pending applications in the U.S., China, and other major markets. We expect that patents issued in this family will expire no earlier than 2039. We have also filed applications in additional patent families that are relevant to BXCL501. We have one granted European patent and applications pending in the U.S. and Japan directed to methods of treating insomnia using sublingual dexmedetomidine. We expect that patents issued from these applications will expire no earlier than 2035. We also have granted patents and pending applications filed in major markets, including the U.S., Europe, Japan, and China, directed to methods of treating agitation. We expect that patents issued from these applications will expire between 2039 and 2043. We also have four PCT applications directed to treating mania, depression, stress, and agitation. If patents are issued from those cases, we expect them to expire in 2043 or 2044.</w:t>
      </w:r>
    </w:p>
    <w:p>
      <w:pPr>
        <w:spacing w:after="0" w:line="197"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obtained. In most countries, including the U.S., the patent term is 20 years from the earliest filing date of a non-provisional patent application. Depending upon the timing, duration, and specifics of FDA approval of our product candidates, a U.S. patent that we own or license may be eligible for limited patent term extension under the Drug Price Competition and Patent Term Restoration Act of 1984 (a.k.a., the “Hatch-Waxman Act”). The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new drug application (“NDA”), plus the time between the submission date of an NDA and the approval of that application. Only one patent applicable to an approved drug is eligible for the extension, and the application for extension must be made prior to patent expiration.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9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term of a patent can also be extended by PTA established in 35 U.S.C. 154(b). The intention of the PTA is to accommodate for delays caused by the USPTO during the prosecution of a U.S. utility or plant patent application. Under PTA, the USPTO delay is divided into three types: type A (delays after 14 months from the filing date of the application until the USPTO issues a first Office Action and delays after four months from the filing of certain actions by the applicant until the USPTO responds to such actions); type B (delays after three years from the earliest effective filing date until a patent is granted); and type C (delays due to interferences, secrecy orders, and successful appeals). The total amount of PTA is calculated by adding the types A, B, and C delays, and then subtracting any delay that is overlapped among three types or that is attributable to the applicant.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term of a patent can also be shortened by a terminal disclaimer. A terminal disclaimer is a statement filed by a patent owner in which the owner disclaims or dedicates to the public the terminal part of the term of a patent. Often, the terminal disclaimer is filed in cases where at least one claim of a pending application would have been obvious in light of at least one claim in an earlier-filed patent, (or non-statutory obviousness-type double patenting rejection).</w:t>
      </w:r>
    </w:p>
    <w:p>
      <w:pPr>
        <w:spacing w:after="0" w:line="180" w:lineRule="exact"/>
        <w:rPr>
          <w:sz w:val="20"/>
          <w:szCs w:val="20"/>
          <w:color w:val="auto"/>
        </w:rPr>
      </w:pPr>
    </w:p>
    <w:p>
      <w:pPr>
        <w:ind w:left="60" w:right="159" w:firstLine="324"/>
        <w:spacing w:after="0" w:line="251" w:lineRule="auto"/>
        <w:rPr>
          <w:sz w:val="20"/>
          <w:szCs w:val="20"/>
          <w:color w:val="auto"/>
        </w:rPr>
      </w:pPr>
      <w:r>
        <w:rPr>
          <w:rFonts w:ascii="Times New Roman" w:cs="Times New Roman" w:eastAsia="Times New Roman" w:hAnsi="Times New Roman"/>
          <w:sz w:val="18"/>
          <w:szCs w:val="18"/>
          <w:color w:val="auto"/>
        </w:rPr>
        <w:t>The patent positions of companies such as ours are generally uncertain and involve complex legal and factual questions. No consistent policy regarding the scope of claims allowable in patents in the field of method of use patents or reformulation patents has emerged in the U.S. patent laws and their interpretation outside of the U.S. are also uncertain. Changes in either the patent laws or their interpretation in the U.S. and other countries may diminish our ability to protect our technology or product candidates and enforce the patent rights that we license and also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 owned intellectual property,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the manufacture of those products. In addition, if a pending patent application is granted, it is possible that only a subset of the claims that are currently contained in the pending patent application will be issued. Further, the coverage claimed in a patent application can be significantly reduced before the patent is issued, and its scope can be reinterpreted after issuance.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the issued patents that we in-license and those that may issue in the future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outside the scope of the rights granted under any issued patents that we own or exclusively in license.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 For additional information regarding intellectual property regulations and risks, see below under “Immuno-Oncology Intellectual Property” and Part II, Item 1A, “Risk Factors - Risks Related to Our Intellectual Property” elsewhere in this Quarterly Report on Form 10-Q.</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Immuno-Oncology</w:t>
      </w:r>
    </w:p>
    <w:p>
      <w:pPr>
        <w:spacing w:after="0" w:line="202"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On April 19, 2022, we announced the formation of a wholly owned subsidiary, OnkosXcel Therapeutics (“OnkosXcel”) to develop potentially transformative medicines in oncology. OnkosXcel uses proprietary AI capabilities to drive the capital-efficient development of innovative anti-cancer therapeutics. The Company is continuing to evaluate strategic options for OnkosXcel and further work on the immuno-oncology programs described below has been paused, except as noted.</w:t>
      </w:r>
    </w:p>
    <w:p>
      <w:pPr>
        <w:spacing w:after="0" w:line="143" w:lineRule="exact"/>
        <w:rPr>
          <w:sz w:val="20"/>
          <w:szCs w:val="20"/>
          <w:color w:val="auto"/>
        </w:rPr>
      </w:pPr>
    </w:p>
    <w:p>
      <w:pPr>
        <w:ind w:left="60" w:right="239" w:firstLine="324"/>
        <w:spacing w:after="0" w:line="242" w:lineRule="auto"/>
        <w:rPr>
          <w:sz w:val="20"/>
          <w:szCs w:val="20"/>
          <w:color w:val="auto"/>
        </w:rPr>
      </w:pPr>
      <w:r>
        <w:rPr>
          <w:rFonts w:ascii="Times New Roman" w:cs="Times New Roman" w:eastAsia="Times New Roman" w:hAnsi="Times New Roman"/>
          <w:sz w:val="18"/>
          <w:szCs w:val="18"/>
          <w:color w:val="auto"/>
        </w:rPr>
        <w:t>Our approach to drug discovery leverages the application and methodology of our proprietary AI-based research and development platform, utilized in the successful development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with the aim of efficiently identifying and developing immuno-oncology product candidates. We believe that BXCL701 reflects the potential of this discovery approach in immuno-oncology. BXCL701 is an investigational, oral innate immune activator which demonstrated a 25% composite response rate in a Phase 2a clinical trial to treat patients with small cell neuroendocrine carcinoma (“SCNC”) phenotype metastatic castration-resistant prostate cancer (“mCRPC”). On February 12, 2024, the Company announced that the FDA designated as a Fast Track development program the investigation of BXCL701 in combination with a checkpoint inhibitor for the treatment of patients with metastatic SCNC with progression on chemotherapy and no evidence of microsatellite instability. We have finalized a potential registrational trial design in mCRPC patients with SCNC phenotype. However due to our Clinical Prioritization, further planning on the trial has been paused.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53" w:lineRule="auto"/>
        <w:rPr>
          <w:sz w:val="20"/>
          <w:szCs w:val="20"/>
          <w:color w:val="auto"/>
        </w:rPr>
      </w:pPr>
      <w:r>
        <w:rPr>
          <w:rFonts w:ascii="Times New Roman" w:cs="Times New Roman" w:eastAsia="Times New Roman" w:hAnsi="Times New Roman"/>
          <w:sz w:val="18"/>
          <w:szCs w:val="18"/>
          <w:color w:val="auto"/>
        </w:rPr>
        <w:t>mCRPC is often characterized as a “cold” tumor, which is a tumor with an immunosuppressive tumor microenvironment (“TME”) and poor immune cell infiltration. Currently approved checkpoint inhibitors (“CPIs”) that target programmed cell death 1 (“PD-1”) or cytotoxic T-lymphocyte-associated protein 4 (“CTLA-4") have failed to demonstrate meaningful single-agent activity against such difficult-to-treat tumor types, including mCRPC. BXCL701 is designed to promote an immune-induced inflammatory response in the TME primarily via inhibition of dipeptidyl peptidases (“DPP”) 8 and 9, which we believe can provide enhanced CPI therapeutic utility. We believe BXCL701 can potentially provide significant benefits for the approximately 20% of the estimated 299,010 men diagnosed with prostate cancer in the U.S. in 2024 and who we are expected to progress to the more aggressive mCRPC form of the disease, including approximately 20%, or 11,960, of those patients expected to develop the SCNC phenotype, for which there are currently limited treatment options. While CPIs have proven to be a significant advancement in cancer therapy, those currently approved by the FDA do not produce meaningful results in a majority of patients, as the clinical benefit is generally viewed to be limited to between 13% and 30% of cancer patients, and the duration of response is relatively short.</w:t>
      </w:r>
    </w:p>
    <w:p>
      <w:pPr>
        <w:spacing w:after="0" w:line="160"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We believe the limited efficacy of approved CPIs results primarily from their intervention at later stages of the immune response. As a result, other targets and pathways can be exploited by the tumor to create a TME that can evade the enhanced immunological response enabled by approved CPIs. While numerous agents designed to target the earlier stages of an immune response are in development for use in combination with CPIs, their activity is restricted to a single component of the immune response. In contrast, we have developed BXCL701 to simultaneously address multiple components of the immune response, including:</w:t>
      </w:r>
    </w:p>
    <w:p>
      <w:pPr>
        <w:spacing w:after="0" w:line="145" w:lineRule="exact"/>
        <w:rPr>
          <w:sz w:val="20"/>
          <w:szCs w:val="20"/>
          <w:color w:val="auto"/>
        </w:rPr>
      </w:pPr>
    </w:p>
    <w:p>
      <w:pPr>
        <w:ind w:left="720" w:right="259" w:hanging="319"/>
        <w:spacing w:after="0" w:line="284"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Cancer antigen presentation by dendritic cells</w:t>
      </w:r>
      <w:r>
        <w:rPr>
          <w:rFonts w:ascii="Times New Roman" w:cs="Times New Roman" w:eastAsia="Times New Roman" w:hAnsi="Times New Roman"/>
          <w:sz w:val="18"/>
          <w:szCs w:val="18"/>
          <w:color w:val="auto"/>
        </w:rPr>
        <w:t>: stimulation of dendritic cell trafficking to tumor draining lymph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nodes.</w:t>
      </w:r>
    </w:p>
    <w:p>
      <w:pPr>
        <w:spacing w:after="0" w:line="117"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Priming and activation of T cells</w:t>
      </w:r>
      <w:r>
        <w:rPr>
          <w:rFonts w:ascii="Times New Roman" w:cs="Times New Roman" w:eastAsia="Times New Roman" w:hAnsi="Times New Roman"/>
          <w:sz w:val="18"/>
          <w:szCs w:val="18"/>
          <w:color w:val="auto"/>
        </w:rPr>
        <w:t>: acceleration of tumor-induced priming of T cells and the formation of potent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cytotoxic T lymphocytes (“CTLs”).</w:t>
      </w:r>
    </w:p>
    <w:p>
      <w:pPr>
        <w:spacing w:after="0" w:line="131"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Infiltration of immune cells into the tumor</w:t>
      </w:r>
      <w:r>
        <w:rPr>
          <w:rFonts w:ascii="Times New Roman" w:cs="Times New Roman" w:eastAsia="Times New Roman" w:hAnsi="Times New Roman"/>
          <w:sz w:val="18"/>
          <w:szCs w:val="18"/>
          <w:color w:val="auto"/>
        </w:rPr>
        <w:t>: stimulation of release of chemokines that attract effector T cells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block regulatory T cells and also induce NK cell and neutrophil migration.</w:t>
      </w:r>
    </w:p>
    <w:p>
      <w:pPr>
        <w:spacing w:after="0" w:line="117" w:lineRule="exact"/>
        <w:rPr>
          <w:rFonts w:ascii="Times New Roman" w:cs="Times New Roman" w:eastAsia="Times New Roman" w:hAnsi="Times New Roman"/>
          <w:sz w:val="18"/>
          <w:szCs w:val="18"/>
          <w:color w:val="auto"/>
        </w:rPr>
      </w:pPr>
    </w:p>
    <w:p>
      <w:pPr>
        <w:ind w:left="720" w:right="579" w:hanging="319"/>
        <w:spacing w:after="0" w:line="284"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Killing of tumor cells</w:t>
      </w:r>
      <w:r>
        <w:rPr>
          <w:rFonts w:ascii="Times New Roman" w:cs="Times New Roman" w:eastAsia="Times New Roman" w:hAnsi="Times New Roman"/>
          <w:sz w:val="18"/>
          <w:szCs w:val="18"/>
          <w:color w:val="auto"/>
        </w:rPr>
        <w:t>: induction of formation of CTLs and NK cells expressing tumor-killing perforins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granzymes, as well as the formation of memory T cells that can selectively kill returning tumor cells.</w:t>
      </w:r>
    </w:p>
    <w:p>
      <w:pPr>
        <w:spacing w:after="0" w:line="120"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Accordingly, we believe BXCL701 may have utility in stimulating increased activation, proliferation, and infiltration of tumor cells by immune effector cells, enabling its potential application in combination with currently approved CPIs, across a range of solid tumors and hematological malignancies, to potentially:</w:t>
      </w:r>
    </w:p>
    <w:p>
      <w:pPr>
        <w:spacing w:after="0" w:line="147"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Convert immunological cold tumors into ones sensitive to CPIs;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 hot tumors’ response rate and depth of response to CPIs;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Restore CPI sensitivity to tumors that were previously responsive.</w:t>
      </w:r>
    </w:p>
    <w:p>
      <w:pPr>
        <w:spacing w:after="0" w:line="200"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Central to our drug discovery initiatives are proprietary, AI-driven platform technologies we employ to identify novel therapeutic uses for approved therapeutics and candidates in clinical evaluation. The first and most advanced of our AI-driven discovery programs is our innate immune modulation program, which supported the pursuit of BXCL701 as a development candidate. We believe the application of this program provides us actionable insights into the inflammasome, a component of the innate immune system responsible for activation of the inflammatory response.</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Immuno-Oncology Programs and Investigator-Sponsored Trials</w:t>
      </w:r>
    </w:p>
    <w:p>
      <w:pPr>
        <w:spacing w:after="0" w:line="18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Below is a summary of the status of our immuno-oncology clinical development programs as of the date of this Quarterly Report on Form 10-Q. We believe our product candidates, if successfully developed and approved, have the potential to become compelling treatment options for their respective indications. However, further work on our immuno-oncology programs has been paused, other than as noted below.</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03545" cy="2674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0354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Clinical Trials</w:t>
      </w:r>
    </w:p>
    <w:p>
      <w:pPr>
        <w:spacing w:after="0" w:line="20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Leveraging the insights enabled by the application and methodology of our proprietary AI-based platform which was used to identify novel therapeutic uses for our approved therapeutics and product candidates in clinical evaluation, and our industry expertise, we are pursuing two proprietary discovery programs to advance our goal of developing anti-cancer therapeutics. The first program, which encompasses BXCL701 across a range of indications, is based on the application of innate immune modulation technology. This program has been constructed to embrace key distinguishing characteristics of the innate immune system and we believe it is supported by our development efforts. This approach has driven the development of BXCL701, as a potential treatment for mCRPC with either SCNC or adenocarcinoma phenotype. Fundamental to the innate immune modulation program is BXCL701’s potential to:</w:t>
      </w:r>
    </w:p>
    <w:p>
      <w:pPr>
        <w:spacing w:after="0" w:line="151"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cold tumors into ones sensitive to CPIs;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hot tumors’ response rate and depth of response to CPIs;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Restore CPI sensitivity to tumors which had previously been responsive.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mCRPC</w:t>
      </w:r>
    </w:p>
    <w:p>
      <w:pPr>
        <w:spacing w:after="0" w:line="189" w:lineRule="exact"/>
        <w:rPr>
          <w:sz w:val="20"/>
          <w:szCs w:val="20"/>
          <w:color w:val="auto"/>
        </w:rPr>
      </w:pPr>
    </w:p>
    <w:p>
      <w:pPr>
        <w:ind w:left="60" w:right="499" w:firstLine="324"/>
        <w:spacing w:after="0" w:line="261" w:lineRule="auto"/>
        <w:rPr>
          <w:sz w:val="20"/>
          <w:szCs w:val="20"/>
          <w:color w:val="auto"/>
        </w:rPr>
      </w:pPr>
      <w:r>
        <w:rPr>
          <w:rFonts w:ascii="Times New Roman" w:cs="Times New Roman" w:eastAsia="Times New Roman" w:hAnsi="Times New Roman"/>
          <w:sz w:val="18"/>
          <w:szCs w:val="18"/>
          <w:color w:val="auto"/>
        </w:rPr>
        <w:t>We believe BXCL701 may have utility in stimulating increased activation, proliferation, and infiltration of tumor cells by immune effector cells, enabling its potential use in combination with currently approved CPIs to treat cold tumors, such as mCRPC. We elected to pursue mCRPC as an indication for BXCL701 due to its enrichment for DPP mutations, which are especially prevalent in tumors with SCNC phenotype.</w:t>
      </w:r>
    </w:p>
    <w:p>
      <w:pPr>
        <w:spacing w:after="0" w:line="153" w:lineRule="exact"/>
        <w:rPr>
          <w:sz w:val="20"/>
          <w:szCs w:val="20"/>
          <w:color w:val="auto"/>
        </w:rPr>
      </w:pPr>
    </w:p>
    <w:p>
      <w:pPr>
        <w:jc w:val="both"/>
        <w:ind w:left="60" w:right="759" w:firstLine="324"/>
        <w:spacing w:after="0" w:line="266" w:lineRule="auto"/>
        <w:rPr>
          <w:sz w:val="20"/>
          <w:szCs w:val="20"/>
          <w:color w:val="auto"/>
        </w:rPr>
      </w:pPr>
      <w:r>
        <w:rPr>
          <w:rFonts w:ascii="Times New Roman" w:cs="Times New Roman" w:eastAsia="Times New Roman" w:hAnsi="Times New Roman"/>
          <w:sz w:val="18"/>
          <w:szCs w:val="18"/>
          <w:color w:val="auto"/>
        </w:rPr>
        <w:t>We received initial comments from the FDA on our proposed clinical development plan and received positive feedback regarding dose-optimization around the recommended Phase 2 dose (“RP2D”) for use in future studies. However, the start of any such additional trial is paused following the Company’s Reprioritization</w:t>
      </w:r>
    </w:p>
    <w:p>
      <w:pPr>
        <w:spacing w:after="0" w:line="135" w:lineRule="exact"/>
        <w:rPr>
          <w:sz w:val="20"/>
          <w:szCs w:val="20"/>
          <w:color w:val="auto"/>
        </w:rPr>
      </w:pPr>
    </w:p>
    <w:p>
      <w:pPr>
        <w:ind w:left="60" w:right="399" w:firstLine="324"/>
        <w:spacing w:after="0" w:line="274" w:lineRule="auto"/>
        <w:rPr>
          <w:sz w:val="20"/>
          <w:szCs w:val="20"/>
          <w:color w:val="auto"/>
        </w:rPr>
      </w:pPr>
      <w:r>
        <w:rPr>
          <w:rFonts w:ascii="Times New Roman" w:cs="Times New Roman" w:eastAsia="Times New Roman" w:hAnsi="Times New Roman"/>
          <w:sz w:val="17"/>
          <w:szCs w:val="17"/>
          <w:color w:val="auto"/>
        </w:rPr>
        <w:t>The Phase 2a portion of the trial was segregated into two 28-patient trial cohorts, one cohort consisting of mCRPC patients with SCNC phenotype and a second cohort consisting of mCRPC patients with adenocarcinoma phenotype. Initially, we focused on mCRPC with SCNC phenotype as the primary patient population for BXCL701, since DPP9 is amplified in approximately 17% of treatment-emergent mCRPC with SCNC phenotype, compared to 5% or less in the broader prostate cancer population. However, we also observed responses in mCRPC patients with adenocarcinoma phenotype who were microsatellite stable in the Phase 1b portion of the trial. On this basis, we widened our Phase 2a</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trial to include relapsed mCRPC patients with either SCNC or adenocarcinoma phenotype. Both cohorts employed a Simon two-stage trial design of 15 trial participants followed by 13 additional patients. The primary endpoint of the Phase 2a portion of this trial was a composite response rate, determined as either a RECIST 1.1 response (defined as a reduction in RECIST score of 30% or more), and/or a reduction in prostate specific antigen (“PSA”) level of 50% or more, and/or a conversion in circulating tumor cells (“CTCs”) from 5 or more CTCs/7.5 milliliter (“ml”) to less than 5 CTCs/7.5 ml. Secondary endpoints included duration of response, progression-free survival, overall survival, changes in circulating cytokines, and certain disease-specific biomarkers.</w:t>
      </w:r>
    </w:p>
    <w:p>
      <w:pPr>
        <w:spacing w:after="0" w:line="162"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We believe the results observed in the Phase 2a trial of BXCL701 administered in combination with pembrolizumab support further development.</w:t>
      </w:r>
    </w:p>
    <w:p>
      <w:pPr>
        <w:spacing w:after="0" w:line="121" w:lineRule="exact"/>
        <w:rPr>
          <w:sz w:val="20"/>
          <w:szCs w:val="20"/>
          <w:color w:val="auto"/>
        </w:rPr>
      </w:pPr>
    </w:p>
    <w:p>
      <w:pPr>
        <w:ind w:left="60" w:right="179" w:firstLine="324"/>
        <w:spacing w:after="0" w:line="239" w:lineRule="auto"/>
        <w:rPr>
          <w:sz w:val="20"/>
          <w:szCs w:val="20"/>
          <w:color w:val="auto"/>
        </w:rPr>
      </w:pPr>
      <w:r>
        <w:rPr>
          <w:rFonts w:ascii="Times New Roman" w:cs="Times New Roman" w:eastAsia="Times New Roman" w:hAnsi="Times New Roman"/>
          <w:sz w:val="18"/>
          <w:szCs w:val="18"/>
          <w:color w:val="auto"/>
        </w:rPr>
        <w:t>We were particularly encouraged by the results observed in the cohort consisting of mCRPC patients with SCNC phenotype. Updated Phase 2a results for the SCNC cohort were presented at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Prostate Cancer Foundation Scientific Retreat (PCF 2023). BXCL701 in combination with pembrolizumab demonstrated a 25% (seven out of 28 evaluable patients) composite response rate in mCRPC patients with SCNC phenotype, for whom there is no standard of care. As of a data cutoff of September 6, 2023, five of these responders were RECIST 1.1 responders (four confirmed responses and one unconfirmed response) with decreases in tumor size ranging from -45% to -67% and a median duration of response of 7.6 months. Overall survival (OS) results from the Phase 2a portion of the trial in SCNC patients. BXCL701 in combination with pembrolizumab demonstrated a compelling median OS and 12-month survival rate.</w:t>
      </w:r>
    </w:p>
    <w:p>
      <w:pPr>
        <w:spacing w:after="0" w:line="203"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The most frequently observed TEAEs (≥15% of patients) that appear to be related to talabostat included Fatigue, Hypotension, Dizziness, Nausea, and Pruritus. The events have generally been manageable and reversible. When combined with the immune checkpoint inhibitor pembrolizumab, the most frequently reported talabostat-related TEAEs (≥15% of patients) have been Fatigue, Hypotension, Pruritus, Dizziness, Nausea and Diarrhoea.</w:t>
      </w:r>
    </w:p>
    <w:p>
      <w:pPr>
        <w:spacing w:after="0" w:line="180" w:lineRule="exact"/>
        <w:rPr>
          <w:sz w:val="20"/>
          <w:szCs w:val="20"/>
          <w:color w:val="auto"/>
        </w:rPr>
      </w:pPr>
    </w:p>
    <w:p>
      <w:pPr>
        <w:ind w:left="60" w:right="239" w:firstLine="324"/>
        <w:spacing w:after="0" w:line="237" w:lineRule="auto"/>
        <w:rPr>
          <w:sz w:val="20"/>
          <w:szCs w:val="20"/>
          <w:color w:val="auto"/>
        </w:rPr>
      </w:pPr>
      <w:r>
        <w:rPr>
          <w:rFonts w:ascii="Times New Roman" w:cs="Times New Roman" w:eastAsia="Times New Roman" w:hAnsi="Times New Roman"/>
          <w:sz w:val="18"/>
          <w:szCs w:val="18"/>
          <w:color w:val="auto"/>
        </w:rPr>
        <w:t>The Phase 2a trial has also been completed for the adenocarcinoma cohort. The CRR was 18.2% (n = 6). In 29 patients with disease evaluable for response, the confirmed ORR per RECIST 1.1 per investigator assessment was 13.8% (n = 4). Decreases in tumor size ranged from -67% to -90%. Two patients had an unconfirmed RECIST 1.1 response, 5 patients had a PSA</w:t>
      </w:r>
      <w:r>
        <w:rPr>
          <w:rFonts w:ascii="Times New Roman" w:cs="Times New Roman" w:eastAsia="Times New Roman" w:hAnsi="Times New Roman"/>
          <w:sz w:val="26"/>
          <w:szCs w:val="26"/>
          <w:color w:val="auto"/>
          <w:vertAlign w:val="subscript"/>
        </w:rPr>
        <w:t>50</w:t>
      </w:r>
      <w:r>
        <w:rPr>
          <w:rFonts w:ascii="Times New Roman" w:cs="Times New Roman" w:eastAsia="Times New Roman" w:hAnsi="Times New Roman"/>
          <w:sz w:val="18"/>
          <w:szCs w:val="18"/>
          <w:color w:val="auto"/>
        </w:rPr>
        <w:t xml:space="preserve"> response, and 2 patients had a CTC response.</w:t>
      </w:r>
    </w:p>
    <w:p>
      <w:pPr>
        <w:spacing w:after="0" w:line="145" w:lineRule="exact"/>
        <w:rPr>
          <w:sz w:val="20"/>
          <w:szCs w:val="20"/>
          <w:color w:val="auto"/>
        </w:rPr>
      </w:pPr>
    </w:p>
    <w:p>
      <w:pPr>
        <w:ind w:left="60" w:right="659" w:firstLine="324"/>
        <w:spacing w:after="0" w:line="282" w:lineRule="auto"/>
        <w:rPr>
          <w:sz w:val="20"/>
          <w:szCs w:val="20"/>
          <w:color w:val="auto"/>
        </w:rPr>
      </w:pPr>
      <w:r>
        <w:rPr>
          <w:rFonts w:ascii="Times New Roman" w:cs="Times New Roman" w:eastAsia="Times New Roman" w:hAnsi="Times New Roman"/>
          <w:sz w:val="18"/>
          <w:szCs w:val="18"/>
          <w:color w:val="auto"/>
        </w:rPr>
        <w:t>The median OS of evaluable patients was 12.1 months (95% CI 5.5 – 16.4) and the 12-month survival rate was 53.4%. Median rPFS was 1.9 months and the 6-month rPFS rate was 16.8%.</w:t>
      </w:r>
    </w:p>
    <w:p>
      <w:pPr>
        <w:spacing w:after="0" w:line="162"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The most frequently observed TEAEs &gt;15% of patients that appear to be related to talabostat included Fatigue, Nausea, Hypotension, Platelet count decreased, Vomiting, Dizziness, White blood cell count decreased and decreased appetite. The events have generally been manageable and reversible. When combined with the immune checkpoint inhibitor pembrolizumab, the most frequently reported talabostat-related AEs have been Fatigue, Nausea, Vomiting, Hypotension, Platelet count decreased, Pruritus, Dizziness, White blood cell count decreased, Diarrhoea and Decreased appetite.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Small Cell Lung Cancer (“SCLC”)</w:t>
      </w:r>
    </w:p>
    <w:p>
      <w:pPr>
        <w:spacing w:after="0" w:line="20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are encouraged by the therapeutic potential of BXCL701 for SCLC given the activity it has demonstrated in the SCNC clinical trial. We have prepared a robust synopsis for a Phase 1b/2 trial design to be a dose-escalation safety lead-in to establish a RP2D in combination with atezolizumab, a CPI approved for SCLC. However, the start of any such trial has been paused.</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Other Cancers</w:t>
      </w:r>
    </w:p>
    <w:p>
      <w:pPr>
        <w:spacing w:after="0" w:line="18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addition to its potential use in combination with CPIs to treat mCRPC, an immunologically cold tumor, we are developing BXCL701 as a therapeutic for pancreatic cancer, and other solid tumors with greater, or “non-cold,” immunological activity that are nonetheless regarded as difficult-to-treat, and hematological malignancies. We believe the synergistic potential of BXCL701 and CPIs, when administered in combination, could increase cancer cell susceptibility to an enhanced immune response, potentially increasing the clinical benefit of CPIs, whose single-agent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efficacy in treating these tumor types is generally viewed to be limited to between 13% and 30% of cancer patients and the duration of response to treatment is often short. As such, we envision the potential therapeutic benefit of BXCL701 increasing the sensitivity of cold tumors to CPI therapy, enabling the potential treatment of a range of cancers including pancreatic cancer, breast cancer, colorectal cancer, and ovarian cancer, as well as enhancing the depth of response to CPIs in other cancers. Based on the preclinical observation that BXCL701 showed direct cytotoxic activity against certain leukemic cells, an investigator sponsored trial is being pursued at the Dana Farber Cancer Institute.</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Pancreatic Cancer</w:t>
      </w:r>
    </w:p>
    <w:p>
      <w:pPr>
        <w:spacing w:after="0" w:line="189"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The American Cancer Society estimated that in 2024, approximately 66,000 cases of pancreatic cancer were expected to be diagnosed in the U.S. We are supporting a Phase 2 investigator-sponsored trial (“IST”) sponsored by Georgetown Lombardi Comprehensive Cancer Center (“Georgetown Lombardi”), designed to evaluate the use of BXCL701 along with pembrolizumab to treat pancreatic cancer. Few therapeutic options are available for patients with this disease, which has a five-year survival rate of less than 10%, among the lowest of all cancers. Pancreatic cancer has among the highest levels of overexpression and amplification of DPPs. Preclinical models demonstrated synergy between DPP inhibition with BXCL701 and anti-PD-1 antibody in the pancreatic cancer tumor microenvironment. Based on these preclinical observations, Georgetown Lombardi has initiated a Phase 2 IST to assess the safety of BXCL701 when administered in combination with pembrolizumab (safety lead-in), as well as to estimate the 18-week progression-free survival rate (primary objective of the efficacy phase) in previously treated metastatic pancreatic ductal adenocarcinoma. This trial started in the third quarter of 2023. On February 6, 2024, we announced the completion of patient enrollment in the safety lead-in portion of the trial. As part of the trial’s safety lead-in, the first six patients have been enrolled and will be observed for a six-week safety window period. The trial is then expected to enroll approximately 39 patients in its efficacy phase in a Simon 2-stage single-arm, open-label design (19 patients in stage 1 and 20 patients in stage 2). Patients will be monitored radiographically and by tumor markers for response assessment. Tumor biopsies and blood samples will also be collected over the course of treatment to better understand the potential mechanism of action for the combination. The human proof of concept portion of the trial started in the first half of 2024. On April 24, 2024, we announced that an abstract entitled “Phase II trial of BXCL701 and pembrolizumab in patients with metastatic pancreatic ductal adenocarcinoma (EXPEL-PANC): Preliminary findings,” was selected for presentation at the poster session at the 2024 American Society of Clinical Oncology (ASCO) Annual Meeting. Investigators reported that, as of the applicable cutoff date, one patient was progression-free at 18 weeks, three patients showed substantial reductions in serum CA19-9, a tumor marker that may correlate with increased T-cell infiltration, and one patient showed a best response of partial responses, out of six patients that had been treated with the combination.</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Relapsed or Refractory AML</w:t>
      </w:r>
    </w:p>
    <w:p>
      <w:pPr>
        <w:spacing w:after="0" w:line="20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American Cancer Society estimated that in 2024, approximately 21,000 new cases of AML were expected to be diagnosed in the U.S. We are supporting a Phase 1b IST sponsored by the Dana-Farber Cancer Institute (“Dana-Farber”) designed to evaluate the use of BXCL701, along with the current standard of care to treat relapsed or refractory AML. We believe that pyroptosis triggered by BXCL701 may provide potent single agent cytotoxicity directed towards AML. We also believe that DPP9 copy number may provide an actionable biomarker, as high copy number has been observed to correlate with BXCL701 toxicity in human AML cell lines. DPP8/9 inhibition has been shown to be cytotoxic to THP-1 cells, monocytic cancer cells cultured from a patient with AML, but not other cell lines, suggesting a specific vulnerability of AML to these inhibitors which we believe can be exploited for therapeutic benefit. Based on these preclinical observations, Dana-Farber has initiated a Phase 1b trial to assess the safety of BXCL701 and to determine the maximum tolerated dose or the RP2D of BXCL701 as a single agent in AML. This trial started in the first quarter of 2023. Subject to successful completion of this Phase 1b trial, we anticipate that Dana-Farber will conduct further studies to determine BXCL701's objective response rate in AML in combination with the standard of care.</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Potential Anti-cancer Programs</w:t>
      </w:r>
    </w:p>
    <w:p>
      <w:pPr>
        <w:spacing w:after="0" w:line="189"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We believe BXCL701 may have potential application in breast cancer, as its use in combination with monoclonal antibody therapy generated encouraging in vivo data in a preclinical disease model where enhanced antibody-dependent cellular cytotoxicity was observed.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The FDA has granted BXCL701 orphan drug designation for the treatment of AML, stage IIb to IV melanoma, pancreatic cancer, and soft tissue sarcoma. As we consider BXCL701’s mechanistic potential to be combined with other CPIs for additional indications that represent unmet medical needs we may be able to apply for additional orphan drug designations for BXCL701 plus CPI combinations. However, all BXCL701 ongoing development activity has been paused.</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Biomarker Development Initiatives Intended to Complement BXCL701 Administration</w:t>
      </w:r>
    </w:p>
    <w:p>
      <w:pPr>
        <w:spacing w:after="0" w:line="18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7"/>
          <w:szCs w:val="17"/>
          <w:color w:val="auto"/>
        </w:rPr>
        <w:t>We also engaged in the identification and development of predictive biomarkers that we believe could be used in conjunction with BXCL701 to predict the likelihood of patient response to therapy across the range of targeted indications. Based on preliminary data from AML patients, we believe DPP9 copy number could correlate to BXCL701 response rate, with a greater likelihood of BXCL701 cytotoxicity in patients with increased DPP9 copy number. We presented data from the Phase 2a trial in SCNC patients at the Society for Immunotherapy of Cancer’s 38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Annual Meeting (SITC 2023). The data indicated DPP9 overexpression is a potential response-predictive biomarker of BXCL701 and pembrolizumab combination treatment in mCRPC patients with SCNC phenotype. This work has also been paused.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Intellectual Property</w:t>
      </w:r>
    </w:p>
    <w:p>
      <w:pPr>
        <w:spacing w:after="0" w:line="18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Intellectual property is of vital importance in our field and in biotechnology generally. We seek to protect and enhance proprietary technology, inventions, and improvements that are commercially important to the development of our business by seeking, maintaining, enforcing, and defending patent and other intellectual property rights, whether developed internally or licensed from third parties. We will also seek to rely on regulatory protection afforded through inclusion in expedited development and review, data exclusivity, market exclusivity, and patent term extensions where available.</w:t>
      </w:r>
    </w:p>
    <w:p>
      <w:pPr>
        <w:spacing w:after="0" w:line="187"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As of July 28, 2025, we have multiple patent families filed to protect our immuno-oncology program, including our core patent family directed to methods of using BXCL701 with immune checkpoint inhibitors, which is granted in the U.S., Japan, Canada, China, India, Taiwan, Mexico, Europe, and United Arab Emirates. Additional applications in this family are pending in major markets. Patents issued from this family are expected to expire no earlier than 2036. We have an additional patent issued in the U.S. directed to a method of selecting patients based on a biomarker and methods of treating certain cancers, with an expected expiration date no earlier than 2039. A corresponding European Patent case directed to selecting patients is issued and is expected to expire no earlier than 2038.</w:t>
      </w:r>
    </w:p>
    <w:p>
      <w:pPr>
        <w:spacing w:after="0" w:line="189" w:lineRule="exact"/>
        <w:rPr>
          <w:sz w:val="20"/>
          <w:szCs w:val="20"/>
          <w:color w:val="auto"/>
        </w:rPr>
      </w:pPr>
    </w:p>
    <w:p>
      <w:pPr>
        <w:ind w:left="60" w:right="439" w:firstLine="324"/>
        <w:spacing w:after="0" w:line="281" w:lineRule="auto"/>
        <w:rPr>
          <w:sz w:val="20"/>
          <w:szCs w:val="20"/>
          <w:color w:val="auto"/>
        </w:rPr>
      </w:pPr>
      <w:r>
        <w:rPr>
          <w:rFonts w:ascii="Times New Roman" w:cs="Times New Roman" w:eastAsia="Times New Roman" w:hAnsi="Times New Roman"/>
          <w:sz w:val="17"/>
          <w:szCs w:val="17"/>
          <w:color w:val="auto"/>
        </w:rPr>
        <w:t>Additional applications are directed to administering BXCL701 in combination with various other molecules, biomarkers, and dosing regimens. We also have three PCT applications directed to novel formulations of BXCL701, various dosing regimens, methods of use, combination therapies, and to methods of treating small cell lung cancer. We expect that any patents issuing from the PCT and provisional applications will expire no earlier than 2043 to 2044.</w:t>
      </w:r>
    </w:p>
    <w:p>
      <w:pPr>
        <w:spacing w:after="0" w:line="164"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expect to file additional patent applications in support of current and new immuno-oncology clinical candidates as well as new platform and core technologies. For additional information regarding intellectual property regulations and risks, see above under “Neuroscience Intellectual Property” and Part II, Item 1A, “Risk Factors - Risks Related to Our Intellectual Property” elsewhere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U.S. Generally Accepted Accounting Principles.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94" w:lineRule="exact"/>
        <w:rPr>
          <w:sz w:val="20"/>
          <w:szCs w:val="20"/>
          <w:color w:val="auto"/>
        </w:rPr>
      </w:pPr>
    </w:p>
    <w:p>
      <w:pPr>
        <w:jc w:val="both"/>
        <w:ind w:left="60" w:right="359" w:firstLine="324"/>
        <w:spacing w:after="0" w:line="226" w:lineRule="auto"/>
        <w:rPr>
          <w:sz w:val="20"/>
          <w:szCs w:val="20"/>
          <w:color w:val="auto"/>
        </w:rPr>
      </w:pPr>
      <w:r>
        <w:rPr>
          <w:rFonts w:ascii="Times New Roman" w:cs="Times New Roman" w:eastAsia="Times New Roman" w:hAnsi="Times New Roman"/>
          <w:sz w:val="18"/>
          <w:szCs w:val="18"/>
          <w:color w:val="auto"/>
        </w:rPr>
        <w:t>Revenue relates to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reflect limited market access since commercial launch in July 2022. The revenues are net of rebates, chargebacks, discounts, and other adjustments. During the fourth quarter of 2022, we began contracting directly with intermediaries such as GPOs.</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02"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primarily relates to the costs of producing, packaging, and delivering our product to customers, as well as costs related to excess or obsolete inventory.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reflect costs associated with the identification of our preclinical and clinical product candidates. Expenditures primarily consist of salary, benefits and non-cash stock-based compensation for our research and development personnel, costs incurred under agreements with contract research organizations and sites that conduct our non-clinical studies and clinical trials, costs of outside consultants engaged in research and development activities, travel expenses, the cost of acquiring, developing and manufacturing preclinical and clinical trial materials and lab supplies, and depreciation and other expenses. Payments to BioXcel LLC are also included in research and development expenses. Costs associated with third parties that provide non-clinical services such as toxicology, pharmacology, research and discovery, biomarker studies and similar services are included in the professional fees category of research and development expenses.</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185"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Our research and development costs by program for the three and six months ended June 30, 2025 and 2024 were as follows: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78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9"/>
        </w:trPr>
        <w:tc>
          <w:tcPr>
            <w:tcW w:w="47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 external costs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BXCL501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0" w:type="dxa"/>
            <w:vAlign w:val="bottom"/>
          </w:tcPr>
          <w:p>
            <w:pPr>
              <w:spacing w:after="0"/>
              <w:rPr>
                <w:sz w:val="1"/>
                <w:szCs w:val="1"/>
                <w:color w:val="auto"/>
              </w:rPr>
            </w:pPr>
          </w:p>
        </w:tc>
      </w:tr>
      <w:tr>
        <w:trPr>
          <w:trHeight w:val="216"/>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BXCL701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research and development programs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direct external costs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personnel costs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0" w:type="dxa"/>
            <w:vAlign w:val="bottom"/>
          </w:tcPr>
          <w:p>
            <w:pPr>
              <w:spacing w:after="0"/>
              <w:rPr>
                <w:sz w:val="1"/>
                <w:szCs w:val="1"/>
                <w:color w:val="auto"/>
              </w:rPr>
            </w:pPr>
          </w:p>
        </w:tc>
      </w:tr>
      <w:tr>
        <w:trPr>
          <w:trHeight w:val="210"/>
        </w:trPr>
        <w:tc>
          <w:tcPr>
            <w:tcW w:w="4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direct costs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14,040</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costs and overhead</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10"/>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14,810</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2" w:lineRule="exact"/>
        <w:rPr>
          <w:sz w:val="20"/>
          <w:szCs w:val="20"/>
          <w:color w:val="auto"/>
        </w:rPr>
      </w:pPr>
    </w:p>
    <w:p>
      <w:pPr>
        <w:jc w:val="center"/>
        <w:ind w:left="40" w:right="479"/>
        <w:spacing w:after="0" w:line="312" w:lineRule="auto"/>
        <w:rPr>
          <w:sz w:val="20"/>
          <w:szCs w:val="20"/>
          <w:color w:val="auto"/>
        </w:rPr>
      </w:pPr>
      <w:r>
        <w:rPr>
          <w:rFonts w:ascii="Times New Roman" w:cs="Times New Roman" w:eastAsia="Times New Roman" w:hAnsi="Times New Roman"/>
          <w:sz w:val="17"/>
          <w:szCs w:val="17"/>
          <w:color w:val="auto"/>
        </w:rPr>
        <w:t>Selling, general and administrative expenses primarily consist of salaries, benefits and non-cash stock-based compensation for our sales, executive and administrative personnel. Selling, general and administrative expenses also</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9" w:lineRule="auto"/>
        <w:rPr>
          <w:sz w:val="20"/>
          <w:szCs w:val="20"/>
          <w:color w:val="auto"/>
        </w:rPr>
      </w:pPr>
      <w:r>
        <w:rPr>
          <w:rFonts w:ascii="Times New Roman" w:cs="Times New Roman" w:eastAsia="Times New Roman" w:hAnsi="Times New Roman"/>
          <w:sz w:val="17"/>
          <w:szCs w:val="17"/>
          <w:color w:val="auto"/>
        </w:rPr>
        <w:t>include legal expenses to pursue patent protection of our intellectual property and other corporate matters, professional fees for audit and tax services and insurance charges. We may also incur increased costs to comply with corporate governance, internal controls, investor relations and disclosures and similar requirements applicable to public companies.</w:t>
      </w:r>
    </w:p>
    <w:p>
      <w:pPr>
        <w:spacing w:after="0" w:line="131" w:lineRule="exact"/>
        <w:rPr>
          <w:sz w:val="20"/>
          <w:szCs w:val="20"/>
          <w:color w:val="auto"/>
        </w:rPr>
      </w:pPr>
    </w:p>
    <w:p>
      <w:pPr>
        <w:ind w:left="60" w:right="199" w:firstLine="324"/>
        <w:spacing w:after="0" w:line="230" w:lineRule="auto"/>
        <w:rPr>
          <w:sz w:val="20"/>
          <w:szCs w:val="20"/>
          <w:color w:val="auto"/>
        </w:rPr>
      </w:pPr>
      <w:r>
        <w:rPr>
          <w:rFonts w:ascii="Times New Roman" w:cs="Times New Roman" w:eastAsia="Times New Roman" w:hAnsi="Times New Roman"/>
          <w:sz w:val="18"/>
          <w:szCs w:val="18"/>
          <w:color w:val="auto"/>
        </w:rPr>
        <w:t>As a result of our restructuring activities completed during 2024, we expect that our selling, general and administrative expenses will decline due to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’s restructured commercialization plan and reduced personnel costs. However, we may also experience increased selling, general and administrative expenses due to higher fees for outside consultants, attorneys, and accountants.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2023 Strategic Reprioritization</w:t>
      </w:r>
    </w:p>
    <w:p>
      <w:pPr>
        <w:spacing w:after="0" w:line="202" w:lineRule="exact"/>
        <w:rPr>
          <w:sz w:val="20"/>
          <w:szCs w:val="20"/>
          <w:color w:val="auto"/>
        </w:rPr>
      </w:pPr>
    </w:p>
    <w:p>
      <w:pPr>
        <w:ind w:left="60" w:right="199" w:firstLine="324"/>
        <w:spacing w:after="0" w:line="236" w:lineRule="auto"/>
        <w:rPr>
          <w:sz w:val="20"/>
          <w:szCs w:val="20"/>
          <w:color w:val="auto"/>
        </w:rPr>
      </w:pPr>
      <w:r>
        <w:rPr>
          <w:rFonts w:ascii="Times New Roman" w:cs="Times New Roman" w:eastAsia="Times New Roman" w:hAnsi="Times New Roman"/>
          <w:sz w:val="18"/>
          <w:szCs w:val="18"/>
          <w:color w:val="auto"/>
        </w:rPr>
        <w:t>On August 8, 2023, our Board of Directors approved a broad-based strategic reprioritization (the “Reprioritization”). We took actions to reduce certain operational and workforce expenses that were no longer deemed core to ongoing operations in order to extend our cash runway and drive innovation and growth in high potential clinical development and value creating opportunities. These actions included a shift in commercial strategy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institutional setting, a reduction of in-hospital commercialization expenses, a suspension of programs no longer determined to be core to ongoing operations, and a prioritization of at-home treatment setting opportunities for BXCL501.</w:t>
      </w:r>
    </w:p>
    <w:p>
      <w:pPr>
        <w:spacing w:after="0" w:line="160"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As part of this strategy, the Company’s Board of Directors approved a reduction of approximately 60% of the Company’s workforce. The Company notified impacted employees on August 14, 2023. The Reprioritization was substantially complete as of December 31, 2023, and the remaining restructuring costs were paid during the first quarter of 2024.</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2024 Clinical Prioritization</w:t>
      </w:r>
    </w:p>
    <w:p>
      <w:pPr>
        <w:spacing w:after="0" w:line="202"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On May 8, 2024 the Company took actions as part of its continued efforts to preserve cash and prioritize investment in its core clinical programs. The Company reduced its workforce by approximately 15% and notified impacted employees on May 8, 2024. All related restructuring costs were paid in the second quarter of 2024.</w:t>
      </w:r>
    </w:p>
    <w:p>
      <w:pPr>
        <w:spacing w:after="0" w:line="176" w:lineRule="exact"/>
        <w:rPr>
          <w:sz w:val="20"/>
          <w:szCs w:val="20"/>
          <w:color w:val="auto"/>
        </w:rPr>
      </w:pPr>
    </w:p>
    <w:p>
      <w:pPr>
        <w:ind w:left="60" w:right="279" w:firstLine="324"/>
        <w:spacing w:after="0" w:line="289" w:lineRule="auto"/>
        <w:rPr>
          <w:sz w:val="20"/>
          <w:szCs w:val="20"/>
          <w:color w:val="auto"/>
        </w:rPr>
      </w:pPr>
      <w:r>
        <w:rPr>
          <w:rFonts w:ascii="Times New Roman" w:cs="Times New Roman" w:eastAsia="Times New Roman" w:hAnsi="Times New Roman"/>
          <w:sz w:val="17"/>
          <w:szCs w:val="17"/>
          <w:color w:val="auto"/>
        </w:rPr>
        <w:t>On September 17, 2024, the Company reduced its workforce by an additional 28% to extend its cash runway and prioritize clinical development of BXCL501. The Company completed the Clinical Prioritization in October 2024, paid $475 of the related costs during the first quarter of 2025, and paid the remaining $128 during the second quarter of 2025.</w:t>
      </w:r>
    </w:p>
    <w:p>
      <w:pPr>
        <w:spacing w:after="0" w:line="158"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Management believes that, after giving effect to the Reprioritization and additional restructuring activities completed, the Company’s cash, cash equivalents and restricted cash of $18,575 as of June 30, 2025 and proceeds subsequently raised pursuant to the ATM Program, will allow the Company to fund its operations and meet its liquidity requirements into the fourth quarter of 2025.</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89"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Other (income) expense primarily consists of interest costs associated with the Credit Agreement the Company entered into in April 2022, changes in fair value of derivative financial instruments, and interest income earned on cash and cash equivalents that were comprised primarily of money market funds. Interest expense may increase in the future if we meet required milestones, and we are able to draw down additional funds under the Credit Agreement.</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02"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is set forth in Note 3 to the condensed consolidated financial statements included elsewhere in this Quarterly Report on Form 10-Q.</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ind w:left="380" w:right="3699"/>
        <w:spacing w:after="0" w:line="451" w:lineRule="auto"/>
        <w:rPr>
          <w:sz w:val="20"/>
          <w:szCs w:val="20"/>
          <w:color w:val="auto"/>
        </w:rPr>
      </w:pPr>
      <w:r>
        <w:rPr>
          <w:rFonts w:ascii="Times New Roman" w:cs="Times New Roman" w:eastAsia="Times New Roman" w:hAnsi="Times New Roman"/>
          <w:sz w:val="18"/>
          <w:szCs w:val="18"/>
          <w:b w:val="1"/>
          <w:bCs w:val="1"/>
          <w:color w:val="auto"/>
        </w:rPr>
        <w:t xml:space="preserve">Comparison of the Three Months Ended June 30, 2025 and 2024 </w:t>
      </w:r>
      <w:r>
        <w:rPr>
          <w:rFonts w:ascii="Times New Roman" w:cs="Times New Roman" w:eastAsia="Times New Roman" w:hAnsi="Times New Roman"/>
          <w:sz w:val="18"/>
          <w:szCs w:val="18"/>
          <w:b w:val="1"/>
          <w:bCs w:val="1"/>
          <w:i w:val="1"/>
          <w:iCs w:val="1"/>
          <w:color w:val="auto"/>
        </w:rPr>
        <w:t>Product Revenue, Net</w:t>
      </w:r>
    </w:p>
    <w:p>
      <w:pPr>
        <w:spacing w:after="0" w:line="1" w:lineRule="exact"/>
        <w:rPr>
          <w:sz w:val="20"/>
          <w:szCs w:val="20"/>
          <w:color w:val="auto"/>
        </w:rPr>
      </w:pPr>
    </w:p>
    <w:p>
      <w:pPr>
        <w:ind w:left="60" w:right="259" w:firstLine="324"/>
        <w:spacing w:after="0" w:line="228" w:lineRule="auto"/>
        <w:rPr>
          <w:sz w:val="20"/>
          <w:szCs w:val="20"/>
          <w:color w:val="auto"/>
        </w:rPr>
      </w:pPr>
      <w:r>
        <w:rPr>
          <w:rFonts w:ascii="Times New Roman" w:cs="Times New Roman" w:eastAsia="Times New Roman" w:hAnsi="Times New Roman"/>
          <w:sz w:val="18"/>
          <w:szCs w:val="18"/>
          <w:color w:val="auto"/>
        </w:rPr>
        <w:t>Commercial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launched in July 2022. As part of the Company’s Reprioritization, the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commercial team shifted focus to a hospital/contracting strategy with a Corporate Account Director (“CAD”) team. The goal of the realigned CAD team is to work with large hospital/Integrated Delivery Network (“IDN”) and drive sales utilizing a top-down approach, allowing the Company to continue to make inroads into the institutional market in a more cost-efficient manner.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 revenue, net was $120 and $1,104 in the three months ended June 30, 2025 and 2024, respectively. The decrease in sales was primarily due to a reduction in bulk sales to existing customers, an increase in GPO discounts, and a reduction in commercial activities due to the Clinical Prioritization in May 2024 and September 2024.</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89" w:lineRule="exact"/>
        <w:rPr>
          <w:sz w:val="20"/>
          <w:szCs w:val="20"/>
          <w:color w:val="auto"/>
        </w:rPr>
      </w:pPr>
    </w:p>
    <w:p>
      <w:pPr>
        <w:ind w:left="60" w:right="199" w:firstLine="324"/>
        <w:spacing w:after="0" w:line="227" w:lineRule="auto"/>
        <w:rPr>
          <w:sz w:val="20"/>
          <w:szCs w:val="20"/>
          <w:color w:val="auto"/>
        </w:rPr>
      </w:pPr>
      <w:r>
        <w:rPr>
          <w:rFonts w:ascii="Times New Roman" w:cs="Times New Roman" w:eastAsia="Times New Roman" w:hAnsi="Times New Roman"/>
          <w:sz w:val="18"/>
          <w:szCs w:val="18"/>
          <w:color w:val="auto"/>
        </w:rPr>
        <w:t>Cost of goods sold for the three months ended June 30, 2025 and 2024, were $107 and $62, respectively. Cost of goods sold is related to the costs to produce, package and deliver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customers, as well as costs related to excess or obsolete inventory. We entered into a commercial supply agreement with ARx, LLC (“ARx”) pursuant to which ARx has agreed to exclusively manufacture and supply us with all of our worldwide demand of film formulation of Dex to be used for the commercial supply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for ongoing clinical trials of our product candidate BXCL501, subject to certain alternative supply provisions. The increase in Cost of goods sold for the three months ended June 30, 2025 is primarily the result of a $95 increase in inventory write-downs, compared to the prior year, offset by a decrease in the units sold.</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expenses for the three months ended June 30, 2025 and 2024 were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(1,610)</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 expense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Chemical, manufacturing and controls cost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(243)</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The overall increase of $2,224 for the three months ended June 30, 2025 relative to the same period in 2024 was primarily attributable to:</w:t>
      </w:r>
    </w:p>
    <w:p>
      <w:pPr>
        <w:spacing w:after="0" w:line="121" w:lineRule="exact"/>
        <w:rPr>
          <w:sz w:val="20"/>
          <w:szCs w:val="20"/>
          <w:color w:val="auto"/>
        </w:rPr>
      </w:pPr>
    </w:p>
    <w:p>
      <w:pPr>
        <w:ind w:left="720" w:right="579" w:hanging="319"/>
        <w:spacing w:after="0" w:line="27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clinical trials expense due to the ongoing SERENITY At-Home pivotal Phase 3 safety trial in September 2024 intended to support a supplemental new drug application to potentially expand the label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into the outpatient or at-home setting.</w:t>
      </w:r>
    </w:p>
    <w:p>
      <w:pPr>
        <w:spacing w:after="0" w:line="31"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non-cash stock compensation costs due to the recognition of expense for Performance Units related to BTI common stock in the second quarter of 2025, partially offset by lower headcount.</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personnel and related costs as a result of our Clinical Prioritization in May 2024 and September 2024.</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1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professional fees due to lower pharmacology costs, research and discovery costs, toxicology, and consulting costs.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chemistry, manufacturing and controls (“CMC”) costs.</w:t>
      </w:r>
    </w:p>
    <w:p>
      <w:pPr>
        <w:spacing w:after="0" w:line="177" w:lineRule="exact"/>
        <w:rPr>
          <w:sz w:val="20"/>
          <w:szCs w:val="20"/>
          <w:color w:val="auto"/>
        </w:rPr>
      </w:pPr>
    </w:p>
    <w:p>
      <w:pPr>
        <w:ind w:left="60" w:right="359" w:firstLine="324"/>
        <w:spacing w:after="0" w:line="217" w:lineRule="auto"/>
        <w:rPr>
          <w:sz w:val="20"/>
          <w:szCs w:val="20"/>
          <w:color w:val="auto"/>
        </w:rPr>
      </w:pPr>
      <w:r>
        <w:rPr>
          <w:rFonts w:ascii="Times New Roman" w:cs="Times New Roman" w:eastAsia="Times New Roman" w:hAnsi="Times New Roman"/>
          <w:sz w:val="18"/>
          <w:szCs w:val="18"/>
          <w:color w:val="auto"/>
        </w:rPr>
        <w:t>Following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’s approval by the FDA, we capitalize costs related to commercial production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inventory and expense those CMC costs related to clinical trials.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 expenses for the three months ended June 30, 2025 and 2024 were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(1,471)</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(2,762)</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marketing</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The overall decrease of $3,841 for the three months ended June 30, 2025, relative to the same period in 2024 was primarily attributable to:</w:t>
      </w:r>
    </w:p>
    <w:p>
      <w:pPr>
        <w:spacing w:after="0" w:line="121" w:lineRule="exact"/>
        <w:rPr>
          <w:sz w:val="20"/>
          <w:szCs w:val="20"/>
          <w:color w:val="auto"/>
        </w:rPr>
      </w:pPr>
    </w:p>
    <w:p>
      <w:pPr>
        <w:ind w:left="720" w:right="33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professional fees, primarily related to lower legal costs in 2025 compared to 2024 and reductions in consulting and recruiting for the three months ended June 30, 2025.</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personnel and related costs as a result of the Clinical Prioritization in May 2024 and September 2024.</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other expenses, primarily travel expenses, as a result of lower headcount.</w:t>
      </w:r>
    </w:p>
    <w:p>
      <w:pPr>
        <w:spacing w:after="0" w:line="184"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non-cash stock compensation costs due to the vesting of Performance Units related to BTI common stock in the second quarter of 2025, partially offset by lower headcount.</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commercial and marketing expense.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8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Interest expense increased to $4,222 for the three months ended June 30, 2025 from $3,700 in the same period in 2024 primarily due to higher debt balances and interest rates under the Credit Agreement. The expense was partially offset by lower interest income earned on lower levels of cash and cash equivalents that were held primarily in short-term money market funds. Interest income decreased to $230 for the three months ended June 30, 2025 compared to $671 for three months ended June 30, 2024, due to lower average cash balances during the year. Other (income) expense, net is primarily associated with changes in fair value of derivative financial instruments for the period, which relate to instruments associated with the Credit Agreement and the Company’s registered direct equity offerings.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2025 and 2024</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81" w:lineRule="exact"/>
        <w:rPr>
          <w:sz w:val="20"/>
          <w:szCs w:val="20"/>
          <w:color w:val="auto"/>
        </w:rPr>
      </w:pPr>
    </w:p>
    <w:p>
      <w:pPr>
        <w:jc w:val="both"/>
        <w:ind w:left="60" w:right="299" w:firstLine="324"/>
        <w:spacing w:after="0" w:line="238" w:lineRule="auto"/>
        <w:rPr>
          <w:sz w:val="20"/>
          <w:szCs w:val="20"/>
          <w:color w:val="auto"/>
        </w:rPr>
      </w:pPr>
      <w:r>
        <w:rPr>
          <w:rFonts w:ascii="Times New Roman" w:cs="Times New Roman" w:eastAsia="Times New Roman" w:hAnsi="Times New Roman"/>
          <w:sz w:val="17"/>
          <w:szCs w:val="17"/>
          <w:color w:val="auto"/>
        </w:rPr>
        <w:t>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product revenue, net was $288 and $1,686 in the six months ended June 30, 2025 and 2024, respectively. The decrease in sales was primarily due to a reduction in bulk sales to existing customers, an increase in GPO discounts, and a reduction in commercial activities due to the Clinical Prioritization in May 2024 and September 2024.</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02" w:lineRule="exact"/>
        <w:rPr>
          <w:sz w:val="20"/>
          <w:szCs w:val="20"/>
          <w:color w:val="auto"/>
        </w:rPr>
      </w:pPr>
    </w:p>
    <w:p>
      <w:pPr>
        <w:ind w:left="60" w:right="139" w:firstLine="324"/>
        <w:spacing w:after="0" w:line="233" w:lineRule="auto"/>
        <w:rPr>
          <w:sz w:val="20"/>
          <w:szCs w:val="20"/>
          <w:color w:val="auto"/>
        </w:rPr>
      </w:pPr>
      <w:r>
        <w:rPr>
          <w:rFonts w:ascii="Times New Roman" w:cs="Times New Roman" w:eastAsia="Times New Roman" w:hAnsi="Times New Roman"/>
          <w:sz w:val="18"/>
          <w:szCs w:val="18"/>
          <w:color w:val="auto"/>
        </w:rPr>
        <w:t>Cost of goods sold for the six months ended June 30, 2025 and 2024, were $121 and $141, respectively. Cost of goods sold is primarily related to the costs to produce, package and deliver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customers, as well as costs related to excess or obsolete inventory. The decrease in Cost of goods sold for the six months ended June 30, 2025 was the result of the decrease in units sold compared to the same prior year period, offset by the increase in inventory write-downs of $50 compared to the prior year.</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expenses for the six months ended June 30, 2025 and 2024 were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(3,558)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 expense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Chemical, manufacturing and controls cost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679" w:firstLine="324"/>
        <w:spacing w:after="0" w:line="282" w:lineRule="auto"/>
        <w:rPr>
          <w:sz w:val="20"/>
          <w:szCs w:val="20"/>
          <w:color w:val="auto"/>
        </w:rPr>
      </w:pPr>
      <w:r>
        <w:rPr>
          <w:rFonts w:ascii="Times New Roman" w:cs="Times New Roman" w:eastAsia="Times New Roman" w:hAnsi="Times New Roman"/>
          <w:sz w:val="18"/>
          <w:szCs w:val="18"/>
          <w:color w:val="auto"/>
        </w:rPr>
        <w:t>The overall decrease of $4,623 for the six months ended June 30, 2025 relative to the same period in 2024 was primarily attributable to:</w:t>
      </w:r>
    </w:p>
    <w:p>
      <w:pPr>
        <w:spacing w:after="0" w:line="135"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personnel and related costs as a result of our Clinical Prioritization in May 2024 and September 2024.</w:t>
      </w:r>
    </w:p>
    <w:p>
      <w:pPr>
        <w:spacing w:after="0" w:line="184" w:lineRule="exact"/>
        <w:rPr>
          <w:rFonts w:ascii="Times New Roman" w:cs="Times New Roman" w:eastAsia="Times New Roman" w:hAnsi="Times New Roman"/>
          <w:sz w:val="18"/>
          <w:szCs w:val="18"/>
          <w:color w:val="auto"/>
        </w:rPr>
      </w:pPr>
    </w:p>
    <w:p>
      <w:pPr>
        <w:ind w:left="720" w:right="31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non-cash stock compensation costs as a result of lower headcount coupled with reversals in accelerated stock compensation expense for employees terminated in the first quarter of 2025 resulting in a net $514 decrease.</w:t>
      </w:r>
    </w:p>
    <w:p>
      <w:pPr>
        <w:spacing w:after="0" w:line="135"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professional fees due to lower pharmacology costs, research and discovery costs, toxicology, and consulting costs.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chemistry, manufacturing and controls (“CMC”) costs.</w:t>
      </w:r>
    </w:p>
    <w:p>
      <w:pPr>
        <w:spacing w:after="0" w:line="184" w:lineRule="exact"/>
        <w:rPr>
          <w:rFonts w:ascii="Times New Roman" w:cs="Times New Roman" w:eastAsia="Times New Roman" w:hAnsi="Times New Roman"/>
          <w:sz w:val="18"/>
          <w:szCs w:val="18"/>
          <w:color w:val="auto"/>
        </w:rPr>
      </w:pPr>
    </w:p>
    <w:p>
      <w:pPr>
        <w:jc w:val="both"/>
        <w:ind w:left="720" w:right="579" w:hanging="319"/>
        <w:spacing w:after="0" w:line="271"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clinical trials expense due to the initiation of SERENITY At-Home pivotal Phase 3 safety trial in September 2024 intended to support a supplemental new drug application to potentially expand the label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into the outpatient or at-home setting.</w:t>
      </w:r>
    </w:p>
    <w:p>
      <w:pPr>
        <w:spacing w:after="0" w:line="11" w:lineRule="exact"/>
        <w:rPr>
          <w:sz w:val="20"/>
          <w:szCs w:val="20"/>
          <w:color w:val="auto"/>
        </w:rPr>
      </w:pPr>
    </w:p>
    <w:p>
      <w:pPr>
        <w:ind w:left="60" w:right="359" w:firstLine="324"/>
        <w:spacing w:after="0" w:line="217" w:lineRule="auto"/>
        <w:rPr>
          <w:sz w:val="20"/>
          <w:szCs w:val="20"/>
          <w:color w:val="auto"/>
        </w:rPr>
      </w:pPr>
      <w:r>
        <w:rPr>
          <w:rFonts w:ascii="Times New Roman" w:cs="Times New Roman" w:eastAsia="Times New Roman" w:hAnsi="Times New Roman"/>
          <w:sz w:val="18"/>
          <w:szCs w:val="18"/>
          <w:color w:val="auto"/>
        </w:rPr>
        <w:t>Following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’s approval by the FDA, we capitalize costs related to commercial production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inventory and expense those CMC costs related to clinical trials.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 expenses for the six months ended June 30, 2025 and 2024 were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marketing</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59" w:firstLine="324"/>
        <w:spacing w:after="0" w:line="282" w:lineRule="auto"/>
        <w:rPr>
          <w:sz w:val="20"/>
          <w:szCs w:val="20"/>
          <w:color w:val="auto"/>
        </w:rPr>
      </w:pPr>
      <w:r>
        <w:rPr>
          <w:rFonts w:ascii="Times New Roman" w:cs="Times New Roman" w:eastAsia="Times New Roman" w:hAnsi="Times New Roman"/>
          <w:sz w:val="18"/>
          <w:szCs w:val="18"/>
          <w:color w:val="auto"/>
        </w:rPr>
        <w:t>The overall decrease of $11,407 for the six months ended June 30, 2025, relative to the same period in 2024 was primarily attributable to:</w:t>
      </w:r>
    </w:p>
    <w:p>
      <w:pPr>
        <w:spacing w:after="0" w:line="121" w:lineRule="exact"/>
        <w:rPr>
          <w:sz w:val="20"/>
          <w:szCs w:val="20"/>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personnel and related costs as a result of the Clinical Prioritization in May 2024 and September 2024.</w:t>
      </w:r>
    </w:p>
    <w:p>
      <w:pPr>
        <w:spacing w:after="0" w:line="198"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professional fees, primarily related to lower legal costs in 2025 compared to 2024 and reductions in consulting and recruiting for the six months ended June 30, 2025.</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non-cash stock based compensation costs as a result of lower headcount.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other expenses, primarily travel expenses, as a result of lower headcount.</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commercial and marketing expense.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89"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Interest expense increased to $8,215 for the six months ended June 30, 2025 from $7,307 in the same period in 2024 primarily due to higher debt balances and interest rates under the Credit Agreement. The expense was partially offset by lower interest income earned on lower levels of cash and cash equivalents that were held primarily in short-term money market funds. Interest income decreased to $509 for the six months ended June 30, 2025 compared to $1,618 for six months ended June 30, 2024, due to lower average cash balances during the year. Other (income) expense, net is primarily associated with changes in fair value of derivative financial instruments for the period, which relate to instruments associated with the Credit Agreement and the Company’s registered direct equity offerings.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8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has had a material effect on our results of operations during the periods presented. For a discussion of inflationary risks to our future revenues under the Inflation Reduction Act, see “</w:t>
      </w:r>
      <w:r>
        <w:rPr>
          <w:rFonts w:ascii="Times New Roman" w:cs="Times New Roman" w:eastAsia="Times New Roman" w:hAnsi="Times New Roman"/>
          <w:sz w:val="18"/>
          <w:szCs w:val="18"/>
          <w:i w:val="1"/>
          <w:iCs w:val="1"/>
          <w:color w:val="auto"/>
        </w:rPr>
        <w:t>Health care reform measures could hinder or prevent</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19"/>
        <w:spacing w:after="0" w:line="284" w:lineRule="auto"/>
        <w:rPr>
          <w:sz w:val="20"/>
          <w:szCs w:val="20"/>
          <w:color w:val="auto"/>
        </w:rPr>
      </w:pPr>
      <w:r>
        <w:rPr>
          <w:rFonts w:ascii="Times New Roman" w:cs="Times New Roman" w:eastAsia="Times New Roman" w:hAnsi="Times New Roman"/>
          <w:sz w:val="18"/>
          <w:szCs w:val="18"/>
          <w:i w:val="1"/>
          <w:iCs w:val="1"/>
          <w:color w:val="auto"/>
        </w:rPr>
        <w:t>our product candidates’ commercial success.</w:t>
      </w:r>
      <w:r>
        <w:rPr>
          <w:rFonts w:ascii="Times New Roman" w:cs="Times New Roman" w:eastAsia="Times New Roman" w:hAnsi="Times New Roman"/>
          <w:sz w:val="18"/>
          <w:szCs w:val="18"/>
          <w:color w:val="auto"/>
        </w:rPr>
        <w:t>” in Part II, Item 1A, “Risk Factors” elsewhere in this Quarterly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10-Q.</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89" w:lineRule="exact"/>
        <w:rPr>
          <w:sz w:val="20"/>
          <w:szCs w:val="20"/>
          <w:color w:val="auto"/>
        </w:rPr>
      </w:pPr>
    </w:p>
    <w:p>
      <w:pPr>
        <w:jc w:val="both"/>
        <w:ind w:left="60" w:right="499" w:firstLine="324"/>
        <w:spacing w:after="0" w:line="272" w:lineRule="auto"/>
        <w:rPr>
          <w:sz w:val="20"/>
          <w:szCs w:val="20"/>
          <w:color w:val="auto"/>
        </w:rPr>
      </w:pPr>
      <w:r>
        <w:rPr>
          <w:rFonts w:ascii="Times New Roman" w:cs="Times New Roman" w:eastAsia="Times New Roman" w:hAnsi="Times New Roman"/>
          <w:sz w:val="17"/>
          <w:szCs w:val="17"/>
          <w:color w:val="auto"/>
        </w:rPr>
        <w:t>On February 10, 2025, the Company effected a 1-for-16 reverse stock split of its issued and outstanding common stock (the “Reverse Stock Split”). As a result of the Reverse Stock Split, each 16 shares of common stock issued and outstanding immediately prior to February 10, 2025 were automatically converted into 1 share of common stock.</w:t>
      </w:r>
    </w:p>
    <w:p>
      <w:pPr>
        <w:spacing w:after="0" w:line="2"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The Reverse Stock Split did not change the par value of the common stock or the authorized number of shares of common stock. All outstanding convertible notes, stock options and RSUs entitling their holders to purchase or obtain or convert into shares of our common stock were adjusted, as required by the terms of these securities. All applicable common share and per share amounts have been retrospectively restated to show the effect of the reverse stock split.</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As of June 30, 2025, we had cash, cash equivalents and restricted cash of $18,575, negative working capital of $8,133 and stockholders’ deficit of $107,667. Net cash used in operating activities was $24,618 and $40,880 for the six months ended June 30, 2025 and 2024, respectively. We incurred losses of approximately $26,441 and $35,090 for the six months ended June 30, 2025 and 2024, respectively. We will need to generate significant product revenues to achieve profitability. Our history of significant losses, negative cash flows from operations, potential near-term increased covenant-driven amortization payments or full repayment obligations under our Credit Agreement, the regulatory event of default triggers under the Credit Agreement, other funding requirement covenants under the Credit Agreement, limited liquidity resources currently on hand, and dependence on our ability to obtain additional financing to fund our operations after the current resources are exhausted, about which there can be no certainty, have resulted in management’s assessment that there is substantial doubt about our ability to continue as a going concern for a period of at least 12 months from the issuance date of the financial statements included in this Quarterly Report on Form 10-Q.</w:t>
      </w:r>
    </w:p>
    <w:p>
      <w:pPr>
        <w:spacing w:after="0" w:line="151"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things, pursuing one or more of the following steps to raise additional capital, none of which can be guaranteed or are entirely within the Company’s control:</w:t>
      </w:r>
    </w:p>
    <w:p>
      <w:pPr>
        <w:spacing w:after="0" w:line="143" w:lineRule="exact"/>
        <w:rPr>
          <w:sz w:val="20"/>
          <w:szCs w:val="20"/>
          <w:color w:val="auto"/>
        </w:rPr>
      </w:pPr>
    </w:p>
    <w:p>
      <w:pPr>
        <w:ind w:left="1340" w:hanging="642"/>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sale of the Company’s equity securities;</w:t>
      </w:r>
    </w:p>
    <w:p>
      <w:pPr>
        <w:spacing w:after="0" w:line="27"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third-party investments in or other strategic options for OnkosXcel;</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debt financing and/or restructuring of its existing Credit Agreement;</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partners to advance the Company’s product pipeline;</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marketing partners;</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overhead and headcount to focus on core priorities, and/or</w:t>
      </w:r>
    </w:p>
    <w:p>
      <w:pPr>
        <w:spacing w:after="0" w:line="9"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07"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 xml:space="preserve">To date, we have continued research and development activities while managing our cash position. However, we require additional funding to continue as a going concern. There are no assurances that we will be successful in obtaining an adequate level of financing as and when needed to finance our operations on terms acceptable to us or at all, particularly when there is market uncertainty or an economic downturn or if other events make investment in our securities less appealing. If we are unable to secure adequate additional funding as and when needed on acceptable or commercially reasonable terms, we may have to significantly delay, scale back or discontinue the development and commercialization of one or more product candidates. In addition, there are various macro-economic trends affecting the financing markets whose impact on our liquidity and future funding requirements are uncertain as of the filing date of this Quarterly Report on Form 10-Q. We will need substantial additional funding, and if we are unable to raise capital when needed, we could be compelled to pursue alternative options, including, without limitation, implementing further workforce reductions, reducing or ceasing product development programs and advancement of our clinical trials and product candidates, selling our assets or seeking other strategic alternatives. See “Risks Related to Financial Position and Need for Additional Capital — </w:t>
      </w:r>
      <w:r>
        <w:rPr>
          <w:rFonts w:ascii="Times New Roman" w:cs="Times New Roman" w:eastAsia="Times New Roman" w:hAnsi="Times New Roman"/>
          <w:sz w:val="18"/>
          <w:szCs w:val="18"/>
          <w:i w:val="1"/>
          <w:iCs w:val="1"/>
          <w:color w:val="auto"/>
        </w:rPr>
        <w:t>We will need substantial additional funding, and if we are unable to raise capital when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needed, we could be forced to delay, reduce or eliminate our product development programs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319"/>
        <w:spacing w:after="0" w:line="284" w:lineRule="auto"/>
        <w:rPr>
          <w:sz w:val="20"/>
          <w:szCs w:val="20"/>
          <w:color w:val="auto"/>
        </w:rPr>
      </w:pPr>
      <w:r>
        <w:rPr>
          <w:rFonts w:ascii="Times New Roman" w:cs="Times New Roman" w:eastAsia="Times New Roman" w:hAnsi="Times New Roman"/>
          <w:sz w:val="18"/>
          <w:szCs w:val="18"/>
          <w:i w:val="1"/>
          <w:iCs w:val="1"/>
          <w:color w:val="auto"/>
        </w:rPr>
        <w:t>commercialization efforts or otherwise seek strategic alternatives.</w:t>
      </w:r>
      <w:r>
        <w:rPr>
          <w:rFonts w:ascii="Times New Roman" w:cs="Times New Roman" w:eastAsia="Times New Roman" w:hAnsi="Times New Roman"/>
          <w:sz w:val="18"/>
          <w:szCs w:val="18"/>
          <w:color w:val="auto"/>
        </w:rPr>
        <w:t>” in Part II. Item 1A., “Risk Factors” elsewhere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on Form 10-Q.</w:t>
      </w:r>
    </w:p>
    <w:p>
      <w:pPr>
        <w:spacing w:after="0" w:line="1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189" w:lineRule="exact"/>
        <w:rPr>
          <w:sz w:val="20"/>
          <w:szCs w:val="20"/>
          <w:color w:val="auto"/>
        </w:rPr>
      </w:pPr>
    </w:p>
    <w:p>
      <w:pPr>
        <w:ind w:left="60" w:right="279" w:firstLine="324"/>
        <w:spacing w:after="0" w:line="239" w:lineRule="auto"/>
        <w:rPr>
          <w:sz w:val="20"/>
          <w:szCs w:val="20"/>
          <w:color w:val="auto"/>
        </w:rPr>
      </w:pPr>
      <w:r>
        <w:rPr>
          <w:rFonts w:ascii="Times New Roman" w:cs="Times New Roman" w:eastAsia="Times New Roman" w:hAnsi="Times New Roman"/>
          <w:sz w:val="18"/>
          <w:szCs w:val="18"/>
          <w:color w:val="auto"/>
        </w:rPr>
        <w:t>We have primarily focused our efforts on raising capital and building the products in our pipeline, and, although we generate revenue from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do not expect to generate positive cash flows from operations in the near term. Since our inception, our operations have been financed primarily from proceeds from the sale of equity securities, including our initial public offering, private placements of our common stock, registered offerings of our common stock, an Open Market Sale Agreement (as amended, supplemented and/or restated from time to time, the “Sale Agreement”) with Jefferies LLC (“Jefferies”), an Equity Distribution Agreement with Canaccord Genuity LLC (“Canaccord”), and borrowings under our Credit Agreement (as described below). We have not yet established an ongoing source of revenue sufficient to cover our operating costs and will need to do so in future periods.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April 19, 2022, we entered into two financing agreements: the Credit Agreement and the RIFA. Pursuant to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Credit Agreement, the Lenders originally agreed to provide up to $135,000 in senior secured term loans to us. On April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28, 2022, we borrowed the first $70,000 tranche of loans under the Credit Agreement. Pursuant to the RIFA, the</w:t>
      </w:r>
    </w:p>
    <w:p>
      <w:pPr>
        <w:ind w:left="60"/>
        <w:spacing w:after="0" w:line="181" w:lineRule="auto"/>
        <w:rPr>
          <w:sz w:val="20"/>
          <w:szCs w:val="20"/>
          <w:color w:val="auto"/>
        </w:rPr>
      </w:pPr>
      <w:r>
        <w:rPr>
          <w:rFonts w:ascii="Times New Roman" w:cs="Times New Roman" w:eastAsia="Times New Roman" w:hAnsi="Times New Roman"/>
          <w:sz w:val="18"/>
          <w:szCs w:val="18"/>
          <w:color w:val="auto"/>
        </w:rPr>
        <w:t>Purchasers agreed to provide us with up to $120,000 in financing for our near-term commercial activities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development and commercialization of BXCL501 and other general corporate purposes. On July 8, 2022, we drew down</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first tranche of $30,000 under the RIFA. In connection with the Credit Agreement, we granted to the Lenders (i)</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warrants to purchase up to 17 shares of our common stock (the “Closing Date Warrants”), (ii) rights to purchase up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$5,000 of our common stock and (iii) warrants to purchase up to 175 individual ownership units (i.e., not in thousands)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OnkosXcel (the “OnkosXcel Warrants”).</w:t>
      </w:r>
    </w:p>
    <w:p>
      <w:pPr>
        <w:spacing w:after="0" w:line="166"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On November 13, 2023, we, the Lenders and OFA entered into a Waiver and First Amendment to Credit Agreement and Guaranty (the “First Amendment”) that provided for, among other things, a waiver and a modification to the covenant in the Credit Agreement regarding investments in OnkosXcel, pursuant to which we were permitted to invest up to a maximum of $30,000 at any time outstanding in OnkosXcel, increased from the $25,000 at any time outstanding. The First Amendment waived any defaults or events of default arising under the Credit Agreement due to a breach prior to the date of the First Amendment of the OnkosXcel investment covenant, or a breach of our obligation to notify OFA of such default, including our investment in an amount in excess of what was previously permitted under the OnkosXcel investment covenant. In connection with the First Amendment, we paid to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151"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On December 5, 2023, we entered into the Second Amendment to Credit Agreement and Guaranty and Termination of Revenue Interest Financing Agreement (the “Second Amendment”) with the Lenders and OFA, as administrative agent. The Second Amendment terminated the RIFA and converted the financing previously provided to us thereunder to term loans under the Credit Agreement. In addition, the Second Amendment replaced the Credit Agreement’s existing “Tranche B” and “Tranche C” term loan opportunities with three new tranches aggregating up to $100,000 in potential funding:</w:t>
      </w:r>
    </w:p>
    <w:p>
      <w:pPr>
        <w:spacing w:after="0" w:line="160" w:lineRule="exact"/>
        <w:rPr>
          <w:sz w:val="20"/>
          <w:szCs w:val="20"/>
          <w:color w:val="auto"/>
        </w:rPr>
      </w:pPr>
    </w:p>
    <w:p>
      <w:pPr>
        <w:ind w:left="1040" w:right="459" w:hanging="315"/>
        <w:spacing w:after="0" w:line="255"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$20,000 “Tranche B” term loan available upon satisfaction of the following conditions on or before December 31, 2024: (i) us raising an aggregate of at least $40,000 after the date of the First Amendment from (a) equity proceeds or (b) a bona fide contract with a governmental authority to use BXCL501 for opioid withdrawal, (ii) initiation of a new clinical trial in the TRANQUILITY program based on our meeting with the FDA held on October 11, 2023, and (iii) the total pro forma indebtedness outstanding under the Credit Agreement as a percentage of our trailing 30-day market capitalization being less than 30%;</w:t>
      </w:r>
    </w:p>
    <w:p>
      <w:pPr>
        <w:spacing w:after="0" w:line="148" w:lineRule="exact"/>
        <w:rPr>
          <w:rFonts w:ascii="Times New Roman" w:cs="Times New Roman" w:eastAsia="Times New Roman" w:hAnsi="Times New Roman"/>
          <w:sz w:val="18"/>
          <w:szCs w:val="18"/>
          <w:color w:val="auto"/>
        </w:rPr>
      </w:pPr>
    </w:p>
    <w:p>
      <w:pPr>
        <w:ind w:left="1040" w:right="539" w:hanging="315"/>
        <w:spacing w:after="0" w:line="312" w:lineRule="auto"/>
        <w:tabs>
          <w:tab w:leader="none" w:pos="10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$30,000 “Tranche C” term loan available upon satisfaction of the following conditions on or before December 31, 2025: (i) either (a) receipt of approval from the FDA of an sNDA in respect of the use of</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99"/>
        <w:spacing w:after="0" w:line="256" w:lineRule="auto"/>
        <w:rPr>
          <w:sz w:val="20"/>
          <w:szCs w:val="20"/>
          <w:color w:val="auto"/>
        </w:rPr>
      </w:pPr>
      <w:r>
        <w:rPr>
          <w:rFonts w:ascii="Times New Roman" w:cs="Times New Roman" w:eastAsia="Times New Roman" w:hAnsi="Times New Roman"/>
          <w:sz w:val="18"/>
          <w:szCs w:val="18"/>
          <w:color w:val="auto"/>
        </w:rPr>
        <w:t>BXCL501 for the acute treatment of agitation associated with dementia or (b) the receipt of approval from the FDA of an sNDA in respect of the use of BXCL501 for (x) the acute treatment of agitation associated with schizophrenia in adults and (y) the acute treatment of agitation associated with bipolar I or II disorder in adults, in each case, in the community/at home setting without the requirement for administration under the supervision of a healthcare provider, and (ii) the total pro forma indebtedness outstanding under the Credit Agreement as a percentage of our trailing 30-day market capitalization being less than 30%; and</w:t>
      </w:r>
    </w:p>
    <w:p>
      <w:pPr>
        <w:spacing w:after="0" w:line="160" w:lineRule="exact"/>
        <w:rPr>
          <w:sz w:val="20"/>
          <w:szCs w:val="20"/>
          <w:color w:val="auto"/>
        </w:rPr>
      </w:pPr>
    </w:p>
    <w:p>
      <w:pPr>
        <w:ind w:left="1040" w:right="259" w:hanging="315"/>
        <w:spacing w:after="0" w:line="258"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$50,000 “Tranche D” term loan available upon satisfaction of the following conditions on or before December 31, 2025: (i) the conditions precedent to the borrowing of Tranche C (as described in the preceding bullet point) have been satisfied, and (ii) our total net revenue attributable to sales of BXCL501 (for the avoidance of doubt, including any revenues attributable to use of BXCL501 for opioid withdrawal) for the trailing twelve consecutive month period exceeding a specified amount.</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June 30, 2025, $80,000 remains available for borrowing if the milestones above are met.</w:t>
      </w:r>
    </w:p>
    <w:p>
      <w:pPr>
        <w:spacing w:after="0" w:line="185"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The Second Amendment also modified the interest rate of the loans provided under the Credit Agreement to be a floating rate per annum equal to the secured overnight financing rate (“SOFR”) (subject to a SOFR floor of 2.5% and a cap of 5.5%) plus 7.5%.</w:t>
      </w:r>
    </w:p>
    <w:p>
      <w:pPr>
        <w:spacing w:after="0" w:line="149" w:lineRule="exact"/>
        <w:rPr>
          <w:sz w:val="20"/>
          <w:szCs w:val="20"/>
          <w:color w:val="auto"/>
        </w:rPr>
      </w:pPr>
    </w:p>
    <w:p>
      <w:pPr>
        <w:ind w:left="60" w:right="159" w:firstLine="324"/>
        <w:spacing w:after="0" w:line="277" w:lineRule="auto"/>
        <w:rPr>
          <w:sz w:val="20"/>
          <w:szCs w:val="20"/>
          <w:color w:val="auto"/>
        </w:rPr>
      </w:pPr>
      <w:r>
        <w:rPr>
          <w:rFonts w:ascii="Times New Roman" w:cs="Times New Roman" w:eastAsia="Times New Roman" w:hAnsi="Times New Roman"/>
          <w:sz w:val="17"/>
          <w:szCs w:val="17"/>
          <w:color w:val="auto"/>
        </w:rPr>
        <w:t>Following the Second Amendment, we were required to comply with certain covenants under the Credit Agreement, including a financial covenant that requires we maintain a minimum cash liquidity amount of $15,000 (or higher upon certain events) and a modified minimum revenue requirement measured on a quarterly basis based on the revenue attributable to BXCL501 for the six consecutive month period ending on the last day of the relevant quarter (the “Revenue Covenant”), subject to cure payments of not less than $1,000 if we failed to meet the minimum revenue requirement.</w:t>
      </w:r>
    </w:p>
    <w:p>
      <w:pPr>
        <w:spacing w:after="0" w:line="127"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Second Amendment, we amended and restated the Closing Date Warrants granted to the Lenders on April 19, 2022 to purchase up to 17 shares of the Company’s common stock at an exercise price of $320.64 per share. Pursuant to the amendment and restatement of the Closing Date Warrants, dated December 5, 2023 (the “Amended and Restated Closing Date Warrants”), the exercise price of the Closing Date Warrants was reduced to $58.3232 per share, which represented the arithmetic average of the volume-weighted average price of the Company’s common stock on the Nasdaq Capital Market during the 30 trading days preceding the Second Amendment Effective Date. In addition, the Company granted new warrants to the Lenders to purchase up to 4 shares of the Company’s common stock (the “2023 Warrant Shares”) at an exercise price of $58.3232 per share (the “2023 Warrants”). The Amended and Restated Closing Date Warrants and the 2023 Warrants will expire on April 19, 2029 and may be net exercised at the holder’s election.</w:t>
      </w:r>
    </w:p>
    <w:p>
      <w:pPr>
        <w:spacing w:after="0" w:line="15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On February 12, 2024 (the “Third Amendment Effective Date”), we entered into the Third Amendment to Credit Agreement and Guaranty (the “Third Amendment”), pursuant to which the Lenders agreed to waive the covenant that we shall not receive a report and opinion from our independent auditors that contains a “going concern” or like qualification or exception or emphasis of matter of going concern footnote with respect to our financial statements for the fiscal year ended December 31, 2023 and, as a result, such event shall not be an event of default. As a condition to the effectiveness of the Third Amendment, among other things, we shall have received at least $40,000 in gross proceeds from a registered public sale of the Company’s common stock, warrants and/or pre-funded warrants on or before February 20, 2024. We did not meet this condition and therefore the Third Amendment did not become effective.</w:t>
      </w:r>
    </w:p>
    <w:p>
      <w:pPr>
        <w:spacing w:after="0" w:line="165"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On March 20, 2024, we entered into the Fourth Amendment to the Credit Agreement (“the Fourth Amendment”), pursuant to which the Lenders waived the Credit Agreement’s covenant that the report and opinion the Company received from its independent registered public accounting firm with respect to the financial statements for the year ending December 31, 2023 not contain a “going concern” or similar qualification.</w:t>
      </w:r>
    </w:p>
    <w:p>
      <w:pPr>
        <w:spacing w:after="0" w:line="13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Fourth Amendment included covenants that we receive, (i) after the effective date of the Fourth Amendment and on or before April 15, 2024, at least $25,000 in gross proceeds from the issuance of our common stock, warrants and/or pre-funded warrants, and/or in non-refundable cash consideration from partnering transactions entered into after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the effective date of the Fourth Amendment (so long as such partnering transactions would not require us or any of our subsidiaries to make any cash investments in connection with the partnering transactions and no such cash investments are made), and (ii) after the effective date of the Fourth Amendment and on or before November 30, 2024, at least $50,000 (for the avoidance of doubt, inclusive of amounts previously counted toward the preceding clause (i)) in gross proceeds from the issuance of our common stock, warrants and/or pre-funded warrants, and/or in cash and/or non-cash consideration (measured at fair market value, as determined by the Administrative Agent (as defined in the Credit Agreement) in its sole discretion ) from partnering transactions entered into after the effective date of the Fourth Amendment. Failure to perform this covenant would constitute (A) a default under the Credit Agreement and (B) an event of default under the Credit Agreement, subject to a cure period, in the case of clause (i) of the preceding sentence, until May 15, 2024 (for the avoidance of doubt, failure to perform clause (ii) would constitute an immediate event of default under the Credit Agreement without any cure or grace period).</w:t>
      </w:r>
    </w:p>
    <w:p>
      <w:pPr>
        <w:spacing w:after="0" w:line="165"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addition, the Fourth Amendment provided that if we had not, after the Effective Date and on or before September 30, 2024, received at least $40,000 in gross proceeds from the issuance of our common stock, warrants and/or pre-funded warrants, and/or cash and/or non-cash consideration (measured at fair market value, as determined by the Administrative Agent in its sole discretion) from partnering transactions entered into after the effective date of the Fourth Amendment, the “Minimum Liquidity Amount” (as defined in the Credit Agreement) that we are required to maintain at all times will increase to $25,000 from $15,000, unless and until we had received, after the effective date of the Fourth Amendment and on or before November 30, 2024, at least $50,000 in gross proceeds from the issuance of our common stock, warrants and/or pre-funded warrants, and/or in cash and/or non-cash consideration (measured at fair market value, as determined by the Administrative Agent in its sole discretion) from partnering transactions entered into after the effective date of the Fourth Amendment.</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Fourth Amendment, on the effective date of the Fourth Amendment, we granted new warrants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Lenders to purchase up to 6 shares of our common stock (the “2024 Warrant Shares”) at an exercise price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$49.1568 per share (the “2024 Warrants”), which represents a 10% premium over the arithmetic average of the volume-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 average price of our common stock on the Nasdaq Capital Market during the 30 trading days preceding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Effective Date. The 2024 Warrants will expire on April 19, 2029 and may be net exercised at the holder’s election.</w:t>
      </w:r>
    </w:p>
    <w:p>
      <w:pPr>
        <w:spacing w:after="0" w:line="166" w:lineRule="exact"/>
        <w:rPr>
          <w:sz w:val="20"/>
          <w:szCs w:val="20"/>
          <w:color w:val="auto"/>
        </w:rPr>
      </w:pPr>
    </w:p>
    <w:p>
      <w:pPr>
        <w:jc w:val="both"/>
        <w:ind w:left="60" w:right="139" w:firstLine="324"/>
        <w:spacing w:after="0" w:line="282" w:lineRule="auto"/>
        <w:rPr>
          <w:sz w:val="20"/>
          <w:szCs w:val="20"/>
          <w:color w:val="auto"/>
        </w:rPr>
      </w:pPr>
      <w:r>
        <w:rPr>
          <w:rFonts w:ascii="Times New Roman" w:cs="Times New Roman" w:eastAsia="Times New Roman" w:hAnsi="Times New Roman"/>
          <w:sz w:val="18"/>
          <w:szCs w:val="18"/>
          <w:color w:val="auto"/>
        </w:rPr>
        <w:t>On November 21, 2024, the Company entered into the Fifth Amendment to Credit Agreement and Guaranty and First Amendment to Fourth Amendment to Credit Agreement and Guaranty (the “Fifth Amendment”).</w:t>
      </w:r>
    </w:p>
    <w:p>
      <w:pPr>
        <w:spacing w:after="0" w:line="162" w:lineRule="exact"/>
        <w:rPr>
          <w:sz w:val="20"/>
          <w:szCs w:val="20"/>
          <w:color w:val="auto"/>
        </w:rPr>
      </w:pPr>
    </w:p>
    <w:p>
      <w:pPr>
        <w:jc w:val="both"/>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Pursuant to the Fifth Amendment, the Lenders agreed to, among other things, (i) waive the Credit Agreement’s covenant that the report and opinion the Company will receive from its independent registered public accounting firm with respect to the financial statements for the year ending December 31, 2024 will not contain a “going concern” or similar qualification, (ii) permanently waive the Credit Agreement’s minimum revenue covenant, and (iii) waive the Fourth Amendment’s requirement that the Company raise, after the effective date of the Fourth Amendment and on or before November 30, 2024, at least $50,000 in gross cash proceeds from the issuance of its common stock, warrants, and/or pre-funded warrants, and/or in cash and/or non-cash consideration from newly entered-into partnering transactions.</w:t>
      </w:r>
    </w:p>
    <w:p>
      <w:pPr>
        <w:spacing w:after="0" w:line="189" w:lineRule="exact"/>
        <w:rPr>
          <w:sz w:val="20"/>
          <w:szCs w:val="20"/>
          <w:color w:val="auto"/>
        </w:rPr>
      </w:pPr>
    </w:p>
    <w:p>
      <w:pPr>
        <w:jc w:val="both"/>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Fifth Amendment included a new capital raising covenant requiring that the Company receive (A) after the effective date of the Fifth Amendment and on or prior to November 27, 2024, at least $7,000 in gross cash proceeds from the issuance of the Company’s common stock, warrants and/or pre-funded warrants(“Raise 1”), (B) after the effective date of the Fifth Amendment and on or before March 15, 2025 (provided that the Company was required to use its commercially reasonable efforts to satisfy the requirement by February 15, 2025), at least $18,000 in net cash proceeds (including the proceeds of Raise 1) from (i) the issuance of the Company’s common stock, warrants and/or pre-funded warrants, (ii) non-refundable cash consideration from partnering transactions entered into after the effective date of the Fifth Amendment (so long as such partnering transactions would not require the Company or any of its subsidiaries to make any cash investments in connection with the partnering transactions and no such cash investments are made), (iii) the issuance of the Company’s subordinated debt (subject to terms set forth in the Fifth Amendment), and/or (iv) asset sales permitted pursuant to the Credit Agreement or consented to by the Lenders (such capital raise, “Raise 2”), and (C) after the effective date of the Fifth Amendment and on or prior to the earlier of (x) August 15, 2025 and (y) the date that is 30 days after the final data readout of the SERENITY At-Home Phase 3 trial, at least $29,000 in net cash proceeds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82" w:lineRule="auto"/>
        <w:rPr>
          <w:sz w:val="20"/>
          <w:szCs w:val="20"/>
          <w:color w:val="auto"/>
        </w:rPr>
      </w:pPr>
      <w:r>
        <w:rPr>
          <w:rFonts w:ascii="Times New Roman" w:cs="Times New Roman" w:eastAsia="Times New Roman" w:hAnsi="Times New Roman"/>
          <w:sz w:val="18"/>
          <w:szCs w:val="18"/>
          <w:color w:val="auto"/>
        </w:rPr>
        <w:t>(including the proceeds from Raise 1 and Raise 2) from the same permitted capital raising activities listed in the preceding clause (B) (“Raise 3”).</w:t>
      </w:r>
    </w:p>
    <w:p>
      <w:pPr>
        <w:spacing w:after="0" w:line="162" w:lineRule="exact"/>
        <w:rPr>
          <w:sz w:val="20"/>
          <w:szCs w:val="20"/>
          <w:color w:val="auto"/>
        </w:rPr>
      </w:pPr>
    </w:p>
    <w:p>
      <w:pPr>
        <w:jc w:val="both"/>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Fifth Amendment and the required capital raises described in the preceding paragraph, the Lenders agreed to modify the Credit Agreement’s minimum liquidity covenant to require minimum cash liquidity of $7,500 (instead of $25,000) from and after the closing of Raise 1 until March 30, 2025. On March 31, 2025, the minimum liquidity amount increased to $10,000 and on September 30, 2025, the minimum liquidity amount will further increase to $15,000.</w:t>
      </w:r>
    </w:p>
    <w:p>
      <w:pPr>
        <w:spacing w:after="0" w:line="183"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Fifth Amendment, the Company made the required one-time amortization payment of $2,500 principal amount, together with accrued and unpaid interest and a portion of the prepayment fee and other fees payable by December 31, 2024.</w:t>
      </w:r>
    </w:p>
    <w:p>
      <w:pPr>
        <w:spacing w:after="0" w:line="176" w:lineRule="exact"/>
        <w:rPr>
          <w:sz w:val="20"/>
          <w:szCs w:val="20"/>
          <w:color w:val="auto"/>
        </w:rPr>
      </w:pPr>
    </w:p>
    <w:p>
      <w:pPr>
        <w:jc w:val="both"/>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Fifth Amendment also modified the interest rate of the loans provided under the Credit Agreement from a floating rate of Term SOFR plus 7.50% per annum, to a fixed rate of 13% per annum, retroactive to and effective as of September 30, 2024. For the quarterly payment dates </w:t>
      </w:r>
      <w:r>
        <w:rPr>
          <w:rFonts w:ascii="Times New Roman" w:cs="Times New Roman" w:eastAsia="Times New Roman" w:hAnsi="Times New Roman"/>
          <w:sz w:val="18"/>
          <w:szCs w:val="18"/>
          <w:color w:val="202020"/>
        </w:rPr>
        <w:t>ending December 31, 2024, March 31, 2025, and June 30, 2025, t</w:t>
      </w:r>
      <w:r>
        <w:rPr>
          <w:rFonts w:ascii="Times New Roman" w:cs="Times New Roman" w:eastAsia="Times New Roman" w:hAnsi="Times New Roman"/>
          <w:sz w:val="18"/>
          <w:szCs w:val="18"/>
          <w:color w:val="auto"/>
        </w:rPr>
        <w:t>he Company will have the ability to make interest payments of up to 10% per annum “in-kind” by capitalizing and adding such interest to the outstanding principal amount of the loans under the Credit Agreement</w:t>
      </w:r>
      <w:r>
        <w:rPr>
          <w:rFonts w:ascii="Times New Roman" w:cs="Times New Roman" w:eastAsia="Times New Roman" w:hAnsi="Times New Roman"/>
          <w:sz w:val="18"/>
          <w:szCs w:val="18"/>
          <w:color w:val="202020"/>
        </w:rPr>
        <w:t>.</w:t>
      </w:r>
      <w:r>
        <w:rPr>
          <w:rFonts w:ascii="Times New Roman" w:cs="Times New Roman" w:eastAsia="Times New Roman" w:hAnsi="Times New Roman"/>
          <w:sz w:val="18"/>
          <w:szCs w:val="18"/>
          <w:color w:val="auto"/>
        </w:rPr>
        <w:t xml:space="preserve"> In addition, pursuant to the Fifth Amendment, the Company will be required to make quarterly amortization payments equal to 5.0% of the principal amount of funded loans, together with applicable prepayment fees, beginning on March 31, 2026.</w:t>
      </w:r>
    </w:p>
    <w:p>
      <w:pPr>
        <w:spacing w:after="0" w:line="189"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202020"/>
        </w:rPr>
        <w:t>On the effective date of the Fifth Amendment and as a condition to effectiveness thereof, the Company’s wholly owned subsidiaries OnkosXcel Therapeutics, LLC and OnkosXcel Employee Holdings, LLC (collectively, “OnkosXcel”), which previously provided unsecured guarantees of the Company’s obligations under the Credit Agreement, granted security interests in substantially all of their assets to support such obligations.</w:t>
      </w:r>
    </w:p>
    <w:p>
      <w:pPr>
        <w:spacing w:after="0" w:line="180"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202020"/>
        </w:rPr>
        <w:t>The Fifth Amendment amended the negative covenants under the Credit Agreement to remove flexibility the Company and its subsidiaries previously had thereunder to undertake various transactions, including, without limitation, with respect to potential dispositions of OnkosXcel or out-licenses by OnkosXcel of its intellectual property.</w:t>
      </w:r>
    </w:p>
    <w:p>
      <w:pPr>
        <w:spacing w:after="0" w:line="176" w:lineRule="exact"/>
        <w:rPr>
          <w:sz w:val="20"/>
          <w:szCs w:val="20"/>
          <w:color w:val="auto"/>
        </w:rPr>
      </w:pPr>
    </w:p>
    <w:p>
      <w:pPr>
        <w:jc w:val="both"/>
        <w:ind w:left="60" w:right="139" w:firstLine="324"/>
        <w:spacing w:after="0" w:line="256" w:lineRule="auto"/>
        <w:rPr>
          <w:sz w:val="20"/>
          <w:szCs w:val="20"/>
          <w:color w:val="auto"/>
        </w:rPr>
      </w:pPr>
      <w:r>
        <w:rPr>
          <w:rFonts w:ascii="Times New Roman" w:cs="Times New Roman" w:eastAsia="Times New Roman" w:hAnsi="Times New Roman"/>
          <w:sz w:val="18"/>
          <w:szCs w:val="18"/>
          <w:color w:val="202020"/>
        </w:rPr>
        <w:t>Pursuant to the Fifth Amendment, the Company committed to appoint a new independent board director (subject to customary background checks, applicable law, confirmation of independence and Nasdaq rules), and to provide the independent director with various privileges and committee memberships on the board of directors of the Company (including the appointment of such director on committee to be formed to focus on capital raising and evaluate strategic options). The Company also agreed to engage an investment banker reasonably acceptable to OFA and the Lenders to assist the Company and its board of directors with evaluating and exploring strategic options.</w:t>
      </w:r>
    </w:p>
    <w:p>
      <w:pPr>
        <w:spacing w:after="0" w:line="187" w:lineRule="exact"/>
        <w:rPr>
          <w:sz w:val="20"/>
          <w:szCs w:val="20"/>
          <w:color w:val="auto"/>
        </w:rPr>
      </w:pPr>
    </w:p>
    <w:p>
      <w:pPr>
        <w:jc w:val="both"/>
        <w:ind w:left="60" w:right="139" w:firstLine="324"/>
        <w:spacing w:after="0" w:line="255" w:lineRule="auto"/>
        <w:rPr>
          <w:sz w:val="20"/>
          <w:szCs w:val="20"/>
          <w:color w:val="auto"/>
        </w:rPr>
      </w:pPr>
      <w:r>
        <w:rPr>
          <w:rFonts w:ascii="Times New Roman" w:cs="Times New Roman" w:eastAsia="Times New Roman" w:hAnsi="Times New Roman"/>
          <w:sz w:val="18"/>
          <w:szCs w:val="18"/>
          <w:color w:val="202020"/>
        </w:rPr>
        <w:t>The Company also agreed to covenants requiring that the Company’s cash expenditures be monitored by the Lenders according to a board-approved budget provided to the Lenders prior to the signing of the Fifth Amendment, which cash budget will be updated on a bi-weekly basis going forward. The Company will not be permitted to make disbursements for any two-week period in excess of 115% of the aggregate budgeted amount of disbursements for the applicable period. Finally, pursuant to the Fifth Amendment, the Company is restricted from paying cash bonuses its employees or executives during the fiscal years 2024 and 2025 without OFA’s consent or increasing the cash compensation for fiscal year 2025 for certain senior officers of the Company from their compensation for fiscal year 2024.</w:t>
      </w:r>
    </w:p>
    <w:p>
      <w:pPr>
        <w:spacing w:after="0" w:line="189"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On March 4, 2025, the Company entered into the Sixth Amendment to our Credit Agreement (the “Sixth Amendment”), pursuant to which the Lenders agreed to, among other things, delay the date on which we are required to engage an investment banker (which date has been subsequently extended to July 31, 2025). The Company retained an investment broker on July 29, 2025.</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02020"/>
        </w:rPr>
        <w:t>As of June 30, 2025, we had aggregate principal indebtedness of $112,156 outstanding under the Credit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02020"/>
        </w:rPr>
        <w:t>Company Warrants and Registration Rights Agreement</w:t>
      </w:r>
    </w:p>
    <w:p>
      <w:pPr>
        <w:spacing w:after="0" w:line="229" w:lineRule="exact"/>
        <w:rPr>
          <w:sz w:val="20"/>
          <w:szCs w:val="20"/>
          <w:color w:val="auto"/>
        </w:rPr>
      </w:pPr>
    </w:p>
    <w:p>
      <w:pPr>
        <w:ind w:left="60" w:right="279" w:firstLine="324"/>
        <w:spacing w:after="0" w:line="254" w:lineRule="auto"/>
        <w:rPr>
          <w:sz w:val="20"/>
          <w:szCs w:val="20"/>
          <w:color w:val="auto"/>
        </w:rPr>
      </w:pPr>
      <w:r>
        <w:rPr>
          <w:rFonts w:ascii="Times New Roman" w:cs="Times New Roman" w:eastAsia="Times New Roman" w:hAnsi="Times New Roman"/>
          <w:sz w:val="18"/>
          <w:szCs w:val="18"/>
          <w:color w:val="auto"/>
        </w:rPr>
        <w:t>Prior to the Fifth Amendment, pursuant to the Credit Agreement, the Lenders had the right to purchase shares of our common stock,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The Equity Investment Right was terminated as part of the Fifth Amendment. Also, in connection with the closing of the Fifth Amendment, the Company agreed to, substantially concurrently with the closing of Raise 1, grant new warrants to the Lenders to purchase an aggregate of 313 shares of common stock, at an exercise price of $0.16 per share (the “New Warrants”). During the three months ended June 30, 2025, the Company issued 284 shares of Common Stock in connection with the cashless exercises of the 313 New Warrants.</w:t>
      </w:r>
    </w:p>
    <w:p>
      <w:pPr>
        <w:spacing w:after="0" w:line="161" w:lineRule="exact"/>
        <w:rPr>
          <w:sz w:val="20"/>
          <w:szCs w:val="20"/>
          <w:color w:val="auto"/>
        </w:rPr>
      </w:pPr>
    </w:p>
    <w:p>
      <w:pPr>
        <w:jc w:val="both"/>
        <w:ind w:left="60" w:right="139" w:firstLine="648"/>
        <w:spacing w:after="0" w:line="255" w:lineRule="auto"/>
        <w:rPr>
          <w:sz w:val="20"/>
          <w:szCs w:val="20"/>
          <w:color w:val="auto"/>
        </w:rPr>
      </w:pPr>
      <w:r>
        <w:rPr>
          <w:rFonts w:ascii="Times New Roman" w:cs="Times New Roman" w:eastAsia="Times New Roman" w:hAnsi="Times New Roman"/>
          <w:sz w:val="18"/>
          <w:szCs w:val="18"/>
          <w:color w:val="202020"/>
        </w:rPr>
        <w:t>In addition, the Company agreed to, substantially concurrently with the closing of Raise 1, amend and restate all warrants to purchase stock of the Company issued to the Lenders prior to the effective date of the Fifth Amendment, to revise the exercise price thereunder to an exercise price equal to the lower of (i) the price per share of the common stock of the Company issued in Raise 1 and (ii) arithmetic average of the volume-weighted average price of the Company’s common stock on the Nasdaq Capital Market during the 30 trading days preceding Raise 1 (such existing warrants, as amended and restated, the “Original Warrants”). The Original Warrants provide the Lenders with the right to purchase a total of 28 shares of common stock of the Company.</w:t>
      </w:r>
    </w:p>
    <w:p>
      <w:pPr>
        <w:spacing w:after="0" w:line="189" w:lineRule="exact"/>
        <w:rPr>
          <w:sz w:val="20"/>
          <w:szCs w:val="20"/>
          <w:color w:val="auto"/>
        </w:rPr>
      </w:pPr>
    </w:p>
    <w:p>
      <w:pPr>
        <w:jc w:val="both"/>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entered into a registration rights agreement with the Lenders in connection with the original closing of the Credit Agreement, which has been amended and restated since in connection with each issuance of additional warrants to the Lenders, including most recently, in connection with the Fifth Amendment (as so amended and restated the “Amended and Restated Registration Rights Agreement”). Pursuant to the Amended and Restated Registration Rights Agreement, we have filed registration statements on Form S-3 to register the shares issuable upon exercise of the Original Warrants and the New Warrants for resale. The maximum shares of our common stock issuable under the Original Warrants and the New Warrants is 366.</w:t>
      </w:r>
    </w:p>
    <w:p>
      <w:pPr>
        <w:spacing w:after="0" w:line="189" w:lineRule="exact"/>
        <w:rPr>
          <w:sz w:val="20"/>
          <w:szCs w:val="20"/>
          <w:color w:val="auto"/>
        </w:rPr>
      </w:pPr>
    </w:p>
    <w:p>
      <w:pPr>
        <w:jc w:val="both"/>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As part of entering into the Credit Agreement, OnkosXcel, a wholly owned subsidiary of BTI, granted the OnkosXcel Warrants to the Lenders to purchase 175 individual limited liability company units.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85"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xml:space="preserve"> included elsewhere in this Quarterly Report on Form 10-Q for additional information relating to the Credit Agreement and RIFA, including applicable interest rates, payment obligations and certain restrictive and financial covenants thereunder. As of June 30, 2025, we were in compliance with all restrictive and financial covenants under the Credit Agreement.</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ATM Program - Jeffries</w:t>
      </w:r>
    </w:p>
    <w:p>
      <w:pPr>
        <w:spacing w:after="0" w:line="189" w:lineRule="exact"/>
        <w:rPr>
          <w:sz w:val="20"/>
          <w:szCs w:val="20"/>
          <w:color w:val="auto"/>
        </w:rPr>
      </w:pPr>
    </w:p>
    <w:p>
      <w:pPr>
        <w:ind w:left="60" w:right="319" w:firstLine="324"/>
        <w:spacing w:after="0" w:line="274" w:lineRule="auto"/>
        <w:rPr>
          <w:sz w:val="20"/>
          <w:szCs w:val="20"/>
          <w:color w:val="auto"/>
        </w:rPr>
      </w:pPr>
      <w:r>
        <w:rPr>
          <w:rFonts w:ascii="Times New Roman" w:cs="Times New Roman" w:eastAsia="Times New Roman" w:hAnsi="Times New Roman"/>
          <w:sz w:val="17"/>
          <w:szCs w:val="17"/>
          <w:color w:val="auto"/>
        </w:rPr>
        <w:t>In May 2021, we entered into the Sale Agreement with Jefferies pursuant to which we could offer and sell shares of our common stock, having an aggregate offering price of up to $100,000, from time to time, through an “at the market offering” program under which Jefferies will act as sale agent. On November 1, 2023, we entered into an amendment to the Sale Agreement with Jefferies to increase the size of the “at the market offering” program; pursuant to the Sale Agreement, as amended, we can offer and sell shares of our common stock having an aggregate offering price of up to $150,000 (excluding any shares of common stock already sold in the “at the market offering” program prior to the date</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4" w:lineRule="auto"/>
        <w:rPr>
          <w:sz w:val="20"/>
          <w:szCs w:val="20"/>
          <w:color w:val="auto"/>
        </w:rPr>
      </w:pPr>
      <w:r>
        <w:rPr>
          <w:rFonts w:ascii="Times New Roman" w:cs="Times New Roman" w:eastAsia="Times New Roman" w:hAnsi="Times New Roman"/>
          <w:sz w:val="17"/>
          <w:szCs w:val="17"/>
          <w:color w:val="auto"/>
        </w:rPr>
        <w:t>of the amendment), from time to time, through an “at the market offering” program under which Jefferies will act as sale agent. We terminated the Sales Agreement with Jefferies on March 26, 2025. There were no sales of the Company’s common stock under the Sale Agreement for the six months ended June 30, 2025. For the three months ended June 30, 2024, the Company sold 177 shares under the Sale Agreement for gross proceeds of $5,472 and received proceeds of $5,308, net of issuance costs of $164. For the six months ended June 30, 2024, the Company sold 218 shares under the Sale Agreement for gross proceeds of $7,215 and received proceeds of $6,999, net of issuance costs of $216.</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ATM Program - Canaccord</w:t>
      </w:r>
    </w:p>
    <w:p>
      <w:pPr>
        <w:spacing w:after="0" w:line="18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In April 2025, we entered into an Equity Distribution Agreement with Canaccord to sell shares of the Company’s common stock, with aggregate gross sales proceeds of up to $8,135, from time to time, through an “at the market” equity offering program under which Canaccord will act as sales agent. For the three months ended June 30, 2025, the Company sold 97 shares of its common stock for a gross amount of $139, incurred issuance costs of $4, and received net proceeds of $135.</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4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(24,618)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(40,880)</w:t>
            </w:r>
          </w:p>
        </w:tc>
      </w:tr>
      <w:tr>
        <w:trPr>
          <w:trHeight w:val="216"/>
        </w:trPr>
        <w:tc>
          <w:tcPr>
            <w:tcW w:w="6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13,339</w:t>
            </w: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31,930</w:t>
            </w:r>
          </w:p>
        </w:tc>
      </w:tr>
    </w:tbl>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2025 was $24,618 and was primarily attributable to our net loss of $26,441, a $7,222 increase in the change in the fair value of our derivative liability, in part offset by $5,433 in payable in kind interest on our credit agreement, $1,736 in non-cash stock-based compensation, $743 in accretion of debt discount and amortization of financing costs, and a $673 decrease in prepaid expenses, other current assets and other assets,.</w:t>
      </w:r>
    </w:p>
    <w:p>
      <w:pPr>
        <w:spacing w:after="0" w:line="143"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2024 was $40,880 and was primarily attributable to our net loss of $35,090, a $689 increase in Inventory, a $741 increase in Accounts receivable and a $657 reduction in Accrued interest, in part offset by $4,490 of non-cash stock-based compensation, $2,493 of payable-in-kind interest, a $664 increase in accounts payable, accrued expenses, due to related parties and other current liabilities, and a $442 decrease in prepaid expenses, other current assets and other assets. The decrease in cash used in operating activities compared to the prior year reflects our actions taken under the Reprioritization.</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and 2024 was $0 and $0, respectively.</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2"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2025, was $13,339 and was primarily attributable to net proceeds of $12,957 received from the March 2025 registered direct offering and net proceeds from the sale of common stock under the Equity Distribution Agreement with Canaccord of $135.</w:t>
      </w:r>
    </w:p>
    <w:p>
      <w:pPr>
        <w:spacing w:after="0" w:line="135"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was $31,930 and was attributable to $25,000 in proceeds received from the March 2024 registered direct offering and net proceeds received from the sale of common stock under the Sale Agreement with Jefferies of $6,999.</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 Requirements</w:t>
      </w:r>
    </w:p>
    <w:p>
      <w:pPr>
        <w:spacing w:after="0" w:line="202" w:lineRule="exact"/>
        <w:rPr>
          <w:sz w:val="20"/>
          <w:szCs w:val="20"/>
          <w:color w:val="auto"/>
        </w:rPr>
      </w:pPr>
    </w:p>
    <w:p>
      <w:pPr>
        <w:ind w:left="60" w:right="139" w:firstLine="324"/>
        <w:spacing w:after="0" w:line="247" w:lineRule="auto"/>
        <w:rPr>
          <w:sz w:val="20"/>
          <w:szCs w:val="20"/>
          <w:color w:val="auto"/>
        </w:rPr>
      </w:pPr>
      <w:r>
        <w:rPr>
          <w:rFonts w:ascii="Times New Roman" w:cs="Times New Roman" w:eastAsia="Times New Roman" w:hAnsi="Times New Roman"/>
          <w:sz w:val="17"/>
          <w:szCs w:val="17"/>
          <w:color w:val="auto"/>
        </w:rPr>
        <w:t>We expect to continue to incur significant and increasing operating losses at least for the next several years as we commercialize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as we expand our clinical trials of and seek marketing approval focused on BXCL501 while pursuing development of additional product candidates for BXCL502, BXCL701 and BXCL702. We expect to continue to incur net losses in the near term. Our net losses may fluctuate significantly from quarter-to-quarter and year-to-year, depending on the timing of our planned clinical trials and our expenditures on other research and development activities.</w:t>
      </w:r>
    </w:p>
    <w:p>
      <w:pPr>
        <w:spacing w:after="0" w:line="155" w:lineRule="exact"/>
        <w:rPr>
          <w:sz w:val="20"/>
          <w:szCs w:val="20"/>
          <w:color w:val="auto"/>
        </w:rPr>
      </w:pPr>
    </w:p>
    <w:p>
      <w:pPr>
        <w:jc w:val="both"/>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24"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our clinical development of our product candidates;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research and development with our product candidates;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license, develop and commercialize product candidates;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acquired technologies into a comprehensive regulatory and product development strategy;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9" w:lineRule="exact"/>
        <w:rPr>
          <w:rFonts w:ascii="Times New Roman" w:cs="Times New Roman" w:eastAsia="Times New Roman" w:hAnsi="Times New Roman"/>
          <w:sz w:val="18"/>
          <w:szCs w:val="18"/>
          <w:color w:val="auto"/>
        </w:rPr>
      </w:pPr>
    </w:p>
    <w:p>
      <w:pPr>
        <w:ind w:left="720" w:right="299" w:hanging="319"/>
        <w:spacing w:after="0" w:line="250"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scientific, clinical, quality control and administrative personnel and utilize professional services, including consultants, lawyers, and accountants;</w:t>
      </w:r>
    </w:p>
    <w:p>
      <w:pPr>
        <w:ind w:left="720" w:right="339" w:hanging="319"/>
        <w:spacing w:after="0" w:line="250"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and commercial efforts;</w:t>
      </w: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9" w:lineRule="exact"/>
        <w:rPr>
          <w:rFonts w:ascii="Times New Roman" w:cs="Times New Roman" w:eastAsia="Times New Roman" w:hAnsi="Times New Roman"/>
          <w:sz w:val="18"/>
          <w:szCs w:val="18"/>
          <w:color w:val="auto"/>
        </w:rPr>
      </w:pPr>
    </w:p>
    <w:p>
      <w:pPr>
        <w:ind w:left="720" w:right="299" w:hanging="319"/>
        <w:spacing w:after="0" w:line="215" w:lineRule="auto"/>
        <w:tabs>
          <w:tab w:leader="none" w:pos="7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fully develop a sales, marketing and distribution infrastructure and scale up external manufacturing capabilities to commercialize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any product candidates for which we may obtain regulatory approval; and</w:t>
      </w: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205"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June 30, 2025 will not be sufficient to enable us to fund operating expenses and capital expenditure requirements for at least the next 12 months from the date of the issuance of the condensed consolidated financial statements included in this Quarterly Report on Form 10-Q, including funding our ongoing research and development and commercialization efforts. In particular, we believe that our cash, cash equivalents and restricted cash of $18,575 as of June 30, 2025 plus the additional capital raised subsequent to June 30, 2025 will allow us to fund our operations and meet our liquidity requirements into the fourth quarter of 2025, assuming we are able to comply with the covenants under our Credit Agreement. We expect that we will need to obtain substantial additional funding to fund our ongoing operations.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which could adversely impact our ability to conduct our business. Our failure to raise capital as and when needed would have a negative impact on our financial condition and our ability to pursue our business strategy. If we are unable to raise capital when needed or on attractive terms, we could be forced to significantly delay, scale back or discontinue the development or commercialization of our product candidates, seek collaborators at an earlier stage than otherwise would be desirable or on terms that are less favorable than might otherwise be available, and relinquish or license, potentially on unfavorable terms, our rights to our product candidates that we otherwise would seek to develop or commercialize ourselves. To date, we have continued research and development activities while managing our cash position. However, we can provide no assurance that will be successful in obtaining additional necessary resources and, if we are unable to fund our operations, including our clinical trials, we may need to focus on advancing fewer of our product candidates or otherwise consider strategic alternatives.</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02" w:lineRule="exact"/>
        <w:rPr>
          <w:sz w:val="20"/>
          <w:szCs w:val="20"/>
          <w:color w:val="auto"/>
        </w:rPr>
      </w:pPr>
    </w:p>
    <w:p>
      <w:pPr>
        <w:jc w:val="both"/>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In July 2024, the Company signed an amendment to its commercial supply agreement that requires minimum annual payments for the first five years of the agreement ending in 2026 that in aggregate total $10,000. The Company has met the minimum requirements for the first 3 years ending in 2024. The remaining minimum commitments for years 4 and 5 (2025 and 2026) is $2,000 each year.</w:t>
      </w:r>
    </w:p>
    <w:p>
      <w:pPr>
        <w:spacing w:after="0" w:line="13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February 2022, we signed a distribution agreement with a third-party to distribute product related to BXCL501 in the U.S. The distributor will be paid defined fees for its services under the agreement, which can be terminated by either party for cause. The distribution agreement can also be terminated by us without cause, subject to payment of agreed upon termination fees.</w:t>
      </w:r>
    </w:p>
    <w:p>
      <w:pPr>
        <w:spacing w:after="0" w:line="139" w:lineRule="exact"/>
        <w:rPr>
          <w:sz w:val="20"/>
          <w:szCs w:val="20"/>
          <w:color w:val="auto"/>
        </w:rPr>
      </w:pPr>
    </w:p>
    <w:p>
      <w:pPr>
        <w:ind w:left="60" w:right="279" w:firstLine="324"/>
        <w:spacing w:after="0" w:line="277" w:lineRule="auto"/>
        <w:rPr>
          <w:sz w:val="20"/>
          <w:szCs w:val="20"/>
          <w:color w:val="auto"/>
        </w:rPr>
      </w:pPr>
      <w:r>
        <w:rPr>
          <w:rFonts w:ascii="Times New Roman" w:cs="Times New Roman" w:eastAsia="Times New Roman" w:hAnsi="Times New Roman"/>
          <w:sz w:val="17"/>
          <w:szCs w:val="17"/>
          <w:color w:val="auto"/>
        </w:rPr>
        <w:t xml:space="preserve">BTI leases office space for its corporate headquarters at 555 Long Wharf Drive, New Haven, Connecticut (the “HQ Lease”). The HQ Lease expires in February 2026. The Company has an option to renew the HQ Lease for one additional five-year term. Payments under the HQ Lease are fixed. The Company has approximately $261 of payments remaining under the HQ Lease. For additional details, see Note 13,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in the Notes to Condensed Consolidated Financial Statements included in this Quarterly Report on Form 10-Q for additional information relating to the Company’s leases.</w:t>
      </w:r>
    </w:p>
    <w:p>
      <w:pPr>
        <w:spacing w:after="0" w:line="141"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addition, we are obligated to make quarterly interest payments under our Credit Agreement. For additional details, see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xml:space="preserve"> in the Notes to Condensed Consolidated Financial Statements included in this Quarterly Report on Form 10-Q for additional information relating to the Company’s debt payment obligations.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critical accounting policies and estimates are described in “Management’s Discussion and Analysis of Financial Condition and Results of Operations-Critical Accounting Policies and Estimates” in our Annual Report on Form 10-K for the fiscal year ended December 31, 2024. We have reviewed and determined that those critical accounting policies and estimates remain our critical accounting policies and estimates as of and for the six months ended June 30, 2025. No material changes were made to our existing critical accounting policies and estimates during the period presented. 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Condensed Consolidated Financial Statements elsewhere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2025.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0"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June 30, 2025, our Chief Executive Officer and Chief Financial Officer concluded that, as of such date, our disclosure controls and procedures were effective at the reasonable assurance level.</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may be subject to litigation and claims arising in the ordinary course of business, which could have a material adverse effect on our business, operating results, cash flows or financial condition. Please refer to Note 16,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of our unaudited condensed consolidated financial statements in Part I, Item 1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on Form 10-Q for information regarding material legal proceedings.</w:t>
      </w:r>
    </w:p>
    <w:p>
      <w:pPr>
        <w:spacing w:after="0" w:line="13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addition, in February 2024, we became aware that the SEC had initiated a formal investigation involving the Company and certain of its directors and officers. This formal investigation relates to the Company’s public disclosures— including about product sales and the receipt of a Form 483 by an investigator at one of the Company’s clinical trial sites in the TRANQUILITY II study, and the Company’s technology platform—and trading in the securities of the Company. We are cooperating fully with the investigation including producing documents, and current and former officers and employees of the Company have testified before the SEC. We cannot predict or determine whether any proceeding may be instituted by the SEC in connection with its investigation or the outcome of any proceeding that may be instituted, or the effects any such proceeding could have on the Company’s business or financing efforts.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You should carefully consider the risks described below, as well as general economic and business risks and the other information in this Quarterly Report on Form 10-Q and our Annual Report on Form 10-K for the fiscal year ended December 31, 2024.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Financial Position and Need for Additional Capital</w:t>
      </w:r>
    </w:p>
    <w:p>
      <w:pPr>
        <w:spacing w:after="0" w:line="198"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not generated substantial product revenues to date, which may make it difficult to evaluate the success of our business and to assess our future viability.</w:t>
      </w:r>
    </w:p>
    <w:p>
      <w:pPr>
        <w:spacing w:after="0" w:line="118"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We were incorporated in March 2017 and our operations to date have been largely focused on staffing our Company, raising capital, advancing the development of our product candidates, including conducting clinical and preclinical studies and establishing our commercial organization. We have only one product approved for commercial sale, and have limited experience in obtaining marketing approvals, manufacturing products on a commercial scale, and conducting sales and marketing activities necessary for successful commercialization. Consequently, predictions about our future success or viability may not be as accurate as they could be if we had a longer operating history or a history of successfully commercializing products.</w:t>
      </w:r>
    </w:p>
    <w:p>
      <w:pPr>
        <w:spacing w:after="0" w:line="148" w:lineRule="exact"/>
        <w:rPr>
          <w:sz w:val="20"/>
          <w:szCs w:val="20"/>
          <w:color w:val="auto"/>
        </w:rPr>
      </w:pPr>
    </w:p>
    <w:p>
      <w:pPr>
        <w:ind w:left="60" w:right="419" w:firstLine="324"/>
        <w:spacing w:after="0" w:line="230"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are focused primarily on research and development while continuing to support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commercial activities. We may encounter unforeseen expenses, difficulties, complications and delays, and may not be successful in such a transition.</w:t>
      </w:r>
    </w:p>
    <w:p>
      <w:pPr>
        <w:spacing w:after="0" w:line="167"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18" w:lineRule="exact"/>
        <w:rPr>
          <w:sz w:val="20"/>
          <w:szCs w:val="20"/>
          <w:color w:val="auto"/>
        </w:rPr>
      </w:pPr>
    </w:p>
    <w:p>
      <w:pPr>
        <w:ind w:left="60" w:right="159" w:firstLine="324"/>
        <w:spacing w:after="0" w:line="238"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 was $26.4 million and $35.1 million for the six months ended June 30, 2025 and 2024, respectively. As of June 30, 2025, we had a stockholders’ deficit of approximately $107.7 million. We expect to continue to incur significant expenses and increasing operating losses for the foreseeable future. We have only one product candidate approved for marketing in the U.S., none in any other jurisdiction, and may never receive approval beyond the one product approved to date. It could be several years, if ever, before we have a commercialized product that generates significant revenues through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our product candidates, if approved. As a result, we are uncertain when or if we will achieve profitability and, if so, whether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will be able to sustain it. The net losses we incur may fluctuate significantly from quarter to quarter and year to year.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anticipate that our expenses may increase in the long term as we:</w:t>
      </w:r>
    </w:p>
    <w:p>
      <w:pPr>
        <w:spacing w:after="0" w:line="180"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development of our product candidates;</w:t>
      </w:r>
    </w:p>
    <w:p>
      <w:pPr>
        <w:spacing w:after="0" w:line="184"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our current product candidates and any future product candidates that we may pursue;</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maintain, expand and protect our intellectual property portfolio;</w:t>
      </w:r>
    </w:p>
    <w:p>
      <w:pPr>
        <w:spacing w:after="0" w:line="198"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approvals for our current and future product candidates that successfully complete clinical trials;</w:t>
      </w:r>
    </w:p>
    <w:p>
      <w:pPr>
        <w:spacing w:after="0" w:line="113" w:lineRule="exact"/>
        <w:rPr>
          <w:rFonts w:ascii="Times New Roman" w:cs="Times New Roman" w:eastAsia="Times New Roman" w:hAnsi="Times New Roman"/>
          <w:sz w:val="18"/>
          <w:szCs w:val="18"/>
          <w:color w:val="auto"/>
        </w:rPr>
      </w:pPr>
    </w:p>
    <w:p>
      <w:pPr>
        <w:ind w:left="720" w:right="499" w:hanging="319"/>
        <w:spacing w:after="0" w:line="217"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appropriate sales, marketing, and distribution infrastructure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product candidates for which we may obtain marketing approval;</w:t>
      </w:r>
    </w:p>
    <w:p>
      <w:pPr>
        <w:spacing w:after="0" w:line="15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hire additional clinical, commercial, regulatory, scientific and finance personnel;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85" w:lineRule="exact"/>
        <w:rPr>
          <w:sz w:val="20"/>
          <w:szCs w:val="20"/>
          <w:color w:val="auto"/>
        </w:rPr>
      </w:pPr>
    </w:p>
    <w:p>
      <w:pPr>
        <w:ind w:left="60" w:right="159" w:firstLine="324"/>
        <w:spacing w:after="0" w:line="236" w:lineRule="auto"/>
        <w:rPr>
          <w:sz w:val="20"/>
          <w:szCs w:val="20"/>
          <w:color w:val="auto"/>
        </w:rPr>
      </w:pPr>
      <w:r>
        <w:rPr>
          <w:rFonts w:ascii="Times New Roman" w:cs="Times New Roman" w:eastAsia="Times New Roman" w:hAnsi="Times New Roman"/>
          <w:sz w:val="18"/>
          <w:szCs w:val="18"/>
          <w:color w:val="auto"/>
        </w:rPr>
        <w:t>To become and remain profitable, we must develop and commercialize more products or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52" w:lineRule="exact"/>
        <w:rPr>
          <w:sz w:val="20"/>
          <w:szCs w:val="20"/>
          <w:color w:val="auto"/>
        </w:rPr>
      </w:pPr>
    </w:p>
    <w:p>
      <w:pPr>
        <w:ind w:left="60" w:right="179" w:firstLine="324"/>
        <w:spacing w:after="0" w:line="244" w:lineRule="auto"/>
        <w:rPr>
          <w:sz w:val="20"/>
          <w:szCs w:val="20"/>
          <w:color w:val="auto"/>
        </w:rPr>
      </w:pPr>
      <w:r>
        <w:rPr>
          <w:rFonts w:ascii="Times New Roman" w:cs="Times New Roman" w:eastAsia="Times New Roman" w:hAnsi="Times New Roman"/>
          <w:sz w:val="18"/>
          <w:szCs w:val="18"/>
          <w:color w:val="auto"/>
        </w:rPr>
        <w:t>Although we have obtained U.S. FDA approval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because of the numerous risks and uncertainties associated with product development, we are unable to accurately predict the timing or amount of expenses or when, or if, we will obtain marketing approval to commercialize any additional product candidates. If we are required by the FDA, or other regulatory authorities such as the European Medicines Agency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 For example, developments with respect to our TRANQUILITY program evaluating BXCL501 in patients with dementia due to probable Alzheimer’s disease may increase the likelihood that we experience such costs or delays, as discussed in the risk factor below entitled: “</w:t>
      </w:r>
      <w:r>
        <w:rPr>
          <w:rFonts w:ascii="Times New Roman" w:cs="Times New Roman" w:eastAsia="Times New Roman" w:hAnsi="Times New Roman"/>
          <w:sz w:val="18"/>
          <w:szCs w:val="18"/>
          <w:i w:val="1"/>
          <w:iCs w:val="1"/>
          <w:color w:val="auto"/>
        </w:rPr>
        <w:t>Developments relating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w:t>
      </w:r>
    </w:p>
    <w:p>
      <w:pPr>
        <w:spacing w:after="0" w:line="121"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31"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delisted from The Nasdaq Capital Market, which could seriously harm the liquidity of our stock and our ability to raise capital or complete a strategic transaction.</w:t>
      </w:r>
    </w:p>
    <w:p>
      <w:pPr>
        <w:spacing w:after="0" w:line="159"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As previously reported, on September 20, 2024, we received a letter from Nasdaq Staff notifying us that for the 30 consecutive business days prior to the date of the letter, the Company’s market value of listed securities closed below the minimum $35 million requirement for continued listing on The Nasdaq Capital Market under Nasdaq Listing Rule 5550(b)(2) (the “MVLS Requirement”). In accordance with Nasdaq Listing Rule 5810(c)(3)(C), the Company was granted a period of 180 calendar days, or until March 19, 2025, to demonstrate compliance with the MVLS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Requirement, which requires a market value of listed securities of at least $35 million for at least 10 consecutive business days.</w:t>
      </w:r>
    </w:p>
    <w:p>
      <w:pPr>
        <w:spacing w:after="0" w:line="162" w:lineRule="exact"/>
        <w:rPr>
          <w:sz w:val="20"/>
          <w:szCs w:val="20"/>
          <w:color w:val="auto"/>
        </w:rPr>
      </w:pPr>
    </w:p>
    <w:p>
      <w:pPr>
        <w:ind w:left="60" w:right="259" w:firstLine="324"/>
        <w:spacing w:after="0" w:line="274" w:lineRule="auto"/>
        <w:rPr>
          <w:sz w:val="20"/>
          <w:szCs w:val="20"/>
          <w:color w:val="auto"/>
        </w:rPr>
      </w:pPr>
      <w:r>
        <w:rPr>
          <w:rFonts w:ascii="Times New Roman" w:cs="Times New Roman" w:eastAsia="Times New Roman" w:hAnsi="Times New Roman"/>
          <w:sz w:val="17"/>
          <w:szCs w:val="17"/>
          <w:color w:val="auto"/>
        </w:rPr>
        <w:t>As anticipated, on March 20, 2025, the Company received another letter from the Staff stating that, as a result of the Company’s continued non-compliance with the MVLS Requirement, its securities would be delisted from Nasdaq unless the Company appeals the Staff’s delisting determination by requesting a hearing before the Nasdaq Hearings Panel (the “Panel”). The Company made a timely request for a hearing before the Panel to appeal the Staff’s determination. The Company had a hearing with the Nasdaq Hearing Panel on May 1, 2025. At the hearing, the Company presented its plan for regaining compliance with the MVLS Requirement and requested a further to complete the execution of our plan.</w:t>
      </w:r>
    </w:p>
    <w:p>
      <w:pPr>
        <w:spacing w:after="0" w:line="173" w:lineRule="exact"/>
        <w:rPr>
          <w:sz w:val="20"/>
          <w:szCs w:val="20"/>
          <w:color w:val="auto"/>
        </w:rPr>
      </w:pPr>
    </w:p>
    <w:p>
      <w:pPr>
        <w:ind w:left="60" w:right="279" w:firstLine="324"/>
        <w:spacing w:after="0" w:line="253" w:lineRule="auto"/>
        <w:rPr>
          <w:sz w:val="20"/>
          <w:szCs w:val="20"/>
          <w:color w:val="auto"/>
        </w:rPr>
      </w:pPr>
      <w:r>
        <w:rPr>
          <w:rFonts w:ascii="Times New Roman" w:cs="Times New Roman" w:eastAsia="Times New Roman" w:hAnsi="Times New Roman"/>
          <w:sz w:val="18"/>
          <w:szCs w:val="18"/>
          <w:color w:val="auto"/>
        </w:rPr>
        <w:t>The Panel reviewed the Company’s compliance plan and strategies for achieving long-term compliance with the MVLS Requirement. On May 27, 2025, the Company received a decision letter from Nasdaq Stock Market LLC that the Panel has granted the Company’s request for an extension to regain compliance with the MVLS Requirement until September 16, 2025, subject to meeting certain interim conditions. On August 7, 2025, the Panel revised the terms of the extension pursuant to Nasdaq Listing Rule 5815(c)(4) following the Company not satisfying certain interim conditions. The Panel did note the positive developments related to the Company’s MVLS and that on the date of the extension the Company had already been in compliance with the MVLS Requirements and all other listing requirements for a number of days. Under the revised extension, the Company is required to continue maintaining compliance with the MVLS Requirement for each trading day until September 16, 2025. The Company intends to request the Panel reconsider the extended compliance requirement regarding the MVLS Requirements, but there is no assurance that the Panel will grant such request.</w:t>
      </w:r>
    </w:p>
    <w:p>
      <w:pPr>
        <w:spacing w:after="0" w:line="192" w:lineRule="exact"/>
        <w:rPr>
          <w:sz w:val="20"/>
          <w:szCs w:val="20"/>
          <w:color w:val="auto"/>
        </w:rPr>
      </w:pPr>
    </w:p>
    <w:p>
      <w:pPr>
        <w:ind w:left="60" w:right="419" w:firstLine="369"/>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for trading on Nasdaq and we are currently in compliance with all Nasdaq listing requirements; however, there can be no assurance that we will maintain compliance and will not face a delisting from Nasdaq</w:t>
      </w:r>
    </w:p>
    <w:p>
      <w:pPr>
        <w:spacing w:after="0" w:line="176" w:lineRule="exact"/>
        <w:rPr>
          <w:sz w:val="20"/>
          <w:szCs w:val="20"/>
          <w:color w:val="auto"/>
        </w:rPr>
      </w:pPr>
    </w:p>
    <w:p>
      <w:pPr>
        <w:ind w:left="60" w:right="279" w:firstLine="324"/>
        <w:spacing w:after="0" w:line="277" w:lineRule="auto"/>
        <w:rPr>
          <w:sz w:val="20"/>
          <w:szCs w:val="20"/>
          <w:color w:val="auto"/>
        </w:rPr>
      </w:pPr>
      <w:r>
        <w:rPr>
          <w:rFonts w:ascii="Times New Roman" w:cs="Times New Roman" w:eastAsia="Times New Roman" w:hAnsi="Times New Roman"/>
          <w:sz w:val="17"/>
          <w:szCs w:val="17"/>
          <w:color w:val="auto"/>
        </w:rPr>
        <w:t>If our common stock is delisted by Nasdaq, the price of our common stock may decline and our common stock may be eligible to be quoted on the OTC Bulletin Board, another over-the-counter quotation system, or on the pink sheets, which would negatively affect the liquidity of our common stock and an investor may find it more difficult to dispose of their common stock or obtain accurate quotations as to the market value of our common stock. Any such delisting action may materially adversely affect our ability to raise capital or pursue strategic transactions on acceptable terms, or at all.</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if our common stock is delisted from the Nasdaq Capital Market and the trading price remains below</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$5.00 per share, trading in our common stock might also become subject to the requirements of certain rules promulgated</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under the Exchange Act, which require additional disclosure by broker-dealers in connection with any trade involving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defined as a “penny stock” (generally, any equity security not listed on a national securities exchange that has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 price of less than $5.00 per share, subject to certain exceptions).</w:t>
      </w:r>
    </w:p>
    <w:p>
      <w:pPr>
        <w:spacing w:after="0" w:line="207"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We continue to actively monitor our performance with respect to the listing standards and will consider available options to resolve any deficiency and maintain compliance with the Nasdaq rules. There can be no assurance that we will be able to maintain compliance or, if we fall out of compliance, regain compliance with any deficiency, or if we implement an option that regains our compliance, maintain compliance thereafter.</w:t>
      </w:r>
    </w:p>
    <w:p>
      <w:pPr>
        <w:spacing w:after="0" w:line="176" w:lineRule="exact"/>
        <w:rPr>
          <w:sz w:val="20"/>
          <w:szCs w:val="20"/>
          <w:color w:val="auto"/>
        </w:rPr>
      </w:pPr>
    </w:p>
    <w:p>
      <w:pPr>
        <w:ind w:left="60" w:right="2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if we are unable to raise capital when needed, we could be forced to delay, reduce or eliminate our product development programs or commercialization efforts or otherwise seek strategic alternatives. In addition, the failure to raise additional financing in accordance with the minimum capital raising requirements of our Credit Agreement (as defined herein) would trigger an event of default thereunder.</w:t>
      </w:r>
    </w:p>
    <w:p>
      <w:pPr>
        <w:spacing w:after="0" w:line="153"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We will require additional future funding to support current and anticipated future expenses. We currently anticipate continuing to develop and conduct clinical trials with respect to our current and any future product candidates; seek to identify and develop additional product candidates; acquire or in-license other product candidates or technologies; seek regulatory approvals for our product candidates that successfully complete clinical trials, if any;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establish sales, marketing, distribution and other commercial infrastructure to support the commercialization of products for which we may obtain marketing approval; require the manufacture of larger quantities of product candidates for clinical development and, potentially, commercialization; maintain, expand and protect our intellectual property portfolio; hire and retain limited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54" w:lineRule="exact"/>
        <w:rPr>
          <w:sz w:val="20"/>
          <w:szCs w:val="20"/>
          <w:color w:val="auto"/>
        </w:rPr>
      </w:pPr>
    </w:p>
    <w:p>
      <w:pPr>
        <w:ind w:left="60" w:right="139" w:firstLine="324"/>
        <w:spacing w:after="0" w:line="260" w:lineRule="auto"/>
        <w:rPr>
          <w:sz w:val="20"/>
          <w:szCs w:val="20"/>
          <w:color w:val="auto"/>
        </w:rPr>
      </w:pPr>
      <w:r>
        <w:rPr>
          <w:rFonts w:ascii="Times New Roman" w:cs="Times New Roman" w:eastAsia="Times New Roman" w:hAnsi="Times New Roman"/>
          <w:sz w:val="17"/>
          <w:szCs w:val="17"/>
          <w:color w:val="auto"/>
        </w:rPr>
        <w:t>We have been and may continue to be required to expend significant funds to continue to commercialize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 the U.S. and advance the development of BXCL501, BXCL701, BXCL502 and our other product candidates. In addition, while we may seek one or more collaborators for future development of our current product candidates or any future product candidates that we may develop for one or more indications, we may not be able to enter into a collaboration for any of our product candidates for such indications on suitable terms, on a timely basis or at all. In any event,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We may also seek third-party investments in or other strategic options for our subsidiary, OnkosXcel. Further financing may not be available to us on acceptable terms, or at all. In addition, we are reliant on the financial institutions with which we hold our cash and cash equivalents. If such institutions were to close, we may not be able to recover all of our cash or cash equivalents held at such institutions. Moreover, market volatility, credit crises, adverse macroeconomic conditions, such as high interest or inflation rates, or other factors, as well as Company-specific factors such as the progress of our development pipeline, adverse clinical events or results, regulatory investigations, or ongoing or potential legal proceedings, could also adversely impact our ability to access capital as and when needed. Our failure to raise capital as and when needed would have a negative impact on our financial condition and our ability to pursue our business strategy.</w:t>
      </w:r>
    </w:p>
    <w:p>
      <w:pPr>
        <w:spacing w:after="0" w:line="151"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Management believes that the Company’s cash, cash equivalents and restricted cash of $18.6 million as of June 30, 2025, plus the $11.5 million of gross proceeds from sales pursuant to the Company ATM Program and $3.6 million received in connection with the exercise of outstanding warrants subsequent to June 30, 2025, will allow the Company to fund its operations and meet its liquidity requirements into the fourth quarter of 2025. There can be no assurance that we will be able to extend our cash runway, despite meeting the conditions for additional funding under the terms of our Credit Agreement (defined above). The Fifth Amendment to our Credit Agreement included a new capital raising covenant requiring, among other things, that the Company receive on or prior to the earlier of (x) August 15, 2025 and (y) the date that is 30 days after the final data readout of the SERENITY At-Home Phase 3 trial, an aggregate of at least $29.0 million in net cash proceeds (“Raise 3”) (including net proceeds raised in the interim). The Company has raised sufficient net proceeds to date to satisfy this requirement.</w:t>
      </w:r>
    </w:p>
    <w:p>
      <w:pPr>
        <w:spacing w:after="0" w:line="154"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Fifth Amendment and the required capital raises described in the preceding paragraph, the Lenders agreed to modify the Credit Agreement’s minimum liquidity covenant to require minimum cash liquidity of $7.5 million (instead of $25.0 million) from and after the closing of Raise 1 until March 30, 2025. On March 31, 2025, the minimum liquidity increased to $10.0 million, and on September 30, 2025, the minimum liquidity amount will further increase to $15.0 million. On March 4, 2025, the Company entered into the Sixth Amendment to our Credit Agreement, pursuant to which the Lenders agreed to, among other things, delay the date on which we are required to engage an investment banker, which date was subsequently extended to July 31, 2025. The Company retained an investment banker prior to such deadline in satisfaction of this requirement.</w:t>
      </w:r>
    </w:p>
    <w:p>
      <w:pPr>
        <w:spacing w:after="0" w:line="165"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Furthermore,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43" w:lineRule="exact"/>
        <w:rPr>
          <w:sz w:val="20"/>
          <w:szCs w:val="20"/>
          <w:color w:val="auto"/>
        </w:rPr>
      </w:pPr>
    </w:p>
    <w:p>
      <w:pPr>
        <w:ind w:left="720" w:right="41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our product candidates, including any delays that have occurred or may occur due to the recent developments with the TRANQUILITY program;</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01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and timing of any collaborations, licensing agreements or other arrangements;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seeking regulatory approvals;</w:t>
      </w:r>
    </w:p>
    <w:p>
      <w:pPr>
        <w:spacing w:after="0" w:line="176" w:lineRule="exact"/>
        <w:rPr>
          <w:rFonts w:ascii="Times New Roman" w:cs="Times New Roman" w:eastAsia="Times New Roman" w:hAnsi="Times New Roman"/>
          <w:sz w:val="18"/>
          <w:szCs w:val="18"/>
          <w:color w:val="auto"/>
        </w:rPr>
      </w:pPr>
    </w:p>
    <w:p>
      <w:pPr>
        <w:ind w:left="720" w:right="299" w:hanging="319"/>
        <w:spacing w:after="0" w:line="226"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5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received from commercial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current and future product candidates;</w:t>
      </w:r>
    </w:p>
    <w:p>
      <w:pPr>
        <w:spacing w:after="0" w:line="113"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that we pursue and their development requirements;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laws that may affect our operations;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acceptance or medical society recommendations that may affect commercial efforts;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potential new product candidates or technology;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operations continue;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legal proceedings and investigations;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adverse market conditions or other macroeconomic factors.</w:t>
      </w:r>
    </w:p>
    <w:p>
      <w:pPr>
        <w:spacing w:after="0" w:line="198"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As we continue our research and development activities, we will require additional resources to continue as a going concern. We can provide no assurance that we will successfully obtain additional resources to improve our financial condition. If we are unable to obtain necessary additional capital, we could be compelled to pursue alternative options, including, without limitation, implementing further workforce reductions, reducing or ceasing product development programs and advancement of our clinical trials and product candidates, selling our assets or seeking other strategic alternatives.</w:t>
      </w:r>
    </w:p>
    <w:p>
      <w:pPr>
        <w:spacing w:after="0" w:line="143"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Credit Agreement.</w:t>
      </w:r>
    </w:p>
    <w:p>
      <w:pPr>
        <w:spacing w:after="0" w:line="175" w:lineRule="exact"/>
        <w:rPr>
          <w:sz w:val="20"/>
          <w:szCs w:val="20"/>
          <w:color w:val="auto"/>
        </w:rPr>
      </w:pPr>
    </w:p>
    <w:p>
      <w:pPr>
        <w:ind w:left="60" w:right="479" w:firstLine="324"/>
        <w:spacing w:after="0" w:line="261" w:lineRule="auto"/>
        <w:rPr>
          <w:sz w:val="20"/>
          <w:szCs w:val="20"/>
          <w:color w:val="auto"/>
        </w:rPr>
      </w:pPr>
      <w:r>
        <w:rPr>
          <w:rFonts w:ascii="Times New Roman" w:cs="Times New Roman" w:eastAsia="Times New Roman" w:hAnsi="Times New Roman"/>
          <w:sz w:val="18"/>
          <w:szCs w:val="18"/>
          <w:color w:val="auto"/>
        </w:rPr>
        <w:t>As of June 30, 2025, we had aggregate principal indebtedness of $112.2 million outstanding under our Credit Agreement and Guaranty (as amended, the “Credit Agreement”) by and among the Company, as the borrower, certain subsidiaries of the Company from time to time party thereto as subsidiary guarantors, the lenders party thereto (the “Lenders”), and Oaktree Fund Administration LLC (“OFA”) as administrative agent.</w:t>
      </w:r>
    </w:p>
    <w:p>
      <w:pPr>
        <w:spacing w:after="0" w:line="180"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Restrictive covenants in the Credit Agreement place limits on our ability to conduct our business. 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In addition, certain events, including receipt of a warning letter from the FDA, may constitute an event of default. We must also comply with certain covenants under the Credit Agreement, including a financial covenant that requires we maintain certain minimum cash liquidity amounts. In addition, certain events, including certain regulatory events and any “going concern” or similar qualification in a report of the Company’s independent registered public accountants relating to the Company’s annual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61" w:lineRule="auto"/>
        <w:rPr>
          <w:sz w:val="20"/>
          <w:szCs w:val="20"/>
          <w:color w:val="auto"/>
        </w:rPr>
      </w:pPr>
      <w:r>
        <w:rPr>
          <w:rFonts w:ascii="Times New Roman" w:cs="Times New Roman" w:eastAsia="Times New Roman" w:hAnsi="Times New Roman"/>
          <w:sz w:val="18"/>
          <w:szCs w:val="18"/>
          <w:color w:val="auto"/>
        </w:rPr>
        <w:t>(except for the years ended December 31, 2024 and 2023, respectively), constitute an event of default under the Credit Agreement. The Credit Agreement also includes other covenants relating to certain change of control events can also trigger an event of default under the Credit Agreement, including control by any entity or group of entities, other than BioXcel LLC and its affiliates, that acquires 35% or more of our voting capital stock.</w:t>
      </w:r>
    </w:p>
    <w:p>
      <w:pPr>
        <w:spacing w:after="0" w:line="180" w:lineRule="exact"/>
        <w:rPr>
          <w:sz w:val="20"/>
          <w:szCs w:val="20"/>
          <w:color w:val="auto"/>
        </w:rPr>
      </w:pPr>
    </w:p>
    <w:p>
      <w:pPr>
        <w:ind w:left="60" w:right="319" w:firstLine="324"/>
        <w:spacing w:after="0" w:line="241" w:lineRule="auto"/>
        <w:rPr>
          <w:sz w:val="20"/>
          <w:szCs w:val="20"/>
          <w:color w:val="auto"/>
        </w:rPr>
      </w:pPr>
      <w:r>
        <w:rPr>
          <w:rFonts w:ascii="Times New Roman" w:cs="Times New Roman" w:eastAsia="Times New Roman" w:hAnsi="Times New Roman"/>
          <w:sz w:val="18"/>
          <w:szCs w:val="18"/>
          <w:color w:val="auto"/>
        </w:rPr>
        <w:t>Our ability to make scheduled payments or payments to maintain compliance with covenants or to restructure or refinance these and other outstanding debt obligations depends on our financial and operating performance, including growth in revenue from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BXCL501, which will be affected by prevailing economic, industry and competitive conditions and by financial, business and other factors beyond our control. A failure to pay our debt, fixed costs and other obligations or a breach of our contractual obligations or other event of default could result in a variety of adverse consequences, including the acceleration of our obligations or the exercise of remedies by our creditors and lessors. In such a situation, it is unlikely that we would be able to cure our breach, fulfill our obligations, make required payments or otherwise cover our fixed costs, which would have a material adverse effect on our business, results of operations and financial condition.</w:t>
      </w:r>
    </w:p>
    <w:p>
      <w:pPr>
        <w:spacing w:after="0" w:line="19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In addition, historically we have relied on debt and equity financings as our primary sources of liquidity. If our future cash flows and capital resources are insufficient to fund our debt service obligations, we may be forced to reduce or delay expenditures, sell assets, seek additional capital or seek to restructure or refinance our indebtedness. Any refinancing or restructuring of our indebtedness could be at higher interest rates and may require us to comply with more onerous covenants. These alternative measures may not be successful and may not permit us to meet our scheduled or any accelerated debt service obligations. In the absence of such cash flows and resources, we could face substantial liquidity problems and might be required to sell material assets or pursue other strategic alternatives to attempt to meet our debt service obligations.</w:t>
      </w:r>
    </w:p>
    <w:p>
      <w:pPr>
        <w:spacing w:after="0" w:line="188" w:lineRule="exact"/>
        <w:rPr>
          <w:sz w:val="20"/>
          <w:szCs w:val="20"/>
          <w:color w:val="auto"/>
        </w:rPr>
      </w:pPr>
    </w:p>
    <w:p>
      <w:pPr>
        <w:ind w:left="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conditions and events that raise substantial doubt regarding our ability to continue as a going concern.</w:t>
      </w:r>
    </w:p>
    <w:p>
      <w:pPr>
        <w:spacing w:after="0" w:line="132"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As of June 30, 2025, we had $18.6 million in cash, cash equivalents and restricted cash. Based on our existing cash, cash equivalents and lack of current availability under our funding facilities, we do not believe we have sufficient cash on hand to support current operations and service our debt obligations for at least one year from the date of issuance of the audited consolidated financial statements appearing in this Quarterly Report on Form 10-Q. This condition raises substantial doubt about our ability to continue as a going concern for at least one year from the date that our financial statements for the six months ended June 30, 2025 are issued. In order to mitigate liquidity issues, we have undertaken the Reprioritization and other restructuring actions, and may, among other things, seek to raise capital through the issuance of common stock, or by restructuring, refinancing, and/or amending the terms of the Credit Agreement (including with respect to regulatory related events of default that do not contain a cure period) or pursue other strategic alternatives. However, such transactions may not be successful and we may not be able to raise additional equity and/or financing necessary to meet our obligations. Moreover, our Credit Agreement contains covenants that we may be unable to comply with and which could result in the acceleration of our debt service obligations, further reducing our capital resources and ability to fund our operations. As such, there can be no assurance that we will be able to continue as a going concern and we may be forced to delay, reduce or discontinue our product development programs or commercialization efforts in order to preserve cash. For additional cost-saving and other strategic initiatives we may be compelled to pursue, see the risk factor entitled, </w:t>
      </w:r>
      <w:r>
        <w:rPr>
          <w:rFonts w:ascii="Times New Roman" w:cs="Times New Roman" w:eastAsia="Times New Roman" w:hAnsi="Times New Roman"/>
          <w:sz w:val="18"/>
          <w:szCs w:val="18"/>
          <w:i w:val="1"/>
          <w:iCs w:val="1"/>
          <w:color w:val="auto"/>
        </w:rPr>
        <w:t>“We will need substantial additional funding, and if we are unable to raise capital when needed, we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 forced to delay, reduce or eliminate our product development programs or commercialization efforts or otherwise seek strategic alternatives.”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reprioritization and other workforce reductions may not achieve our intended outcome.</w:t>
      </w:r>
    </w:p>
    <w:p>
      <w:pPr>
        <w:spacing w:after="0" w:line="229" w:lineRule="exact"/>
        <w:rPr>
          <w:sz w:val="20"/>
          <w:szCs w:val="20"/>
          <w:color w:val="auto"/>
        </w:rPr>
      </w:pPr>
    </w:p>
    <w:p>
      <w:pPr>
        <w:ind w:left="60" w:right="139" w:firstLine="324"/>
        <w:spacing w:after="0" w:line="236" w:lineRule="auto"/>
        <w:rPr>
          <w:sz w:val="20"/>
          <w:szCs w:val="20"/>
          <w:color w:val="auto"/>
        </w:rPr>
      </w:pPr>
      <w:r>
        <w:rPr>
          <w:rFonts w:ascii="Times New Roman" w:cs="Times New Roman" w:eastAsia="Times New Roman" w:hAnsi="Times New Roman"/>
          <w:sz w:val="18"/>
          <w:szCs w:val="18"/>
          <w:color w:val="auto"/>
        </w:rPr>
        <w:t>In August 2023, we announced a broad-based strategic reprioritization (the “Reprioritization”) and have taken further restructuring actions since then. As part of these efforts, we have taken actions to reduce certain operational and workforce expenses that are no longer deemed core to our ongoing operations in order to extend our cash runway and drive innovation and growth in high potential clinical development and value creating opportunities. These actions include a shift in commercial strategy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institutional setting, a reduction of in-hospital commercialization expenses, a suspension of programs no longer determined to be core to ongoing operations, and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prioritization on at-home treatment setting opportunities for BXCL501. As part of this strategy, we reduced our workforce in 2023 by approximately 60%.</w:t>
      </w:r>
    </w:p>
    <w:p>
      <w:pPr>
        <w:spacing w:after="0" w:line="162"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In May and September 2024, we initiated further workforce reductions, and we may undertake further similar cost-saving initiatives, which may include additional restructuring or workforce reductions. These types of cost-reduction activities can be complex and result in unintended consequences and costs, including decreased employee morale, loss of institutional knowledge and expertise and adversely impact our business. We completed these additional restructuring actions to further reduce the workforce by 50%, ending the year ended December 31, 2024 with 37 full-time employees.</w:t>
      </w:r>
    </w:p>
    <w:p>
      <w:pPr>
        <w:spacing w:after="0" w:line="18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reduction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The workforce reduction could also harm our reputation, making our ability to recruit skilled personnel difficult. If we are unable to realize the anticipated benefits from the reduction in force, or if we experience significant adverse consequences from the reduction in force, our business, financial condition, and results of operations may be materially adversely affected.</w:t>
      </w:r>
    </w:p>
    <w:p>
      <w:pPr>
        <w:spacing w:after="0" w:line="192" w:lineRule="exact"/>
        <w:rPr>
          <w:sz w:val="20"/>
          <w:szCs w:val="20"/>
          <w:color w:val="auto"/>
        </w:rPr>
      </w:pPr>
    </w:p>
    <w:p>
      <w:pPr>
        <w:ind w:left="60" w:right="139" w:firstLine="324"/>
        <w:spacing w:after="0" w:line="224" w:lineRule="auto"/>
        <w:rPr>
          <w:sz w:val="20"/>
          <w:szCs w:val="20"/>
          <w:color w:val="auto"/>
        </w:rPr>
      </w:pPr>
      <w:r>
        <w:rPr>
          <w:rFonts w:ascii="Times New Roman" w:cs="Times New Roman" w:eastAsia="Times New Roman" w:hAnsi="Times New Roman"/>
          <w:sz w:val="18"/>
          <w:szCs w:val="18"/>
          <w:color w:val="auto"/>
        </w:rPr>
        <w:t>In addition, we may not realize the benefits of or there may be unanticipated costs associated with our Reprioritization. As a result of the Reprioritization, including our strategic refocus, we may not generate material revenues from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near term because our commercial force will be significantly reduced. If we are unable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a different setting or unable to develop, receive marketing approval for and successfully commercialize BXCL501, BXCL701 and any of our other product candidates on our own or with any future collaborator, or experience delays because of any of these factors or otherwise, our business could be materially and substantially harmed.</w:t>
      </w:r>
    </w:p>
    <w:p>
      <w:pPr>
        <w:spacing w:after="0" w:line="204"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In addition, because we have limited financial and managerial resources, under our Reprioritization, we intend to focus on specific product candidates, indications and development programs. We may also conduct several clinical trials for our product candidates in parallel over the next several years, which may make our decision as to which product candidates to focus on more difficult. As a result, we may forgo or delay pursuit of opportunities with other product candidates or other indications that could have had greater commercial potential or likelihood of success.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 If we are not successful in increasing our efficiency as a result of this Reprioritization, our efforts to develop and commercialize our product candidates may be delayed or halted and our business could be materially adversely impacted.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Product Candidates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in drug discovery and drug development.</w:t>
      </w:r>
    </w:p>
    <w:p>
      <w:pPr>
        <w:spacing w:after="0" w:line="189"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Prior to the acquisition of our product and product candidates, we were not involved in and had no control over their preclinical and clinical development. In addition, we are relying upon the parties we acquired our product candidates from to have conducted research and development in accordance with the applicable protocol, legal, regulatory and scientific standards, accurately reported the results of all clinical trials conducted prior to our acquisition of the applicable product candidate, and correctly collected and interpreted the data from these studies and trials. To the extent any of these activities did not occur, our expected development time and costs could increase, which could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adversely affect our prospects for marketing approval of, and receiving any future revenue from, these product candidates.</w:t>
      </w:r>
    </w:p>
    <w:p>
      <w:pPr>
        <w:spacing w:after="0" w:line="194"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p>
    <w:p>
      <w:pPr>
        <w:spacing w:after="0" w:line="134"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Following our discovery of principal investigator misconduct at one of the clinical sites in our TRANQUILITY II Phase 3 clinical trial, we initiated an investigation into the issues associated with the trial. This principal investigator had previously been subject to a December 2022 FDA inspection of her clinical site in connection with the TRANQUILITY II clinical trial. At the conclusion of this inspection, the FDA issued an FDA Form-483 identifying three inspectional observations. These observations related to the principal investigator’s failure to adhere to the informed consent form approved by the Institutional Review Board for a limited number of subjects whose records the FDA reviewed, maintain adequate case histories for certain patients whose records the FDA reviewed, and adhere to the investigational plan in certain instances. For example, the FDA cited the principal investigator’s delay in informing the sponsor’s medical monitor or pharmacovigilance safety vendor of an SAE, for one of the subjects, which report was made to our vendor outside of the 24 hour time period prescribed by the clinical trial protocol. The principal investigator for this clinical site responded to the FDA observations within the time period requested. The FDA concluded that the inspection of a single site in its TRANQUILITY II Phase 3 trial is closed under 21 C.F.R.20.64(d)(3) and released the Establishment Inspection Report. The FDA has designated “Voluntary Action Indicated” for the site.</w:t>
      </w:r>
    </w:p>
    <w:p>
      <w:pPr>
        <w:spacing w:after="0" w:line="14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May 2023, it came to our attention that this same principal investigator in the TRANQUILITY II clinical trial may have fabricated email correspondence around the time of the FDA inspection, purporting to demonstrate that the investigator timely submitted to our pharmacovigilance safety vendor a report of an SAE from a different subject than the one cited in the FDA Form-483, and purporting to show that the vendor had confirmed receipt. Upon receipt of this information, we promptly initiated an investigation and received confirmation that the principal investigator fabricated the email correspondence related to the timing of the reporting of this SAE to our pharmacovigilance vendor to make it appear as though this SAE had been timely reported as required by the clinical trial protocol. This principal investigator has not participated in any other clinical trial sponsored or conducted by us. Both we and the principal investigator’s employer have reported this incident to the FDA.</w:t>
      </w:r>
    </w:p>
    <w:p>
      <w:pPr>
        <w:spacing w:after="0" w:line="161" w:lineRule="exact"/>
        <w:rPr>
          <w:sz w:val="20"/>
          <w:szCs w:val="20"/>
          <w:color w:val="auto"/>
        </w:rPr>
      </w:pPr>
    </w:p>
    <w:p>
      <w:pPr>
        <w:jc w:val="both"/>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Since that time, we have taken steps to further investigate and evaluate the conduct of the TRANQUILITY II trial at this clinical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spacing w:after="0" w:line="139" w:lineRule="exact"/>
        <w:rPr>
          <w:sz w:val="20"/>
          <w:szCs w:val="20"/>
          <w:color w:val="auto"/>
        </w:rPr>
      </w:pPr>
    </w:p>
    <w:p>
      <w:pPr>
        <w:ind w:left="60" w:right="159" w:firstLine="324"/>
        <w:spacing w:after="0" w:line="246" w:lineRule="auto"/>
        <w:rPr>
          <w:sz w:val="20"/>
          <w:szCs w:val="20"/>
          <w:color w:val="auto"/>
        </w:rPr>
      </w:pPr>
      <w:r>
        <w:rPr>
          <w:rFonts w:ascii="Times New Roman" w:cs="Times New Roman" w:eastAsia="Times New Roman" w:hAnsi="Times New Roman"/>
          <w:sz w:val="18"/>
          <w:szCs w:val="18"/>
          <w:color w:val="auto"/>
        </w:rPr>
        <w:t>The primary efficacy endpoint in TRANQUILITY II was the change in PEC score, which is a measurement of agitation severity captured by trained raters during an agitation episode. While change in PEC score has been used to support the approval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 acute treatment of agitation associated with schizophrenia or bipolar I or II disorder in adults, it has not been used as a primary endpoint to support the approval of a drug candidate for the treatment of agitation associated with Alzheimer’s Disease. Prior to initiating our TRANQUILITY II trial, we believe we reached alignment with FDA regarding the use of PEC scores as a primary endpoint to assess individual agitation episodes in dementia patients. In the normal course, we have been in communication with the FDA regarding the data and information needed to further support the consistency of the measurement of PEC ratings, and we believe that we have generated sufficient data to demonstrate such consistency. Following submission of certain data on PEC score from a separate study of raters assessing video vignettes, the FDA expressed certain concerns with respect to the reliability of PEC scores in that study. The FDA has requested that we provide additional information to support the consistency of the measurement of PEC ratings to assess the treatment of agitation associated with Alzheimer’s Disease. While we believe that we have generated sufficient data to demonstrate such consistency, and we plan to submit these data and analyses to the FDA, if the FDA disagrees, it may require that we provide more information to demonstrate reliability in the measurement of PEC scores and/or may require that we generate additional data to support the reliability of PEC score measurements in our TRANQUILITY II trial. There can be no assurances that any information or data we provide to FDA will sufficiently demonstrate the consistency and reliability of the PEC-score data from our TRANQUILITY II trial, or that our PEC-score data will not represent a potential review issue in connection with any application we may submit to FDA.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1" w:lineRule="auto"/>
        <w:rPr>
          <w:sz w:val="20"/>
          <w:szCs w:val="20"/>
          <w:color w:val="auto"/>
        </w:rPr>
      </w:pPr>
      <w:r>
        <w:rPr>
          <w:rFonts w:ascii="Times New Roman" w:cs="Times New Roman" w:eastAsia="Times New Roman" w:hAnsi="Times New Roman"/>
          <w:sz w:val="18"/>
          <w:szCs w:val="18"/>
          <w:color w:val="auto"/>
        </w:rPr>
        <w:t>In addition, we are continuing to seek feedback from the FDA with respect to our TRANQUILITY program. For example, on February 20, 2024, we held a Type B/Breakthrough Therapy designation meeting with the FDA. The original purpose of this meeting was to obtain feedback on the design of a proposed at-home study that did not include caregiver-collected efficacy endpoints, based on our belief that obtaining caregiver assessments of efficacy would be challenging. We believe there are no validated caregiver endpoints for assessing efficacy in Alzheimer’s disease patients in the at-home setting. As a result, we focused on requesting feedback from the FDA regarding our proposal for an at-home clinical study with safety as the primary objective, and to better understand what additional data would be required to submit an sNDA to support labeling for BXCL501 to include the acute treatment of agitation associated with dementia in probable Alzheimer’s disease or, in the alternative, in this population in the care setting only. In its preliminary responses, the FDA reiterated its prior comments that we generate additional efficacy data, including repeat-dose efficacy data, to support an sNDA submission, as the FDA indicated that our proposed efficacy database, which currently includes the 70 patients who have been treated with 60 mcg of BXCL501 in TRANQUILITY I and TRANQUILITY II, would not contain substantial evidence of effectiveness absent additional data. The FDA advised that we generate the necessary efficacy data in care facilities prior to conducting any trials in the at-home setting. In addition, the FDA indicated the need to generate long-term safety data to support an sNDA submission, including from probable Alzheimer’s disease patients exposed to BXCL501, for up to one year. We have received the final meeting minutes from the FDA, which we believe are consistent with the FDA’s preliminary responses and the subsequent meeting discussion. Based on the FDA’s feedback, we are currently planning to generate additional Phase 3 efficacy and safety data, in a variety of relevant care-facility settings and across severity of dementia, including through, among other things, conducting our planned TRANQULITY In-Care Phase 3 trial. In addition, we plan to discuss the details of the requirement for long-term safety data at a future meeting with the FDA. Also, although we announced in November 2023 that we were planning to conduct a Phase 3 trial in the at-home setting, with safety as the primary objective (TRANQUILITY At Home), given the priority to expand the database to generate additional efficacy and safety data in care facilities, we are re-evaluating the timing for initiating TRANQUILITY At Home. Conducting any new clinical trial can take significant time, funding and resources, and there are no assurances we could raise sufficient capital or have the liquidity and resources to conduct further clinical trials in our TRANQUILITY program, including our planned TRANQUILITY In-Care Trial. Any new clinical trials conducted in our target patient populations may have different safety or efficacy results from the topline data the Company previously announced for the TRANQUILITY II clinical trial. Further, any government investigation, disqualification, or debarment of, or proceeding or action against the principal investigator, or any government investigation, proceeding or action against us, could further delay development and approval of BXCL501 for this indication, and otherwise have a material adverse effect on us, our financial condition (including triggering a potential event of default under our Credit Agreement), results of operations and prospects.</w:t>
      </w:r>
    </w:p>
    <w:p>
      <w:pPr>
        <w:spacing w:after="0" w:line="170"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clinical data supporting potential safety or efficacy of BXCL501 for use in the at-home setting in the acute treatment of agitation in patients with dementia due to probable Alzheimer’s disease.</w:t>
      </w:r>
    </w:p>
    <w:p>
      <w:pPr>
        <w:spacing w:after="0" w:line="11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August 2023, we announced our intention to pursue the Reprioritization, including among other things, a shift in focus to primarily develop BXCL501 for use in expanded settings, including the at-home setting and care facilities, for the acute treatment of agitation in patients with dementia due to probable Alzheimer’s disease and the acute treatment of agitation in schizophrenia and bipolar patients in the at-home setting. Although we have conducted several clinical trials that evaluated BXCL501 in the institutional setting, and we are conducting the SERENITY At-Home Phase 3 trial evaluating the safety of BXCL501 for the acute treatment of agitation associated with bipolar disorders or schizophrenia in the at-home setting, but we have not conducted a clinical trial evaluating the at-home use of BXCL501 in the acute treatment of agitation in patients with dementia due to probable Alzheimer’s disease.</w:t>
      </w:r>
    </w:p>
    <w:p>
      <w:pPr>
        <w:spacing w:after="0" w:line="151"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Although we will seek additional feedback from the FDA regarding the potential of its ongoing or completed clinical trials to support submission of one or more sNDAs and to support a label for use in the home, it is possible that the FDA may not consider our available data adequate to support such submissions. For example, on October 11, 2023, we received feedback from the FDA that TRANQUILITY I and TRANQUILITY II alone are not sufficient to support an sNDA submission for the use of BXCL501 to treat acute agitation (non-daily) in patients with dementia due to probable Alzheimer’s disease in either the at-home setting or care facilities, and the FDA indicated that we should, among other things, conduct a further clinical trial to evaluate safety and collect efficacy data of BXCL501 before we are able to submit an sNDA seeking approval of BXCL501 for use in such populations.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324"/>
        <w:spacing w:after="0" w:line="256" w:lineRule="auto"/>
        <w:rPr>
          <w:sz w:val="20"/>
          <w:szCs w:val="20"/>
          <w:color w:val="auto"/>
        </w:rPr>
      </w:pPr>
      <w:r>
        <w:rPr>
          <w:rFonts w:ascii="Times New Roman" w:cs="Times New Roman" w:eastAsia="Times New Roman" w:hAnsi="Times New Roman"/>
          <w:sz w:val="18"/>
          <w:szCs w:val="18"/>
          <w:color w:val="auto"/>
        </w:rPr>
        <w:t>For a description of recent developments relating to our TRANQUILITY program, please see the prior risk factor, “</w:t>
      </w:r>
      <w:r>
        <w:rPr>
          <w:rFonts w:ascii="Times New Roman" w:cs="Times New Roman" w:eastAsia="Times New Roman" w:hAnsi="Times New Roman"/>
          <w:sz w:val="18"/>
          <w:szCs w:val="18"/>
          <w:i w:val="1"/>
          <w:iCs w:val="1"/>
          <w:color w:val="auto"/>
        </w:rPr>
        <w:t>Developments relating to our TRANQUILITY II Phase 3 trial may impact the timing of our development plans for,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 We cannot provide assurance that we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able to seek or obtain approval of BXCL501 for treatment of agitation in patients with dementia due to probable Alzheimer’s disease in the at-home setting based on this updated development plan.</w:t>
      </w:r>
    </w:p>
    <w:p>
      <w:pPr>
        <w:spacing w:after="0" w:line="160"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Although we continue to seek feedback from the FDA with respect to our TRANQUILITY program, the FDA may not agree that any trial designs we propose are sufficient to establish both the safety and efficacy of BXCL501 for the acute treatment of agitation associated with dementia due to probable Alzheimer’s disease in either a care setting or an at-home setting. For example, to assess safety, the FDA has indicated that we need to expose more patients to BXCL501 for a longer period of time and that an efficacy trial of a shorter duration, combined with the patients in its previous trials, would not support submissions of an sNDA. Further, to assess efficacy in the home setting, the FDA may determine that we cannot rely on our previous studies of BXCL501 for this proposed indication since those studies were conducted in assisted living facilities and they are not comparable to the at-home setting. The FDA may also require us to seek approval for BXCL501 for use in care facilities prior to seeking any approval for at-home use in the targeted AD patient population. In particular, we are planning to generate additional Phase 3 safety and efficacy data in a variety of relevant care-facility settings, but even if our planned clinical efforts are successful and even if we are able to obtain approval of BXCL501 for use in patients with dementia due to probable Alzheimer's disease, we cannot provide assurance that we will be able to seek or obtain approval of BXCL501 for the treatment of agitation in patients with dementia due to probable Alzheimer’s disease in the at-home setting based on this data and we will be required to generate additional data to evaluate the at-home use of BXCL501 in our targeted Alzheimer's dementia population before we are able to seek approval for such at-home use in this population, if ever. In addition, the FDA may determine that we cannot rely on the data from our prior TRANQUILITY II Phase 3 trial to support an sNDA as a result of potential data integrity issues at the trial site, as the FDA may not agree with our belief that data reliability and integrity remain intact. See Part II, Item 1A, “Risk Factors—Risks Related to the Discovery and Development of Product Candidates—</w:t>
      </w:r>
      <w:r>
        <w:rPr>
          <w:rFonts w:ascii="Times New Roman" w:cs="Times New Roman" w:eastAsia="Times New Roman" w:hAnsi="Times New Roman"/>
          <w:sz w:val="18"/>
          <w:szCs w:val="18"/>
          <w:i w:val="1"/>
          <w:iCs w:val="1"/>
          <w:color w:val="auto"/>
        </w:rPr>
        <w:t>Developments relating to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TRANQUILITY II Phase 3 trial may impact the timing of its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 for additional information. If the FDA does not accept the data from our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TRANQUILITY II Phase 3 trial, we could be required to conduct additional clinical trials beyond those we currently contemplate, which would increase our costs and delay potential submission of an sNDA for BXCL501 which in turn would adversely affect our financial position and operations.</w:t>
      </w:r>
    </w:p>
    <w:p>
      <w:pPr>
        <w:spacing w:after="0" w:line="164"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Accordingly, if the FDA reaches these conclusions or otherwise finds that our proposed clinical studies would not adequately evaluate the safety and efficacy of BXCL501 for the acute treatment of agitation associated with dementia due to probable Alzheimer’s disease in an at-home setting and/or care setting, we may need to evaluate more patients for a longer period of time to demonstrate the safety and efficacy of BXCL501.</w:t>
      </w:r>
    </w:p>
    <w:p>
      <w:pPr>
        <w:spacing w:after="0" w:line="139" w:lineRule="exact"/>
        <w:rPr>
          <w:sz w:val="20"/>
          <w:szCs w:val="20"/>
          <w:color w:val="auto"/>
        </w:rPr>
      </w:pPr>
    </w:p>
    <w:p>
      <w:pPr>
        <w:ind w:left="60" w:right="159" w:firstLine="324"/>
        <w:spacing w:after="0" w:line="225" w:lineRule="auto"/>
        <w:rPr>
          <w:sz w:val="20"/>
          <w:szCs w:val="20"/>
          <w:color w:val="auto"/>
        </w:rPr>
      </w:pPr>
      <w:r>
        <w:rPr>
          <w:rFonts w:ascii="Times New Roman" w:cs="Times New Roman" w:eastAsia="Times New Roman" w:hAnsi="Times New Roman"/>
          <w:sz w:val="18"/>
          <w:szCs w:val="18"/>
          <w:color w:val="auto"/>
        </w:rPr>
        <w:t>With respect to our SERENITY program, we also held a Type C Meeting with the FDA on March 6, 2024 to obtain further feedback on our proposed changes to the design of SERENITY III Part 2, including with respect to the trial endpoints, and to discuss the content and format of a potential sNDA submission to expand the label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120 micrograms to the acute treatment of agitation associated with schizophrenia and bipolar disorders in the outpatient setting.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already approved at the 120 mcg dose based on efficacy data that we previously generated in treating a single episode of agitation. Consistent with the data generated to date, the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currently includes a limitation on use (“LOU”), noting the lack of efficacy or safety data beyond 24 hours following the first dose. During our March 6, 2024 Type C meeting with the FDA, we discussed, among other things, whether evaluating the at-home use of BXCL501 120 mcg, with safety as the primary objective and efficacy measures as exploratory endpoints, if successful, could support the submission of an sNDA seeking expansion of the current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120 mcg to allow at-home use and labeling without the current LOU. Based on current FDA feedback, we have amended the Part 2 of the SERENITY III protocol to evaluate the safety and efficacy of the 120 mg dose in the at-home setting, and now refer to this revised trial as the SERENITY At-Home trial. We believe that our ability to seek labeling without the current LOU will depend, in part, on the number of agitation episodes we observe during our planned study period. Even if our planned SERENITY At-home trial is successful in demonstrating safety in the at-home setting,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179"/>
        <w:spacing w:after="0" w:line="217" w:lineRule="auto"/>
        <w:rPr>
          <w:sz w:val="20"/>
          <w:szCs w:val="20"/>
          <w:color w:val="auto"/>
        </w:rPr>
      </w:pPr>
      <w:r>
        <w:rPr>
          <w:rFonts w:ascii="Times New Roman" w:cs="Times New Roman" w:eastAsia="Times New Roman" w:hAnsi="Times New Roman"/>
          <w:sz w:val="18"/>
          <w:szCs w:val="18"/>
          <w:color w:val="auto"/>
        </w:rPr>
        <w:t>even if the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120 mcg label is expanded to allow outpatient use, there is no guarantee that we will observe and/or treat a sufficient number of agitation episodes during the study period to support removal of the current LOU.</w:t>
      </w:r>
    </w:p>
    <w:p>
      <w:pPr>
        <w:spacing w:after="0" w:line="171"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Any modifications to our proposed trial designs, whether by us or by the FDA would delay our initiation of such proposed trials, increase the costs of any trial that we do conduct and delay any potential submission of an sNDAs for BXCL501. Requirements to conduct additional clinical trials evaluating BXCL501 in support of our planned sNDAs seeking approvals for BXCL501 for our targeted patient populations in at-home settings would increase our costs, and in either case, such modifications or requirements could have a material adverse effect on our prospects and results of operations.</w:t>
      </w:r>
    </w:p>
    <w:p>
      <w:pPr>
        <w:spacing w:after="0" w:line="135" w:lineRule="exact"/>
        <w:rPr>
          <w:sz w:val="20"/>
          <w:szCs w:val="20"/>
          <w:color w:val="auto"/>
        </w:rPr>
      </w:pPr>
    </w:p>
    <w:p>
      <w:pPr>
        <w:ind w:left="60" w:right="139"/>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In the near term, we are dependent on the success of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and the development of four of our product candidates, BXCL501, BXCL502, BXCL701 and BXCL702. If we are unable to complete the clinical development of or obtain marketing approval for our product candidates or successfully commercialize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and our other product candidates, either alone or with a collaborator, or if we experience significant delays in doing so, our business could be substantially harmed.</w:t>
      </w:r>
    </w:p>
    <w:p>
      <w:pPr>
        <w:spacing w:after="0" w:line="160" w:lineRule="exact"/>
        <w:rPr>
          <w:sz w:val="20"/>
          <w:szCs w:val="20"/>
          <w:color w:val="auto"/>
        </w:rPr>
      </w:pPr>
    </w:p>
    <w:p>
      <w:pPr>
        <w:ind w:left="60" w:right="199" w:firstLine="324"/>
        <w:spacing w:after="0" w:line="221" w:lineRule="auto"/>
        <w:rPr>
          <w:sz w:val="20"/>
          <w:szCs w:val="20"/>
          <w:color w:val="auto"/>
        </w:rPr>
      </w:pPr>
      <w:r>
        <w:rPr>
          <w:rFonts w:ascii="Times New Roman" w:cs="Times New Roman" w:eastAsia="Times New Roman" w:hAnsi="Times New Roman"/>
          <w:sz w:val="18"/>
          <w:szCs w:val="18"/>
          <w:color w:val="auto"/>
        </w:rPr>
        <w:t>We currently have only one product that has received regulatory approval and may never be able to develop additional marketable product candidates. We are continuing to invest a significant portion of our efforts and financial resources in the commercialization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development of our four product candidates, BXCL501, BXCL502, BXCL701 and BXCL702, as well as other product candidates. In connection with the Reprioritization, we have significantly reduced the resources devoted to commercialization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it is possible that will have adverse consequences on the revenue that we are able to generate from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near term. As part of the Company’s Reprioritization, the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commercial team shifted focus to a hospital/Integrated Delivery Network (“IDN”) contracting strategy with a Corporate Account Director (CAD) team. The goal of the realigned CAD team is to work with large IDNs and drive sales utilizing a top-down approach. Over time, the revised commercial effort is expected to allow the Company to continue to make inroads into the institutional market in a more cost-efficient manner. However, we have limited experience in drug development and commercialization, and our prospects are substantially dependent on our ability, or that of any future collaborator, to develop, obtain marketing approval for and successfully commercialize product candidates in one or more additional disease indications.</w:t>
      </w:r>
    </w:p>
    <w:p>
      <w:pPr>
        <w:spacing w:after="0" w:line="172" w:lineRule="exact"/>
        <w:rPr>
          <w:sz w:val="20"/>
          <w:szCs w:val="20"/>
          <w:color w:val="auto"/>
        </w:rPr>
      </w:pPr>
    </w:p>
    <w:p>
      <w:pPr>
        <w:ind w:left="60" w:right="259" w:firstLine="324"/>
        <w:spacing w:after="0" w:line="217" w:lineRule="auto"/>
        <w:rPr>
          <w:sz w:val="20"/>
          <w:szCs w:val="20"/>
          <w:color w:val="auto"/>
        </w:rPr>
      </w:pPr>
      <w:r>
        <w:rPr>
          <w:rFonts w:ascii="Times New Roman" w:cs="Times New Roman" w:eastAsia="Times New Roman" w:hAnsi="Times New Roman"/>
          <w:sz w:val="18"/>
          <w:szCs w:val="18"/>
          <w:color w:val="auto"/>
        </w:rPr>
        <w:t>The success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of BXCL501, BXCL701, BXCL502 and our other product candidates will depend on several factors, including the following:</w:t>
      </w:r>
    </w:p>
    <w:p>
      <w:pPr>
        <w:spacing w:after="0" w:line="158" w:lineRule="exact"/>
        <w:rPr>
          <w:sz w:val="20"/>
          <w:szCs w:val="20"/>
          <w:color w:val="auto"/>
        </w:rPr>
      </w:pPr>
    </w:p>
    <w:p>
      <w:pPr>
        <w:ind w:left="720" w:right="319" w:hanging="319"/>
        <w:spacing w:after="0" w:line="26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 investigational new drug application (“IND”) by the FDA or acceptance of comparable applications by foreign regulatory authorities allowing us to conduct clinical trials of our product candidates in the U.S. or in foreign jurisdictions;</w:t>
      </w:r>
    </w:p>
    <w:p>
      <w:pPr>
        <w:spacing w:after="0" w:line="135"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progress, timing, costs and results of clinical trials of our product candidates and potential product candidates, including any delays caused by the developments relating to the TRANQUILITY program, and any additional trials we may need to conduct prior to seeking approvals for BXCL501 in at-home and/or care facilities;</w:t>
      </w:r>
    </w:p>
    <w:p>
      <w:pPr>
        <w:spacing w:after="0" w:line="152"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and efficacy of our product candidates to the satisfaction of the FDA, or any comparable foreign regulatory authority, and sufficient for marketing approval;</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performance of our current and future collaborators;</w:t>
      </w:r>
    </w:p>
    <w:p>
      <w:pPr>
        <w:spacing w:after="0" w:line="184" w:lineRule="exact"/>
        <w:rPr>
          <w:rFonts w:ascii="Times New Roman" w:cs="Times New Roman" w:eastAsia="Times New Roman" w:hAnsi="Times New Roman"/>
          <w:sz w:val="18"/>
          <w:szCs w:val="18"/>
          <w:color w:val="auto"/>
        </w:rPr>
      </w:pPr>
    </w:p>
    <w:p>
      <w:pPr>
        <w:ind w:left="720" w:right="93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required post-marketing clinical trials or other commitments to applicable regulatory authorities;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supply arrangements with third-party raw materials suppliers and manufacturers;</w:t>
      </w:r>
    </w:p>
    <w:p>
      <w:pPr>
        <w:spacing w:after="0" w:line="184" w:lineRule="exact"/>
        <w:rPr>
          <w:rFonts w:ascii="Times New Roman" w:cs="Times New Roman" w:eastAsia="Times New Roman" w:hAnsi="Times New Roman"/>
          <w:sz w:val="18"/>
          <w:szCs w:val="18"/>
          <w:color w:val="auto"/>
        </w:rPr>
      </w:pPr>
    </w:p>
    <w:p>
      <w:pPr>
        <w:ind w:left="720" w:right="10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to obtain finished drug product that is appropriately packaged for sale;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ongoing availability of raw materials and drug product for clinical development and any commercial sales;</w:t>
      </w:r>
    </w:p>
    <w:p>
      <w:pPr>
        <w:spacing w:after="0" w:line="134"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protection and regulatory exclusivity, both in the U.S. and internationally;</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launch of commercial sales following any marketing approval;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198" w:lineRule="exact"/>
        <w:rPr>
          <w:sz w:val="20"/>
          <w:szCs w:val="20"/>
          <w:color w:val="auto"/>
        </w:rPr>
      </w:pPr>
    </w:p>
    <w:p>
      <w:pPr>
        <w:ind w:left="60" w:right="199" w:firstLine="324"/>
        <w:spacing w:after="0" w:line="236"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develop, receive marketing approval for and successfully commercialize BXCL501, BXCL701 and our other product candidates, on our own or with any future collaborator, or experience delays because of any of these factors or otherwise, our business could be substantially harmed.</w:t>
      </w:r>
    </w:p>
    <w:p>
      <w:pPr>
        <w:spacing w:after="0" w:line="156"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34"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clinical trials, which is based on a preliminary analysis of then-available data. The results and related findings and conclusions based on such preliminary data are subject to change, and have in the past changed,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67"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43"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47"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expensive and inherently unpredictable, and if we are ultimately unable to obtain regulatory approval for our product candidates, our business will be substantially harmed.</w:t>
      </w:r>
    </w:p>
    <w:p>
      <w:pPr>
        <w:spacing w:after="0" w:line="148"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are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a product candidate’s clinical development and may vary among jurisdictions. We obtained regulatory approval for our first product candidate for the acute treatment of agitation associated with schizophrenia or bipolar I or II disorder, which is in the early stages of commercialization. It is possible that none of our other product candidates, or any product candidates we may seek to develop in the future, will ever obtain regulatory approval.</w:t>
      </w:r>
    </w:p>
    <w:p>
      <w:pPr>
        <w:spacing w:after="0" w:line="156"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Our current product candidates, or any that may be developed in the future, could fail to receive regulatory approval for many reasons, including the following:</w:t>
      </w:r>
    </w:p>
    <w:p>
      <w:pPr>
        <w:spacing w:after="0" w:line="121" w:lineRule="exact"/>
        <w:rPr>
          <w:sz w:val="20"/>
          <w:szCs w:val="20"/>
          <w:color w:val="auto"/>
        </w:rPr>
      </w:pPr>
    </w:p>
    <w:p>
      <w:pPr>
        <w:ind w:left="720" w:right="35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34"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12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21" w:lineRule="exact"/>
        <w:rPr>
          <w:rFonts w:ascii="Times New Roman" w:cs="Times New Roman" w:eastAsia="Times New Roman" w:hAnsi="Times New Roman"/>
          <w:sz w:val="18"/>
          <w:szCs w:val="18"/>
          <w:color w:val="auto"/>
        </w:rPr>
      </w:pPr>
    </w:p>
    <w:p>
      <w:pPr>
        <w:ind w:left="720" w:right="73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34"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U.S. or elsewhere;</w:t>
      </w:r>
    </w:p>
    <w:p>
      <w:pPr>
        <w:spacing w:after="0" w:line="12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that our changes to branded reference drugs meet the criteria for the 505(b)(2) regulatory pathway or comparable foreign regulatory pathways;</w:t>
      </w:r>
    </w:p>
    <w:p>
      <w:pPr>
        <w:spacing w:after="0" w:line="121"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34"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21"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We have limited experience in completing clinical trials of product candidates. Consequently, we may not have the necessary capabilities, including adequate staffing, to successfully manage the execution and completion of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60" w:lineRule="exact"/>
        <w:rPr>
          <w:sz w:val="20"/>
          <w:szCs w:val="20"/>
          <w:color w:val="auto"/>
        </w:rPr>
      </w:pPr>
    </w:p>
    <w:p>
      <w:pPr>
        <w:ind w:left="60" w:right="259" w:firstLine="324"/>
        <w:spacing w:after="0" w:line="244" w:lineRule="auto"/>
        <w:rPr>
          <w:sz w:val="20"/>
          <w:szCs w:val="20"/>
          <w:color w:val="auto"/>
        </w:rPr>
      </w:pPr>
      <w:r>
        <w:rPr>
          <w:rFonts w:ascii="Times New Roman" w:cs="Times New Roman" w:eastAsia="Times New Roman" w:hAnsi="Times New Roman"/>
          <w:sz w:val="18"/>
          <w:szCs w:val="18"/>
          <w:color w:val="auto"/>
        </w:rPr>
        <w:t>We have only submitted one NDA to the FDA and have not submitted any similar marketing applications to comparable foreign authorities, for any product candidate, and we cannot be certain that our product candidates currently in development, or any than may be developed in the future, will be successful in clinical trials or receive regulatory approval. Further, our product candidates currently in development, or any that may be developed in the future, may not receive regulatory approval even if we believe they are successful in clinical trials. If we do not receive regulatory approvals for additional product candidates, we may not be able to continue our operations. For any regulatory approvals to market one or more of our product candidates, our revenues will be dependent, in part, upon the size of the markets in the territories for which we gain regulatory approval and have commercial rights. If the markets for patients that we are targeting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our other product candidates are not as significant as we estimate, we may not generate significant revenues from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such other product candidates, if approved.</w:t>
      </w:r>
    </w:p>
    <w:p>
      <w:pPr>
        <w:spacing w:after="0" w:line="44"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We plan to seek regulatory approval to commercialize our product candidates in the U.S., the European Union (“EU”)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43"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The CTR transition period ended on January 31, 2025, and all clinical trials (and related applications) are now fully subject to the provisions of the CTR.</w:t>
      </w:r>
    </w:p>
    <w:p>
      <w:pPr>
        <w:spacing w:after="0" w:line="168"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117" w:lineRule="exact"/>
        <w:rPr>
          <w:sz w:val="20"/>
          <w:szCs w:val="20"/>
          <w:color w:val="auto"/>
        </w:rPr>
      </w:pPr>
    </w:p>
    <w:p>
      <w:pPr>
        <w:ind w:left="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time-consuming, difficult to design, difficult to conduct, and involve an uncertain outcome.</w:t>
      </w:r>
    </w:p>
    <w:p>
      <w:pPr>
        <w:spacing w:after="0" w:line="118"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in accordance with applicable law and regulations. Failure can occur at any time during the clinical trial process. Although we are planning for certain clinical trials relating to BXCL501, BXCL701, BXCL502 and our other product candidates, there can be no assurance that the FDA, or other comparable</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foreign regulatory authorities, will accept our proposed trial designs as sufficient to establish the safety and/or efficacy of our product candidates.</w:t>
      </w:r>
    </w:p>
    <w:p>
      <w:pPr>
        <w:spacing w:after="0" w:line="135"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35" w:lineRule="exact"/>
        <w:rPr>
          <w:sz w:val="20"/>
          <w:szCs w:val="20"/>
          <w:color w:val="auto"/>
        </w:rPr>
      </w:pPr>
    </w:p>
    <w:p>
      <w:pPr>
        <w:ind w:left="720" w:right="45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studies;</w:t>
      </w:r>
    </w:p>
    <w:p>
      <w:pPr>
        <w:spacing w:after="0" w:line="12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allowances or authorizations to commence a trial or consensus with regulatory authorities on trial designs;</w:t>
      </w:r>
    </w:p>
    <w:p>
      <w:pPr>
        <w:spacing w:after="0" w:line="134" w:lineRule="exact"/>
        <w:rPr>
          <w:rFonts w:ascii="Times New Roman" w:cs="Times New Roman" w:eastAsia="Times New Roman" w:hAnsi="Times New Roman"/>
          <w:sz w:val="18"/>
          <w:szCs w:val="18"/>
          <w:color w:val="auto"/>
        </w:rPr>
      </w:pPr>
    </w:p>
    <w:p>
      <w:pPr>
        <w:jc w:val="both"/>
        <w:ind w:left="720" w:right="21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organizations (“CROs”) and clinical trial sites, the terms of which can be subject to extensive negotiation and may vary significantly among different CROs and trial sites;</w:t>
      </w:r>
    </w:p>
    <w:p>
      <w:pPr>
        <w:spacing w:after="0" w:line="13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approval at each site, or independent ethics committee approval at any sites outside the U.S.;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needs and timing of third-party collaborators;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 in a timely manner and in sufficient numbers;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184"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including as a result of unforeseen safety issues or side effects or failure of trial sites to adhere to regulatory requirements;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SAEs in trials of the same class of agents conducted by other companies or institutions;</w:t>
      </w:r>
    </w:p>
    <w:p>
      <w:pPr>
        <w:spacing w:after="0" w:line="184" w:lineRule="exact"/>
        <w:rPr>
          <w:rFonts w:ascii="Times New Roman" w:cs="Times New Roman" w:eastAsia="Times New Roman" w:hAnsi="Times New Roman"/>
          <w:sz w:val="18"/>
          <w:szCs w:val="18"/>
          <w:color w:val="auto"/>
        </w:rPr>
      </w:pPr>
    </w:p>
    <w:p>
      <w:pPr>
        <w:ind w:left="720" w:right="93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indications for which we are developing our product candidates, or participating in competing trials;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for use in clinical trials;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initiate or continue clinical trials;</w:t>
      </w:r>
    </w:p>
    <w:p>
      <w:pPr>
        <w:spacing w:after="0" w:line="184"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 points that require prolonged periods of clinical observation or analysis of the resulting data;</w:t>
      </w:r>
    </w:p>
    <w:p>
      <w:pPr>
        <w:spacing w:after="0" w:line="134"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our product candidates or any of their components being ordered by the FDA, or comparable foreign regulatory authorities, to temporarily or permanently shut down due to violations of current good manufacturing practice (“cGMP”) regulations or other applicable requirements, or infections or cross-contaminations of product candidates in the manufacturing process;</w:t>
      </w:r>
    </w:p>
    <w:p>
      <w:pPr>
        <w:spacing w:after="0" w:line="13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59" w:hanging="319"/>
        <w:spacing w:after="0" w:line="26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GCPs or other regulatory requirements; or</w:t>
      </w:r>
    </w:p>
    <w:p>
      <w:pPr>
        <w:spacing w:after="0" w:line="148" w:lineRule="exact"/>
        <w:rPr>
          <w:rFonts w:ascii="Times New Roman" w:cs="Times New Roman" w:eastAsia="Times New Roman" w:hAnsi="Times New Roman"/>
          <w:sz w:val="18"/>
          <w:szCs w:val="18"/>
          <w:color w:val="auto"/>
        </w:rPr>
      </w:pPr>
    </w:p>
    <w:p>
      <w:pPr>
        <w:ind w:left="720" w:right="219" w:hanging="319"/>
        <w:spacing w:after="0" w:line="25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 third-party contractors not complying with training and trial protocol; or third-party contractors becoming debarred or suspended or otherwise penalized by the FDA, such as in the case of the recent events relating to the TRANQUILITY II clinical trial,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47"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 which increases the risk that such CROs or trial sites may fail to perform in accordance with regulatory requirements, clinical trial protocols or with the agreements governing their services to us. For example, investigator misconduct affecting our TRANQUILITY II trial, which evaluated BXCL501 in patients with probable Alzheimer’s disease, may have a material adverse impact on our development program for BXCL501 in these patients, as described more fully in the risk factor above entitled: “</w:t>
      </w:r>
      <w:r>
        <w:rPr>
          <w:rFonts w:ascii="Times New Roman" w:cs="Times New Roman" w:eastAsia="Times New Roman" w:hAnsi="Times New Roman"/>
          <w:sz w:val="18"/>
          <w:szCs w:val="18"/>
          <w:i w:val="1"/>
          <w:iCs w:val="1"/>
          <w:color w:val="auto"/>
        </w:rPr>
        <w:t>Developments relating to our TRANQUILITY II Phase 3 trial may impact the timing of our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due to differences in health care services or cultural customs, managing additional administrative burdens associated with foreign regulatory schemes, as well as political and economic risks relevant to such foreign countries. For example, current geopolitical conflicts in Eastern Europe and the Middle East may adversely impact our ability to conduct trials in those regions and elsewhere.</w:t>
      </w:r>
    </w:p>
    <w:p>
      <w:pPr>
        <w:spacing w:after="0" w:line="160"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44" w:lineRule="exact"/>
        <w:rPr>
          <w:sz w:val="20"/>
          <w:szCs w:val="20"/>
          <w:color w:val="auto"/>
        </w:rPr>
      </w:pPr>
    </w:p>
    <w:p>
      <w:pPr>
        <w:jc w:val="both"/>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and evaluation of patients in our clinical trials to continue development of our product candidates. If we are unable to enroll patients in our clinical trials, our research and development efforts could be adversely affected.</w:t>
      </w:r>
    </w:p>
    <w:p>
      <w:pPr>
        <w:spacing w:after="0" w:line="134"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and evaluate a sufficient number of patients who remain in the study until its conclusion. We may experience difficulties in patient enrollment or evaluation in our clinical trials for a variety of reasons. Patient enrollment and evaluation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our ability to recruit clinical trial investigators with the appropriate competencies and experience, our ability to obtain and maintain patient consents, the risk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patients enrolled in clinical trials will drop out of the trials before evaluation or completion, the frequency of acute agitation symptoms in enrolled patients, the opportunity for evaluation of patients enrolled in our trials, and competing clinical trials and clinicians’ and patients’ perceptions as to the potential advantages of the drug being studied in relation to other available therapies, including any new drugs that may be approved for the indications we are investigating. Many pharmaceutical companies are conducting clinical trials in patients with the disease indications that our product candidates are designed to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161"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3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BXCL502, BXCL701, BXCL702 and our other product candidates in patients, in many cases, is ongoing and it is possible that there may be side effects associated with their use. Results of our trials could reveal a high and unacceptable severity and prevalence of these or other side effects. For example, in our Phase 2 clinical trial of BXCL701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w:t>
      </w:r>
    </w:p>
    <w:p>
      <w:pPr>
        <w:spacing w:after="0" w:line="148"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If we observe drug-related AEs or other unacceptable safety concerns in clinical trials,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observed in our clinical trials and upon commercialization of any of our product candidates that may receive regulatory approval. Inadequate training in recognizing or managing the potential side effects of our product candidates could result in patient injury or death. Any of these occurrences may harm our business, financial condition and prospects significantly.</w:t>
      </w:r>
    </w:p>
    <w:p>
      <w:pPr>
        <w:spacing w:after="0" w:line="162" w:lineRule="exact"/>
        <w:rPr>
          <w:sz w:val="20"/>
          <w:szCs w:val="20"/>
          <w:color w:val="auto"/>
        </w:rPr>
      </w:pPr>
    </w:p>
    <w:p>
      <w:pPr>
        <w:ind w:left="60" w:right="679" w:firstLine="324"/>
        <w:spacing w:after="0" w:line="226" w:lineRule="auto"/>
        <w:rPr>
          <w:sz w:val="20"/>
          <w:szCs w:val="20"/>
          <w:color w:val="auto"/>
        </w:rPr>
      </w:pPr>
      <w:r>
        <w:rPr>
          <w:rFonts w:ascii="Times New Roman" w:cs="Times New Roman" w:eastAsia="Times New Roman" w:hAnsi="Times New Roman"/>
          <w:sz w:val="18"/>
          <w:szCs w:val="18"/>
          <w:color w:val="auto"/>
        </w:rPr>
        <w:t>Additionally, if we or others later identify undesirable side effects caused by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any other product candidate that receives marketing approval, a number of potentially significant negative consequences could result, including:</w:t>
      </w:r>
    </w:p>
    <w:p>
      <w:pPr>
        <w:spacing w:after="0" w:line="160" w:lineRule="exact"/>
        <w:rPr>
          <w:sz w:val="20"/>
          <w:szCs w:val="20"/>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a product is administered to patients;</w:t>
      </w:r>
    </w:p>
    <w:p>
      <w:pPr>
        <w:spacing w:after="0" w:line="198"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distribution of the particular product or the manufacturing processes for the product or any component thereof;</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9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contraindication;</w:t>
      </w:r>
    </w:p>
    <w:p>
      <w:pPr>
        <w:spacing w:after="0" w:line="134" w:lineRule="exact"/>
        <w:rPr>
          <w:rFonts w:ascii="Times New Roman" w:cs="Times New Roman" w:eastAsia="Times New Roman" w:hAnsi="Times New Roman"/>
          <w:sz w:val="18"/>
          <w:szCs w:val="18"/>
          <w:color w:val="auto"/>
        </w:rPr>
      </w:pPr>
    </w:p>
    <w:p>
      <w:pPr>
        <w:jc w:val="both"/>
        <w:ind w:left="720" w:right="359" w:hanging="319"/>
        <w:spacing w:after="0" w:line="312" w:lineRule="auto"/>
        <w:tabs>
          <w:tab w:leader="none" w:pos="7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implement Risk Evaluation and Mitigation Strategies (“REMS”) or create a medication guide outlining the risks of such side effects for distribution to patients, or similar risk management measures;</w:t>
      </w:r>
    </w:p>
    <w:p>
      <w:pPr>
        <w:spacing w:after="0" w:line="9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may become less competitive;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85"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or product candidate, if approved, and could significantly harm our business, results of operations and prospects.</w:t>
      </w:r>
    </w:p>
    <w:p>
      <w:pPr>
        <w:spacing w:after="0" w:line="117"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discovery and development of product candidates based on EvolverAI, BioXcel LLC’s proprietary pharmaceutical discovery and development engine, and our AI platform is novel and unproven, and we do not know whether we will be able to develop any products of commercial value.</w:t>
      </w:r>
    </w:p>
    <w:p>
      <w:pPr>
        <w:spacing w:after="0" w:line="148" w:lineRule="exact"/>
        <w:rPr>
          <w:sz w:val="20"/>
          <w:szCs w:val="20"/>
          <w:color w:val="auto"/>
        </w:rPr>
      </w:pPr>
    </w:p>
    <w:p>
      <w:pPr>
        <w:ind w:left="60" w:right="159" w:firstLine="324"/>
        <w:spacing w:after="0" w:line="244" w:lineRule="auto"/>
        <w:rPr>
          <w:sz w:val="20"/>
          <w:szCs w:val="20"/>
          <w:color w:val="auto"/>
        </w:rPr>
      </w:pPr>
      <w:r>
        <w:rPr>
          <w:rFonts w:ascii="Times New Roman" w:cs="Times New Roman" w:eastAsia="Times New Roman" w:hAnsi="Times New Roman"/>
          <w:sz w:val="18"/>
          <w:szCs w:val="18"/>
          <w:color w:val="auto"/>
        </w:rPr>
        <w:t>We are leveraging our own AI platform and BioXcel LLC’s EvolverAI, a proprietary pharmaceutical discovery and development engine,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our AI platform and BioXcel LLC’s EvolverAI to create medicines for defined patient populations may potentially enable drug research and clinical development that is more efficient than conventional drug research and development, our approach is novel. Although we obtained FDA approval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because our approach is novel, the cost and time needed to develop our product candidates is difficult to predict, and our efforts may not result in the discovery and development of commercially viable medicines. We may also be incorrect about the effects of our product and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61"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18"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Additionally, our use of AI and machine learning may be subject to laws and evolving regulations regarding the use of AI or machine learning, controlling for data bias, and anti-discrimination, and we may not always be able to anticipate how to respond to these laws or regulations. Further, there is an increase in litigation in a number of jurisdictions, including the United States, relating to the use of AI, particularly generative AI.</w:t>
      </w:r>
    </w:p>
    <w:p>
      <w:pPr>
        <w:spacing w:after="0" w:line="15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50" w:lineRule="exact"/>
        <w:rPr>
          <w:sz w:val="20"/>
          <w:szCs w:val="20"/>
          <w:color w:val="auto"/>
        </w:rPr>
      </w:pPr>
    </w:p>
    <w:p>
      <w:pPr>
        <w:ind w:left="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AI platform and BioXcel LLC’s EvolverAI may fail to help us discover and develop additional potential product candidates.</w:t>
      </w:r>
    </w:p>
    <w:p>
      <w:pPr>
        <w:spacing w:after="0" w:line="118" w:lineRule="exact"/>
        <w:rPr>
          <w:sz w:val="20"/>
          <w:szCs w:val="20"/>
          <w:color w:val="auto"/>
        </w:rPr>
      </w:pPr>
    </w:p>
    <w:p>
      <w:pPr>
        <w:ind w:left="60" w:right="159" w:firstLine="324"/>
        <w:spacing w:after="0" w:line="281" w:lineRule="auto"/>
        <w:rPr>
          <w:sz w:val="20"/>
          <w:szCs w:val="20"/>
          <w:color w:val="auto"/>
        </w:rPr>
      </w:pPr>
      <w:r>
        <w:rPr>
          <w:rFonts w:ascii="Times New Roman" w:cs="Times New Roman" w:eastAsia="Times New Roman" w:hAnsi="Times New Roman"/>
          <w:sz w:val="17"/>
          <w:szCs w:val="17"/>
          <w:color w:val="auto"/>
        </w:rPr>
        <w:t>Any drug discovery that we are conducting using the Company’s AI platform and BioXcel LLC’s EvolverAI may not be successful in identifying compounds that have commercial value or therapeutic utility. The Company’s AI platform and BioXcel LLC’s EvolverAI may initially show promise in identifying potential product candidates, yet fail to yield viable additional product candidates for clinical development or potential commercialization for a number of reasons, including:</w:t>
      </w:r>
    </w:p>
    <w:p>
      <w:pPr>
        <w:spacing w:after="0" w:line="137" w:lineRule="exact"/>
        <w:rPr>
          <w:sz w:val="20"/>
          <w:szCs w:val="20"/>
          <w:color w:val="auto"/>
        </w:rPr>
      </w:pPr>
    </w:p>
    <w:p>
      <w:pPr>
        <w:ind w:left="720" w:right="339" w:hanging="319"/>
        <w:spacing w:after="0" w:line="258"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42" w:lineRule="exact"/>
        <w:rPr>
          <w:rFonts w:ascii="Times New Roman" w:cs="Times New Roman" w:eastAsia="Times New Roman" w:hAnsi="Times New Roman"/>
          <w:sz w:val="18"/>
          <w:szCs w:val="18"/>
          <w:color w:val="auto"/>
        </w:rPr>
      </w:pPr>
    </w:p>
    <w:p>
      <w:pPr>
        <w:ind w:left="720" w:right="55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compounds found through the Company’s AI platform and BioXcel LLC’s EvolverAI may not demonstrate efficacy, safety or tolerability;</w:t>
      </w:r>
    </w:p>
    <w:p>
      <w:pPr>
        <w:spacing w:after="0" w:line="12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134"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 therapies that render our potential product candidates non-competitive or less attractive; or</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product candidate may not be capable of being produced at an acceptable cost.</w:t>
      </w:r>
    </w:p>
    <w:p>
      <w:pPr>
        <w:spacing w:after="0" w:line="181"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spacing w:after="0" w:line="148" w:lineRule="exact"/>
        <w:rPr>
          <w:sz w:val="20"/>
          <w:szCs w:val="20"/>
          <w:color w:val="auto"/>
        </w:rPr>
      </w:pPr>
    </w:p>
    <w:p>
      <w:pPr>
        <w:ind w:left="60" w:right="399" w:firstLine="324"/>
        <w:spacing w:after="0" w:line="289" w:lineRule="auto"/>
        <w:rPr>
          <w:sz w:val="20"/>
          <w:szCs w:val="20"/>
          <w:color w:val="auto"/>
        </w:rPr>
      </w:pPr>
      <w:r>
        <w:rPr>
          <w:rFonts w:ascii="Times New Roman" w:cs="Times New Roman" w:eastAsia="Times New Roman" w:hAnsi="Times New Roman"/>
          <w:sz w:val="17"/>
          <w:szCs w:val="17"/>
          <w:color w:val="auto"/>
        </w:rPr>
        <w:t>Our future success depends on our ability to continue to develop and implement our proprietary AI algorithms and models, and to maintain the confidentiality of this technology. Changes to existing regulations, their interpretation or implementation, or new regulations could impede our use of this technology or require that we disclose our proprietary</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9"/>
        <w:spacing w:after="0" w:line="282" w:lineRule="auto"/>
        <w:rPr>
          <w:sz w:val="20"/>
          <w:szCs w:val="20"/>
          <w:color w:val="auto"/>
        </w:rPr>
      </w:pPr>
      <w:r>
        <w:rPr>
          <w:rFonts w:ascii="Times New Roman" w:cs="Times New Roman" w:eastAsia="Times New Roman" w:hAnsi="Times New Roman"/>
          <w:sz w:val="18"/>
          <w:szCs w:val="18"/>
          <w:color w:val="auto"/>
        </w:rPr>
        <w:t>technology to our competitors, which could impair our competitive position and result in an adverse effect on our business, results of operations and financial condition.</w:t>
      </w:r>
    </w:p>
    <w:p>
      <w:pPr>
        <w:spacing w:after="0" w:line="131"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obtained Fast Track designation for certain of our product candidates,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34"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obtained Fast Track designation for BXCL501 for the acute treatment of mild-to-moderate agitation associated with schizophrenia, bipolar disorder, and dementia, and we further obtained Fast Track designation for BXCL701, in combination with a checkpoint inhibitor, for the treatment of patients with metastatic SCNC with progression on chemotherapy and no evidence of microsatellite instability, and we may seek additional Fast Track designation for BXCL501 or BXCL701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46"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4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obtained Breakthrough Therapy Designation for BXCL501 for the acute treatment of agitation associated with dementia, and we may seek additional Breakthrough Therapy designations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also receive the benefits associated with Fast Track designation, including the potential for rolling review of an NDA.</w:t>
      </w:r>
    </w:p>
    <w:p>
      <w:pPr>
        <w:spacing w:after="0" w:line="151"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period for FDA review or approval will not be shortened.</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56"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intend to seek FDA approval through the 505(b)(2) regulatory pathway for certain of our product candidates. The Hatch-Waxman Act added Section 505(b)(2) to the Federal Food, Drug and Cosmetic Act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53"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may decide to collaborate with patient diagnostic companies during our clinical trial enrollment process for BXCL701 to help identify patients with tumor gene alterations that we believe may be most likely to respond to treatment with BXCL701. The process of obtaining or creating such diagnostic is time consuming and costly.</w:t>
      </w:r>
    </w:p>
    <w:p>
      <w:pPr>
        <w:spacing w:after="0" w:line="165"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 In January 2024, the FDA announced that it intends to initiate the process to reclassify most in vitro diagnostic tests (“IVDs”) that are currently Class III into Class II, including companion diagnostic IVDs. If such reclassification efforts occur, any companion diagnostics that are the subject of the down-classification may no longer require premarket approval, but rather may be marketed pursuant to the generally less burdensome 510(k) clearance process. However, there is no assurance that any companion diagnostic required for our pharmaceutical development programs will benefit from the reclassification, or that the reclassification, even if it does occur, will result in a shorter timeline to development or marketing of the companion diagnostic.</w:t>
      </w:r>
    </w:p>
    <w:p>
      <w:pPr>
        <w:spacing w:after="0" w:line="157" w:lineRule="exact"/>
        <w:rPr>
          <w:sz w:val="20"/>
          <w:szCs w:val="20"/>
          <w:color w:val="auto"/>
        </w:rPr>
      </w:pPr>
    </w:p>
    <w:p>
      <w:pPr>
        <w:ind w:left="60" w:right="279" w:firstLine="324"/>
        <w:spacing w:after="0" w:line="258" w:lineRule="auto"/>
        <w:rPr>
          <w:sz w:val="20"/>
          <w:szCs w:val="20"/>
          <w:color w:val="auto"/>
        </w:rPr>
      </w:pPr>
      <w:r>
        <w:rPr>
          <w:rFonts w:ascii="Times New Roman" w:cs="Times New Roman" w:eastAsia="Times New Roman" w:hAnsi="Times New Roman"/>
          <w:sz w:val="18"/>
          <w:szCs w:val="18"/>
          <w:color w:val="auto"/>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156"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Approval, clearance or certification of companion diagnostics may be subject to further legislative or regulatory reforms notably in the EU. On May 25, 2017, the new In Vitro Medical Devices Regulation No. 2017/746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became effective in May 2022. However, on October 14, 2021, the European Commission proposed a “progressive” roll-out of the IVDR to prevent disruption in the supply of in vitro diagnostic medical devices. The European Parliament and Council adopted the proposed regulation on December 15, 2021. The IVDR has applied since May 26, 2022, but there is a tiered system extending the grace period for many devices (depending on their risk classification) before they have to be fully compliant with the regulation.</w:t>
      </w:r>
    </w:p>
    <w:p>
      <w:pPr>
        <w:spacing w:after="0" w:line="14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regulation of companion diagnostics in the EU is subject to further requirements since the IVDR became applicable as it introduced a new classification system for companion diagnostics.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(“MA”) application for the medicinal product has been submitted through the centralized procedure. For other substances, the notified body can seek the opinion from a national competent authority or the EMA.</w:t>
      </w:r>
    </w:p>
    <w:p>
      <w:pPr>
        <w:spacing w:after="0" w:line="151"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These modifications may make it more difficult and costly for us to obtain regulatory clearances, approvals or certifications for our companion diagnostics or to manufacture, market or distribute our products after clearance, approval or certification is obtained.</w:t>
      </w:r>
    </w:p>
    <w:p>
      <w:pPr>
        <w:spacing w:after="0" w:line="137" w:lineRule="exact"/>
        <w:rPr>
          <w:sz w:val="20"/>
          <w:szCs w:val="20"/>
          <w:color w:val="auto"/>
        </w:rPr>
      </w:pPr>
    </w:p>
    <w:p>
      <w:pPr>
        <w:ind w:left="60" w:right="219"/>
        <w:spacing w:after="0" w:line="202" w:lineRule="auto"/>
        <w:rPr>
          <w:sz w:val="20"/>
          <w:szCs w:val="20"/>
          <w:color w:val="auto"/>
        </w:rPr>
      </w:pPr>
      <w:r>
        <w:rPr>
          <w:rFonts w:ascii="Times New Roman" w:cs="Times New Roman" w:eastAsia="Times New Roman" w:hAnsi="Times New Roman"/>
          <w:sz w:val="18"/>
          <w:szCs w:val="18"/>
          <w:b w:val="1"/>
          <w:bCs w:val="1"/>
          <w:i w:val="1"/>
          <w:iCs w:val="1"/>
          <w:color w:val="auto"/>
        </w:rPr>
        <w:t>Although the FDA has approved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for the acute treatment of agitation associated with schizophrenia or bipolar I or II disorder, we will still face extensive and ongoing regulatory requirements and obligations for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and for any product candidates for which we obtain approval.</w:t>
      </w:r>
    </w:p>
    <w:p>
      <w:pPr>
        <w:spacing w:after="0" w:line="150" w:lineRule="exact"/>
        <w:rPr>
          <w:sz w:val="20"/>
          <w:szCs w:val="20"/>
          <w:color w:val="auto"/>
        </w:rPr>
      </w:pPr>
    </w:p>
    <w:p>
      <w:pPr>
        <w:ind w:left="60" w:right="139" w:firstLine="324"/>
        <w:spacing w:after="0" w:line="231" w:lineRule="auto"/>
        <w:rPr>
          <w:sz w:val="20"/>
          <w:szCs w:val="20"/>
          <w:color w:val="auto"/>
        </w:rPr>
      </w:pPr>
      <w:r>
        <w:rPr>
          <w:rFonts w:ascii="Times New Roman" w:cs="Times New Roman" w:eastAsia="Times New Roman" w:hAnsi="Times New Roman"/>
          <w:sz w:val="18"/>
          <w:szCs w:val="18"/>
          <w:color w:val="auto"/>
        </w:rPr>
        <w:t>Any regulatory approvals that we may receive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any of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FDA-approved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includes certain warnings and precautions regarding hypotension, orthostatic hypotension, bradycardia, somnolence, and QT interval prolongation. The FDA may also require a REMS to approve a product candidate, which could entail requirements for a medication guide, physician training and communication plans or additional elements to ensure safe use, such as restricted distribution methods, patient registries and other risk minimization tools.</w:t>
      </w:r>
    </w:p>
    <w:p>
      <w:pPr>
        <w:spacing w:after="0" w:line="157" w:lineRule="exact"/>
        <w:rPr>
          <w:sz w:val="20"/>
          <w:szCs w:val="20"/>
          <w:color w:val="auto"/>
        </w:rPr>
      </w:pPr>
    </w:p>
    <w:p>
      <w:pPr>
        <w:ind w:left="60" w:right="519" w:firstLine="324"/>
        <w:spacing w:after="0" w:line="254" w:lineRule="auto"/>
        <w:rPr>
          <w:sz w:val="20"/>
          <w:szCs w:val="20"/>
          <w:color w:val="auto"/>
        </w:rPr>
      </w:pPr>
      <w:r>
        <w:rPr>
          <w:rFonts w:ascii="Times New Roman" w:cs="Times New Roman" w:eastAsia="Times New Roman" w:hAnsi="Times New Roman"/>
          <w:sz w:val="17"/>
          <w:szCs w:val="17"/>
          <w:color w:val="auto"/>
        </w:rPr>
        <w:t>In addition, the manufacturing processes, labeling, packaging, distribution, AE reporting, storage, advertising, promotion, import, export and recordkeeping for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are and will remain subject to extensive and ongoing regulatory requirements. These requirements include submissions of safety and other post-marketing information and reports, registration, and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AEs of unanticipated severity or frequency, or problems with the facilities where the product is manufactured, a regulatory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39"/>
        <w:spacing w:after="0" w:line="282" w:lineRule="auto"/>
        <w:rPr>
          <w:sz w:val="20"/>
          <w:szCs w:val="20"/>
          <w:color w:val="auto"/>
        </w:rPr>
      </w:pPr>
      <w:r>
        <w:rPr>
          <w:rFonts w:ascii="Times New Roman" w:cs="Times New Roman" w:eastAsia="Times New Roman" w:hAnsi="Times New Roman"/>
          <w:sz w:val="18"/>
          <w:szCs w:val="18"/>
          <w:color w:val="auto"/>
        </w:rPr>
        <w:t>authority may impose restrictions on that product, the manufacturing facility or us, including requiring recall or withdrawal of the product from the market or suspension of manufacturing.</w:t>
      </w:r>
    </w:p>
    <w:p>
      <w:pPr>
        <w:spacing w:after="0" w:line="135" w:lineRule="exact"/>
        <w:rPr>
          <w:sz w:val="20"/>
          <w:szCs w:val="20"/>
          <w:color w:val="auto"/>
        </w:rPr>
      </w:pPr>
    </w:p>
    <w:p>
      <w:pPr>
        <w:ind w:left="60" w:right="859" w:firstLine="324"/>
        <w:spacing w:after="0" w:line="312" w:lineRule="auto"/>
        <w:rPr>
          <w:sz w:val="20"/>
          <w:szCs w:val="20"/>
          <w:color w:val="auto"/>
        </w:rPr>
      </w:pPr>
      <w:r>
        <w:rPr>
          <w:rFonts w:ascii="Times New Roman" w:cs="Times New Roman" w:eastAsia="Times New Roman" w:hAnsi="Times New Roman"/>
          <w:sz w:val="17"/>
          <w:szCs w:val="17"/>
          <w:color w:val="auto"/>
        </w:rPr>
        <w:t>In addition, discovery of previously unknown AEs or other problems with our products, manufacturers or manufacturing processes or failure to comply with regulatory requirements, may yield various results, including:</w:t>
      </w:r>
    </w:p>
    <w:p>
      <w:pPr>
        <w:spacing w:after="0" w:line="99" w:lineRule="exact"/>
        <w:rPr>
          <w:sz w:val="20"/>
          <w:szCs w:val="20"/>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such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85" w:lineRule="exact"/>
        <w:rPr>
          <w:sz w:val="20"/>
          <w:szCs w:val="20"/>
          <w:color w:val="auto"/>
        </w:rPr>
      </w:pPr>
    </w:p>
    <w:p>
      <w:pPr>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Further, the policies of the FDA and other regulatory authorities may change, and additional government regulations may be enacted that could impose extensive and ongoing regulatory requirements and obligations on any product candidate for which we obtain marketing approval. We also cannot predict the likelihood, nature or extent of government regulation that may arise from future legislation or administrative or executive action, either in the U.S. or abroad.</w:t>
      </w:r>
    </w:p>
    <w:p>
      <w:pPr>
        <w:spacing w:after="0" w:line="133"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18" w:lineRule="exact"/>
        <w:rPr>
          <w:sz w:val="20"/>
          <w:szCs w:val="20"/>
          <w:color w:val="auto"/>
        </w:rPr>
      </w:pPr>
    </w:p>
    <w:p>
      <w:pPr>
        <w:ind w:left="60" w:right="199" w:firstLine="324"/>
        <w:spacing w:after="0" w:line="238" w:lineRule="auto"/>
        <w:rPr>
          <w:sz w:val="20"/>
          <w:szCs w:val="20"/>
          <w:color w:val="auto"/>
        </w:rPr>
      </w:pPr>
      <w:r>
        <w:rPr>
          <w:rFonts w:ascii="Times New Roman" w:cs="Times New Roman" w:eastAsia="Times New Roman" w:hAnsi="Times New Roman"/>
          <w:sz w:val="18"/>
          <w:szCs w:val="18"/>
          <w:color w:val="auto"/>
        </w:rPr>
        <w:t>The FDA and other regulatory authorities strictly regulate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or any other regulatory authority may grant is limited to those specific diseases and indications for which a product is deemed to be safe and effective. For example, the FDA-approved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currently limited to the acute treatment of agitation associated with schizophrenia or bipolar I or II disorder in adults to be self-administrated by patients under the supervision of a health care provider.</w:t>
      </w:r>
    </w:p>
    <w:p>
      <w:pPr>
        <w:spacing w:after="0" w:line="159" w:lineRule="exact"/>
        <w:rPr>
          <w:sz w:val="20"/>
          <w:szCs w:val="20"/>
          <w:color w:val="auto"/>
        </w:rPr>
      </w:pPr>
    </w:p>
    <w:p>
      <w:pPr>
        <w:ind w:left="60" w:right="379" w:firstLine="324"/>
        <w:spacing w:after="0" w:line="255" w:lineRule="auto"/>
        <w:rPr>
          <w:sz w:val="20"/>
          <w:szCs w:val="20"/>
          <w:color w:val="auto"/>
        </w:rPr>
      </w:pPr>
      <w:r>
        <w:rPr>
          <w:rFonts w:ascii="Times New Roman" w:cs="Times New Roman" w:eastAsia="Times New Roman" w:hAnsi="Times New Roman"/>
          <w:sz w:val="17"/>
          <w:szCs w:val="17"/>
          <w:color w:val="auto"/>
        </w:rPr>
        <w:t>While physicians in the U.S.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other formulations of Dex, the active ingredient in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have been approved for uses beyond those authorized in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approved labeling, such as for use in</w:t>
      </w: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59"/>
        <w:spacing w:after="0" w:line="285" w:lineRule="auto"/>
        <w:rPr>
          <w:sz w:val="20"/>
          <w:szCs w:val="20"/>
          <w:color w:val="auto"/>
        </w:rPr>
      </w:pPr>
      <w:r>
        <w:rPr>
          <w:rFonts w:ascii="Times New Roman" w:cs="Times New Roman" w:eastAsia="Times New Roman" w:hAnsi="Times New Roman"/>
          <w:sz w:val="18"/>
          <w:szCs w:val="18"/>
          <w:color w:val="auto"/>
        </w:rPr>
        <w:t>sedation of surgical patients, and we are continuing to develop BXCL501 for potential use in patients with dementia, MDD, Alzheimer’s disease and other indications. We do not market or promote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these uses.</w:t>
      </w:r>
    </w:p>
    <w:p>
      <w:pPr>
        <w:spacing w:after="0" w:line="20" w:lineRule="exact"/>
        <w:rPr>
          <w:sz w:val="20"/>
          <w:szCs w:val="20"/>
          <w:color w:val="auto"/>
        </w:rPr>
      </w:pPr>
    </w:p>
    <w:p>
      <w:pPr>
        <w:ind w:left="60" w:right="219" w:firstLine="324"/>
        <w:spacing w:after="0" w:line="239" w:lineRule="auto"/>
        <w:rPr>
          <w:sz w:val="20"/>
          <w:szCs w:val="20"/>
          <w:color w:val="auto"/>
        </w:rPr>
      </w:pPr>
      <w:r>
        <w:rPr>
          <w:rFonts w:ascii="Times New Roman" w:cs="Times New Roman" w:eastAsia="Times New Roman" w:hAnsi="Times New Roman"/>
          <w:sz w:val="18"/>
          <w:szCs w:val="18"/>
          <w:color w:val="auto"/>
        </w:rPr>
        <w:t>Regulatory authorities in the U.S. generally do not regulate the behavior of physicians in their choice of treatments. Regulatory authorities do, however, restrict communications by pharmaceutical companies on off-label use. If we are found to have promoted our products for any off-label uses, the U.S. federal government (and other foreign governments) could levy civil, criminal and/or administrative penalties, and seek fines against us. The FDA, or other regulatory authorities, could also require that we enter into a consent decree or a corporate integrity agreement, or seek a permanent injunction against us under which specified promotional conduct is monitored, changed or curtailed. If we cannot successfully manage the promotion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our product candidates, if approved, we could become subject to significant liability, which would materially adversely affect our business and financial condition.</w:t>
      </w:r>
    </w:p>
    <w:p>
      <w:pPr>
        <w:spacing w:after="0" w:line="159" w:lineRule="exact"/>
        <w:rPr>
          <w:sz w:val="20"/>
          <w:szCs w:val="20"/>
          <w:color w:val="auto"/>
        </w:rPr>
      </w:pPr>
    </w:p>
    <w:p>
      <w:pPr>
        <w:jc w:val="both"/>
        <w:ind w:left="60" w:right="5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staffing reductions could prevent new or modified products from being developed, approved or commercialized in a timely manner or at all, which could negatively impact our business.</w:t>
      </w:r>
    </w:p>
    <w:p>
      <w:pPr>
        <w:spacing w:after="0" w:line="134"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of some of these aforementioned issues.</w:t>
      </w:r>
    </w:p>
    <w:p>
      <w:pPr>
        <w:spacing w:after="0" w:line="160"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In April 2025, the Trump administration conducted unprecedented layoffs at several U.S. health agencies, including the FDA, the Department of Health and Human Services, the Centers for Disease Control and Prevention and the National Institutes of Health, which is expected to impact the FDA’s ability to review and approve new medicines and conduct necessary inspections. In addition, government funding of the FDA, SEC, and other government agencies on which our operations may rely, including those that fund research and development activities is subject to the political process, which is inherently fluid and unpredictable.</w:t>
      </w:r>
    </w:p>
    <w:p>
      <w:pPr>
        <w:spacing w:after="0" w:line="147" w:lineRule="exact"/>
        <w:rPr>
          <w:sz w:val="20"/>
          <w:szCs w:val="20"/>
          <w:color w:val="auto"/>
        </w:rPr>
      </w:pPr>
    </w:p>
    <w:p>
      <w:pPr>
        <w:ind w:left="60" w:right="419" w:firstLine="324"/>
        <w:spacing w:after="0" w:line="255" w:lineRule="auto"/>
        <w:rPr>
          <w:sz w:val="20"/>
          <w:szCs w:val="20"/>
          <w:color w:val="auto"/>
        </w:rPr>
      </w:pPr>
      <w:r>
        <w:rPr>
          <w:rFonts w:ascii="Times New Roman" w:cs="Times New Roman" w:eastAsia="Times New Roman" w:hAnsi="Times New Roman"/>
          <w:sz w:val="18"/>
          <w:szCs w:val="18"/>
          <w:color w:val="auto"/>
        </w:rPr>
        <w:t>To the extent the FDA’s normal operations are disrupted or delayed, for example due to travel restrictions, public health or geopolitical issues, staffing shortages, layoffs or lack of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44"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conduct certain of or portions of our clinical trials for our product candidates outside of the U.S. and the FDA may not accept data from such trials, in which case our development plans will be delayed, which could materially harm our business.</w:t>
      </w:r>
    </w:p>
    <w:p>
      <w:pPr>
        <w:spacing w:after="0" w:line="14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may choose to conduct one or more of our clinical trials or a portion of our clinical trials for our product candidates outside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clinical trial was not otherwise subject to an IND, the FDA will not accept the data as support for an application for marketing approval unless the study was conducted in accordance with GCP requirements and the FDA is able to validate the data from the study through an on-site inspection if deemed necessary. Many foreign regulatory authorities have similar approval requirements.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could result in current or future product candidates that we may develop not receiving approval for commercialization in the applicable jurisdiction.</w:t>
      </w:r>
    </w:p>
    <w:p>
      <w:pPr>
        <w:spacing w:after="0" w:line="156"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extensive regulations outside the U.S. and may not obtain marketing approvals for products in Europe and other jurisdictions.</w:t>
      </w:r>
    </w:p>
    <w:p>
      <w:pPr>
        <w:spacing w:after="0" w:line="110" w:lineRule="exact"/>
        <w:rPr>
          <w:sz w:val="20"/>
          <w:szCs w:val="20"/>
          <w:color w:val="auto"/>
        </w:rPr>
      </w:pPr>
    </w:p>
    <w:p>
      <w:pPr>
        <w:ind w:left="60" w:right="219" w:firstLine="324"/>
        <w:spacing w:after="0" w:line="239" w:lineRule="auto"/>
        <w:rPr>
          <w:sz w:val="20"/>
          <w:szCs w:val="20"/>
          <w:color w:val="auto"/>
        </w:rPr>
      </w:pPr>
      <w:r>
        <w:rPr>
          <w:rFonts w:ascii="Times New Roman" w:cs="Times New Roman" w:eastAsia="Times New Roman" w:hAnsi="Times New Roman"/>
          <w:sz w:val="18"/>
          <w:szCs w:val="18"/>
          <w:color w:val="auto"/>
        </w:rPr>
        <w:t>In addition to regulations in the U.S., should we or our collaborators pursue marketing approvals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for BXCL501, BXCL502, BXCL701, BXCL702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53" w:lineRule="exact"/>
        <w:rPr>
          <w:sz w:val="20"/>
          <w:szCs w:val="20"/>
          <w:color w:val="auto"/>
        </w:rPr>
      </w:pPr>
    </w:p>
    <w:p>
      <w:pPr>
        <w:ind w:left="60" w:right="179" w:firstLine="324"/>
        <w:spacing w:after="0" w:line="237" w:lineRule="auto"/>
        <w:rPr>
          <w:sz w:val="20"/>
          <w:szCs w:val="20"/>
          <w:color w:val="auto"/>
        </w:rPr>
      </w:pPr>
      <w:r>
        <w:rPr>
          <w:rFonts w:ascii="Times New Roman" w:cs="Times New Roman" w:eastAsia="Times New Roman" w:hAnsi="Times New Roman"/>
          <w:sz w:val="18"/>
          <w:szCs w:val="18"/>
          <w:color w:val="auto"/>
        </w:rPr>
        <w:t>We expect to pursue marketing approvals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may pursue marketing approvals for BXCL501, BXCL502, BXCL701, BXCL702 and our other product candidates in Europe and other jurisdictions outside the U.S. with collaborative partners. The time and process required to obtain regulatory approvals and reimbursement in Europe and other jurisdictions may be different from those in the U.S. Also, regulatory approval in one jurisdiction does not ensure approvals in any other jurisdiction; however, negative regulatory decisions in any jurisdiction may have a negative impact on the regulatory process in other jurisdictions.</w:t>
      </w:r>
    </w:p>
    <w:p>
      <w:pPr>
        <w:spacing w:after="0" w:line="176"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Following a national referendum and enactment of legislation by the government of the United Kingdom (“UK”), the UK formally withdrew from the EU on January 31, 2020 and ratified a trade and cooperation agreement governing its future relationship (commonly referred to as “Brexit”). The agreement, which was applied provisionally from January 1, 2021 and entered into force on May 1, 2021, addresses trade, economic arrangements, law enforcement, judicial cooperation and a governance framework including procedures for dispute resolution, among other things. Because the agreement merely sets forth a framework in many respects and requires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spacing w:after="0" w:line="148"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Since January 1, 2021, the UK operates under a distinct regulatory regime to the EU. EU pharmaceutical laws only apply in respect of the UK to Northern Ireland (as set out in the Protocol on Ireland/Northern Ireland). EU laws which have been transposed into UK law through secondary legislation continue to be applicable as “retained EU law”. While the UK has indicated a general intention that new laws regarding the development, manufacture and commercialization of medicinal products in the UK will align closely with EU law, there are limited detailed proposals for future regulation of medicinal products. The trade and cooperation agreement includes specific provisions concerning medicinal products, which include the mutual recognition of cGMP, inspections of manufacturing facilities for medicinal products and cGMP documents issued (such mutual recognition can be rejected by either party in certain circumstances) but does not foresee wholesale mutual recognition of UK and EU pharmaceutical regulations. For example, it is not clear to what extent the UK will adopt legislation aligned with, or similar to, the EU CTR which became applicable on January 31, 2022 and which significantly reforms the assessment and supervision processes for clinical trials throughout the EU. On January 17, 2022, the UK Medicines and Healthcare products Regulatory Agency (“MHRA”) launched an eight-week consultation on reframing the UK legislation for clinical trials which aimed to streamline clinical trials approvals, enable innovation, enhance clinical trials transparency, enable greater risk proportionality, and promote patient and public involvement in clinical trials. The MHRA responded to the consultation on March 21, 2023 and confirmed that it would bring forward changes to the legislation. The final legal texts introduced by the UK Government will ultimately determine the extent to which the UK clinical trials framework aligns with or diverges from the EU CTR. A decision by the UK not to closely align its regulations with the new approach that will be adopted in the EU may have an effect on the cost of conducting clinical trials in the UK as opposed to other countries.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Therefore, there remains political and economic uncertainty regarding to what extent the regulation of medicinal products will differ between the UK and the EU in the future. Any divergences will increase the cost and complexity of running our business, including with respect to the conduct of clinical trials. Brexit also materially impacted the regulatory regime with respect to the approval of our product candidates. Great Britain is no longer covered by the EU’s procedures for the grant of MAs (Northern Ireland is covered by the centralized authorization procedure and can be covered under the decentralized or mutual recognition procedures). As of January 1, 2021, all existing centralized MAs were automatically converted into UK MAs effective in Great Britain and issued with a UK MA number on January 1, 2021 (unless MA holders opted out of this scheme). A separate MA is now required to market drugs in Great Britain. It is currently unclear whether the regulator in the UK, the MHRA, is sufficiently prepared to handle the increased volume of MA applications that it is likely to receive. Any delay in obtaining, or an inability to obtain, any regulatory approvals, as a result of Brexit or otherwise, would prevent us from commercializing our product candidates in Great Britain and restrict our ability to generate revenue and achieve and sustain profitability. If any of these outcomes occur, we may be forced to restrict or delay efforts to seek regulatory approval in Great Britain for our product candidates, which could significantly and materially harm our business. Any of these factors could have a significant adverse effect on our business, financial condition, results of operations and prospects.</w:t>
      </w:r>
    </w:p>
    <w:p>
      <w:pPr>
        <w:spacing w:after="0" w:line="165" w:lineRule="exact"/>
        <w:rPr>
          <w:sz w:val="20"/>
          <w:szCs w:val="20"/>
          <w:color w:val="auto"/>
        </w:rPr>
      </w:pPr>
    </w:p>
    <w:p>
      <w:pPr>
        <w:jc w:val="both"/>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found in violation of federal, state or foreign health care “fraud and abuse” laws, we may be required to pay significant fines and penalties, including, without limitation, debarment, suspension or exclusion from participation in federal, state or similar health care programs, which may adversely affect our business, financial condition and results of operations.</w:t>
      </w:r>
    </w:p>
    <w:p>
      <w:pPr>
        <w:spacing w:after="0" w:line="140"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the U.S., we are subject to various federal and state health care “fraud and abuse” laws, including anti- kickback laws, false claims laws and other laws intended to reduce fraud and abuse in federal and state health care programs, which could affect us, and our ability to successfully commercialize our products in the U.S. We may have to comply with similar laws and regulations outside the U.S. These laws include:</w:t>
      </w:r>
    </w:p>
    <w:p>
      <w:pPr>
        <w:spacing w:after="0" w:line="139" w:lineRule="exact"/>
        <w:rPr>
          <w:sz w:val="20"/>
          <w:szCs w:val="20"/>
          <w:color w:val="auto"/>
        </w:rPr>
      </w:pPr>
    </w:p>
    <w:p>
      <w:pPr>
        <w:ind w:left="720" w:right="219" w:hanging="319"/>
        <w:spacing w:after="0" w:line="256"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w:t>
      </w:r>
    </w:p>
    <w:p>
      <w:pPr>
        <w:spacing w:after="0" w:line="160" w:lineRule="exact"/>
        <w:rPr>
          <w:rFonts w:ascii="Times New Roman" w:cs="Times New Roman" w:eastAsia="Times New Roman" w:hAnsi="Times New Roman"/>
          <w:sz w:val="18"/>
          <w:szCs w:val="18"/>
          <w:color w:val="auto"/>
        </w:rPr>
      </w:pPr>
    </w:p>
    <w:p>
      <w:pPr>
        <w:ind w:left="720" w:right="159" w:hanging="319"/>
        <w:spacing w:after="0" w:line="254"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pacing w:after="0" w:line="147" w:lineRule="exact"/>
        <w:rPr>
          <w:rFonts w:ascii="Times New Roman" w:cs="Times New Roman" w:eastAsia="Times New Roman" w:hAnsi="Times New Roman"/>
          <w:sz w:val="18"/>
          <w:szCs w:val="18"/>
          <w:color w:val="auto"/>
        </w:rPr>
      </w:pPr>
    </w:p>
    <w:p>
      <w:pPr>
        <w:ind w:left="720" w:right="179" w:hanging="319"/>
        <w:spacing w:after="0" w:line="256"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p>
      <w:pPr>
        <w:spacing w:after="0" w:line="146" w:lineRule="exact"/>
        <w:rPr>
          <w:rFonts w:ascii="Times New Roman" w:cs="Times New Roman" w:eastAsia="Times New Roman" w:hAnsi="Times New Roman"/>
          <w:sz w:val="18"/>
          <w:szCs w:val="18"/>
          <w:color w:val="auto"/>
        </w:rPr>
      </w:pPr>
    </w:p>
    <w:p>
      <w:pPr>
        <w:ind w:left="720" w:right="159" w:hanging="319"/>
        <w:spacing w:after="0" w:line="261"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monetary penalties laws, which impose civil fines for,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53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34" w:lineRule="exact"/>
        <w:rPr>
          <w:rFonts w:ascii="Times New Roman" w:cs="Times New Roman" w:eastAsia="Times New Roman" w:hAnsi="Times New Roman"/>
          <w:sz w:val="18"/>
          <w:szCs w:val="18"/>
          <w:color w:val="auto"/>
        </w:rPr>
      </w:pPr>
    </w:p>
    <w:p>
      <w:pPr>
        <w:ind w:left="720" w:right="159" w:hanging="319"/>
        <w:spacing w:after="0" w:line="255"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Patient Protection and Affordable Care Act, (“ACA”), which requires certain manufacturers of drugs, devices, biologics, and medical supplies to report annually to the Centers for Medicare &amp; Medicaid Services (“CMS”) information related to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ownership and investment interests held by physicians and their immediate family members;</w:t>
      </w:r>
    </w:p>
    <w:p>
      <w:pPr>
        <w:spacing w:after="0" w:line="148" w:lineRule="exact"/>
        <w:rPr>
          <w:rFonts w:ascii="Times New Roman" w:cs="Times New Roman" w:eastAsia="Times New Roman" w:hAnsi="Times New Roman"/>
          <w:sz w:val="18"/>
          <w:szCs w:val="18"/>
          <w:color w:val="auto"/>
        </w:rPr>
      </w:pPr>
    </w:p>
    <w:p>
      <w:pPr>
        <w:ind w:left="720" w:right="219" w:hanging="319"/>
        <w:spacing w:after="0" w:line="255"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 care providers and other potential referral sources; and state laws that require drug manufacturers to report information related to payments and other transfers of value to physicians and other health care providers or marketing expenditures and pricing information; and</w:t>
      </w:r>
    </w:p>
    <w:p>
      <w:pPr>
        <w:spacing w:after="0" w:line="148"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including reporting requirements detailing interactions with and payments to health care providers.</w:t>
      </w:r>
    </w:p>
    <w:p>
      <w:pPr>
        <w:spacing w:after="0" w:line="135"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or foreign health care programs, additional reporting obligations and oversight if we become subject to a corporate integrity agreement or other agreement to resolve allegations of non-compliance with these laws, any of which could adversely affect our ability to market our products and adversely impact our financial results.</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maintain sufficient clinical trial liability insurance.</w:t>
      </w:r>
    </w:p>
    <w:p>
      <w:pPr>
        <w:spacing w:after="0" w:line="189" w:lineRule="exact"/>
        <w:rPr>
          <w:sz w:val="20"/>
          <w:szCs w:val="20"/>
          <w:color w:val="auto"/>
        </w:rPr>
      </w:pPr>
    </w:p>
    <w:p>
      <w:pPr>
        <w:ind w:left="60" w:right="159" w:firstLine="324"/>
        <w:spacing w:after="0" w:line="243" w:lineRule="auto"/>
        <w:rPr>
          <w:sz w:val="20"/>
          <w:szCs w:val="20"/>
          <w:color w:val="auto"/>
        </w:rPr>
      </w:pPr>
      <w:r>
        <w:rPr>
          <w:rFonts w:ascii="Times New Roman" w:cs="Times New Roman" w:eastAsia="Times New Roman" w:hAnsi="Times New Roman"/>
          <w:sz w:val="18"/>
          <w:szCs w:val="18"/>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exceeds the limits of our insurance coverage. We have supplemented our clinical trial coverage with product liability coverage in connection with the commercial launch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expect that we would similarly supplement our coverage for any of our other product candidates that may receive regulatory approval, but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98"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gain market acceptance or if we fail to accurately forecast demand or manage our inventories, our business will suffer because we might not be able to fund future operations.</w:t>
      </w:r>
    </w:p>
    <w:p>
      <w:pPr>
        <w:spacing w:after="0" w:line="11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A number of factors may affect the market acceptance of our products or any other products or product candidates we develop or acquire, including, among others:</w:t>
      </w:r>
    </w:p>
    <w:p>
      <w:pPr>
        <w:spacing w:after="0" w:line="121" w:lineRule="exact"/>
        <w:rPr>
          <w:sz w:val="20"/>
          <w:szCs w:val="20"/>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products relative to other products for the same or similar treatments;</w:t>
      </w:r>
    </w:p>
    <w:p>
      <w:pPr>
        <w:spacing w:after="0" w:line="198"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patients, physicians and other members of the health care community of the effectiveness, utility and safety of our products for their indicated applications and treatments;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sales and marketing efforts; and</w:t>
      </w:r>
    </w:p>
    <w:p>
      <w:pPr>
        <w:spacing w:after="0" w:line="184"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including our strategic refocus to hospital/IDNs as part of the Reprioritization.</w:t>
      </w:r>
    </w:p>
    <w:p>
      <w:pPr>
        <w:spacing w:after="0" w:line="135" w:lineRule="exact"/>
        <w:rPr>
          <w:sz w:val="20"/>
          <w:szCs w:val="20"/>
          <w:color w:val="auto"/>
        </w:rPr>
      </w:pPr>
    </w:p>
    <w:p>
      <w:pPr>
        <w:jc w:val="both"/>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27" w:lineRule="exact"/>
        <w:rPr>
          <w:sz w:val="20"/>
          <w:szCs w:val="20"/>
          <w:color w:val="auto"/>
        </w:rPr>
      </w:pPr>
    </w:p>
    <w:p>
      <w:pPr>
        <w:ind w:left="60" w:right="179" w:firstLine="324"/>
        <w:spacing w:after="0" w:line="228" w:lineRule="auto"/>
        <w:rPr>
          <w:sz w:val="20"/>
          <w:szCs w:val="20"/>
          <w:color w:val="auto"/>
        </w:rPr>
      </w:pPr>
      <w:r>
        <w:rPr>
          <w:rFonts w:ascii="Times New Roman" w:cs="Times New Roman" w:eastAsia="Times New Roman" w:hAnsi="Times New Roman"/>
          <w:sz w:val="17"/>
          <w:szCs w:val="17"/>
          <w:color w:val="auto"/>
        </w:rPr>
        <w:t>We plan to continue to commercialize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sublingual film for the acute treatment of agitation associated with schizophrenia or bipolar I or II disorder, to be self-administered by patients under the supervision of a healthcare provider, which is our only approved product to date. However, in connection with the Reprioritization, we significantly reduced the resources devoted to commercialization of IGALMI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it is possible that will have adverse consequences on the revenue that we are able to generate from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Revenues for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the three and six months ended June 30, 2025 were $0.1 million and $0.3 million, respecitvely. If our commercial products do not gain market acceptance, we may not be able to fund future operations, including developing, testing and obtaining regulatory approval for an sNDA for other BXCL501 indications, including in the at-home setting for the acute treatment of agitation (non-daily) associated with dementia due to probable Alzheimer’s disease, or for other product candidates that it may develop. Our results of operations could be materially harmed if we are unable to successfully commercialize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any currently or additionally approved indications or any future product candidates that we may have approved.</w:t>
      </w:r>
    </w:p>
    <w:p>
      <w:pPr>
        <w:spacing w:after="0" w:line="167" w:lineRule="exact"/>
        <w:rPr>
          <w:sz w:val="20"/>
          <w:szCs w:val="20"/>
          <w:color w:val="auto"/>
        </w:rPr>
      </w:pPr>
    </w:p>
    <w:p>
      <w:pPr>
        <w:ind w:left="60" w:right="139" w:firstLine="324"/>
        <w:spacing w:after="0" w:line="215" w:lineRule="auto"/>
        <w:rPr>
          <w:sz w:val="20"/>
          <w:szCs w:val="20"/>
          <w:color w:val="auto"/>
        </w:rPr>
      </w:pPr>
      <w:r>
        <w:rPr>
          <w:rFonts w:ascii="Times New Roman" w:cs="Times New Roman" w:eastAsia="Times New Roman" w:hAnsi="Times New Roman"/>
          <w:sz w:val="18"/>
          <w:szCs w:val="18"/>
          <w:color w:val="auto"/>
        </w:rPr>
        <w:t>Our results of operations could be materially harmed if we are unable to accurately forecast customer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manage our inventory. To ensure adequate inventory supply, we must forecast inventory needs and place orders with our suppliers based on our estimates of future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ability to accurately forecast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could be negatively affected by many factors, including our failure to accurately manage our expansion strategy, product introductions by competitors, an increase or decrease in customer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third-party contract manufacturer may not be able to deliver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or our third-party manufacturers may not be able to allocate sufficient capacity in order to meet our increased requirements, which could have an adverse effect on our ability to meet customer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results of operations.</w:t>
      </w:r>
    </w:p>
    <w:p>
      <w:pPr>
        <w:spacing w:after="0" w:line="184"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We seek to maintain sufficient levels of inventory to protect ourselves from supply interruptions. As a result, we are subject to the risk that a portion of our inventory will become obsolete or expire, which could have a material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adverse effect on our earnings and cash flows due to the resulting costs associated with the inventory impairment charges and costs required to replace such inventory.</w:t>
      </w:r>
    </w:p>
    <w:p>
      <w:pPr>
        <w:spacing w:after="0" w:line="198" w:lineRule="exact"/>
        <w:rPr>
          <w:sz w:val="20"/>
          <w:szCs w:val="20"/>
          <w:color w:val="auto"/>
        </w:rPr>
      </w:pPr>
    </w:p>
    <w:p>
      <w:pPr>
        <w:jc w:val="both"/>
        <w:ind w:left="6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estimated number of episodes of agitation and our corresponding 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p>
      <w:pPr>
        <w:spacing w:after="0" w:line="224" w:lineRule="exact"/>
        <w:rPr>
          <w:sz w:val="20"/>
          <w:szCs w:val="20"/>
          <w:color w:val="auto"/>
        </w:rPr>
      </w:pPr>
    </w:p>
    <w:p>
      <w:pPr>
        <w:ind w:left="60" w:right="139" w:firstLine="324"/>
        <w:spacing w:after="0" w:line="251" w:lineRule="auto"/>
        <w:rPr>
          <w:sz w:val="20"/>
          <w:szCs w:val="20"/>
          <w:color w:val="auto"/>
        </w:rPr>
      </w:pPr>
      <w:r>
        <w:rPr>
          <w:rFonts w:ascii="Times New Roman" w:cs="Times New Roman" w:eastAsia="Times New Roman" w:hAnsi="Times New Roman"/>
          <w:sz w:val="18"/>
          <w:szCs w:val="18"/>
          <w:color w:val="auto"/>
        </w:rPr>
        <w:t>We have based our potential market opportunity on a number of internal and third-party estimates and resources, including, without limitation, management’s estimates and research, as well as industry and general publications and research, surveys and studies conducted by third parties, which may be incorrect. Our estimated potential market opportunity is based on estimates of episodes of agitation across our indications, and these estimated episodes of agitation are also based on internal and third-party estimates and market resources using data self-reported by patients. The conditions supporting our assumptions or estimates and the market data supporting these assumptions and estimates may change at any time or otherwise be inaccurate, thereby reducing the predictive accuracy of these underlying factors. Our total addressable market will ultimately depend upon, among other things, the number of actual treatable episodes, the diagnosis criteria included in the final label for each of our product candidates, if approved for sale for these indications, acceptance by the medical community and patient access, drug pricing and reimbursement. The number of patients and treatable episodes in the United States and other major markets and elsewhere may turn out to be materially lower than expected, the number of treatable episodes may be significantly fewer than total episodes experienced, patients may not be otherwise amenable to treatment with our product candidates or new patients may become increasingly difficult to identify or gain access to, all of which would harm our results of operations and our business. For example, our estimates of the monthly average episodes for patients diagnosed with bipolar disorder and patients diagnosed with schizophrenia and, therefore, our estimated total addressable market are based on third-party market surveys which differ from an observational study in the EU of inhaled loxapine for the treatment of agitation in patients with schizophrenia or bipolar disorder conducted which found that only 40% of enrolled patients reported agitation episodes in the six-month study period. If third-party or internally generated data prove to be inaccurate or we make errors in our assumptions based on that data, our total addressable market may be meaningfully smaller than we have estimated, our future growth opportunities and sales growth may be impaired, any of which could have a material adverse effect on our business, financial condition and results of operations.</w:t>
      </w:r>
    </w:p>
    <w:p>
      <w:pPr>
        <w:spacing w:after="0" w:line="161"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obtained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4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and EU,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U.S., or a patient population greater than 200,000 individuals in the U.S. where there is no reasonable expectation that the cost of developing the drug will be recovered from sales in the U.S. In the EU, orphan drug designation is granted by the European Commission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orphan drug exclusivity. Orphan drug exclusivity in the U.S. provides that the FDA may not approve any other applications, including a full NDA, to market the same drug for the same disease or condition for seven years. In limited circumstances, the applicable exclusivity period is 10 years in the EU. The EU exclusivity period can be reduced to six years if, at the end of the fifth year, it is established that a drug no longer meets the criteria for orphan drug designation or if the drug is sufficiently profitable so that market exclusivity is no longer justified.</w:t>
      </w:r>
    </w:p>
    <w:p>
      <w:pPr>
        <w:spacing w:after="0" w:line="165"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diseases or conditions or for other product candidates. There can be no assurances that we will be able to obtain such designations.</w:t>
      </w:r>
    </w:p>
    <w:p>
      <w:pPr>
        <w:spacing w:after="0" w:line="143"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disease or condition before we do. If that were to happen, our applications for that disease or condition may not be approved until the competing company’s period of exclusivity expires. In addition, exclusive marketing rights in the U.S. and abroad may be limited if we seek approval for an indication broader than the orphan-designated disease or condition or may be lost if the FDA or foreign regulatory authorities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ingredients may be approved for the same disease or condition. Even after an orphan drug is approved, the FDA or foreign regulatory authorities can subsequently approve the same drug with the same active ingredient for the same condition if the FDA or foreign regulatory authorities conclude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or regulatory review time of a drug, nor gives the drug any advantage in the regulatory review or approval process and does not prevent competitors from obtaining approval of the same product candidate as ours for indications other than those in which we have been granted orphan drug designation.</w:t>
      </w:r>
    </w:p>
    <w:p>
      <w:pPr>
        <w:spacing w:after="0" w:line="145" w:lineRule="exact"/>
        <w:rPr>
          <w:sz w:val="20"/>
          <w:szCs w:val="20"/>
          <w:color w:val="auto"/>
        </w:rPr>
      </w:pPr>
    </w:p>
    <w:p>
      <w:pPr>
        <w:ind w:left="60" w:right="619"/>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satisfactory sales and marketing capabilities, we may not succeed in commercializing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or any product candidate for which we may obtain regulatory approval.</w:t>
      </w:r>
    </w:p>
    <w:p>
      <w:pPr>
        <w:spacing w:after="0" w:line="18" w:lineRule="exact"/>
        <w:rPr>
          <w:sz w:val="20"/>
          <w:szCs w:val="20"/>
          <w:color w:val="auto"/>
        </w:rPr>
      </w:pPr>
    </w:p>
    <w:p>
      <w:pPr>
        <w:ind w:left="60" w:right="179" w:firstLine="324"/>
        <w:spacing w:after="0" w:line="238" w:lineRule="auto"/>
        <w:rPr>
          <w:sz w:val="20"/>
          <w:szCs w:val="20"/>
          <w:color w:val="auto"/>
        </w:rPr>
      </w:pPr>
      <w:r>
        <w:rPr>
          <w:rFonts w:ascii="Times New Roman" w:cs="Times New Roman" w:eastAsia="Times New Roman" w:hAnsi="Times New Roman"/>
          <w:sz w:val="18"/>
          <w:szCs w:val="18"/>
          <w:color w:val="auto"/>
        </w:rPr>
        <w:t>We have limited experience in marketing and selling drug products. We have not entered into arrangements for the sale and marketing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BXCL502, BXCL701, BXCL702 or any other product candidate. Typically, pharmaceutical companies would employ groups of sales representatives and associated sales and marketing staff numbering in the hundreds to thousands of individuals to call on the large number of physicians and hospitals. Following our Reprioritization, we may need to rebuild a commercial sales and marketing team if we seek to modify our commercial strategy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initiate commercial sales for any product candidate in the future, which will likely require significant cost. We may seek to collaborate with a third-party to market our drugs or may seek to market and sell our drugs by ourselves. If we seek to collaborate with a third-party, we cannot be sure that a collaborative agreement can be reached on terms acceptable to us. We may also need to hire additional personnel skilled in marketing and sales for our direct marketing and selling efforts. We cannot be sure that we will be able to acquire, or establish third-party relationships to provide, any or all of these marketing and sales capabilities. The maintenance and expansion of our direct sales force or establishment of a contract sales force, or a combination thereof, as applicable, to market our products is expensive and time-consuming and could delay any product launch. In addition, reputational harm from the Reprioritization may adversely impact our efforts to hire personnel skilled in marketing and sales. Further, we can give no assurances that we will be able to maintain a direct and/or contract sales force for any period of time or that our sales efforts will be sufficient to grow our revenues or that our sales efforts will ever lead to profits. A direct sales force has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in the past subjected and may in the future subject us to higher fixed costs than those of companies that market competing products through independent third parties, due to the costs that we bear associated with employee benefits, training, and managing sales personnel. As a result, we could be at a competitive disadvantage. Additionally, these fixed costs may slow our ability to reduce costs if needed, which could have a material adverse effect on our business, financial condition, and results of operations.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rapidly changing industry.</w:t>
      </w:r>
    </w:p>
    <w:p>
      <w:pPr>
        <w:spacing w:after="0" w:line="189" w:lineRule="exact"/>
        <w:rPr>
          <w:sz w:val="20"/>
          <w:szCs w:val="20"/>
          <w:color w:val="auto"/>
        </w:rPr>
      </w:pPr>
    </w:p>
    <w:p>
      <w:pPr>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U.S., the EU and other jurisdictions.</w:t>
      </w:r>
    </w:p>
    <w:p>
      <w:pPr>
        <w:spacing w:after="0" w:line="148"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6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39" w:lineRule="exact"/>
        <w:rPr>
          <w:sz w:val="20"/>
          <w:szCs w:val="20"/>
          <w:color w:val="auto"/>
        </w:rPr>
      </w:pPr>
    </w:p>
    <w:p>
      <w:pPr>
        <w:ind w:left="60" w:right="299" w:firstLine="324"/>
        <w:spacing w:after="0" w:line="256" w:lineRule="auto"/>
        <w:rPr>
          <w:sz w:val="20"/>
          <w:szCs w:val="20"/>
          <w:color w:val="auto"/>
        </w:rPr>
      </w:pPr>
      <w:r>
        <w:rPr>
          <w:rFonts w:ascii="Times New Roman" w:cs="Times New Roman" w:eastAsia="Times New Roman" w:hAnsi="Times New Roman"/>
          <w:sz w:val="18"/>
          <w:szCs w:val="18"/>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47"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products and product candidates, if any, that we commercialize. The inability to compete with existing or subsequently introduced drugs would harm our business, financial condition and results of operations.</w:t>
      </w:r>
    </w:p>
    <w:p>
      <w:pPr>
        <w:spacing w:after="0" w:line="137" w:lineRule="exact"/>
        <w:rPr>
          <w:sz w:val="20"/>
          <w:szCs w:val="20"/>
          <w:color w:val="auto"/>
        </w:rPr>
      </w:pPr>
    </w:p>
    <w:p>
      <w:pPr>
        <w:ind w:left="60" w:right="599"/>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Although we obtained FDA approval for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our products and product candidates may not be accepted by physicians or the medical community in general, and there may be insufficient insurance coverage and reimbursement.</w:t>
      </w:r>
    </w:p>
    <w:p>
      <w:pPr>
        <w:spacing w:after="0" w:line="150" w:lineRule="exact"/>
        <w:rPr>
          <w:sz w:val="20"/>
          <w:szCs w:val="20"/>
          <w:color w:val="auto"/>
        </w:rPr>
      </w:pPr>
    </w:p>
    <w:p>
      <w:pPr>
        <w:ind w:left="60" w:right="259" w:firstLine="324"/>
        <w:spacing w:after="0" w:line="226" w:lineRule="auto"/>
        <w:rPr>
          <w:sz w:val="20"/>
          <w:szCs w:val="20"/>
          <w:color w:val="auto"/>
        </w:rPr>
      </w:pPr>
      <w:r>
        <w:rPr>
          <w:rFonts w:ascii="Times New Roman" w:cs="Times New Roman" w:eastAsia="Times New Roman" w:hAnsi="Times New Roman"/>
          <w:sz w:val="18"/>
          <w:szCs w:val="18"/>
          <w:color w:val="auto"/>
        </w:rPr>
        <w:t>There can be no assurance that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or BXCL501, BXCL502, BXCL701, BXCL702 and our other product candidates or any other product candidate successfully developed by us, independently or with partners, if approved, will be accepted by physicians, hospitals and other health care facilities.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competes, and BXCL501, BXCL502, BXCL701, BXCL702 and any future product candidates we develop will compete, with a number of products manufactured and marketed by major pharmaceutical and biotechnology companies. The degree of market acceptance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drugs we develop depends on a number of factors, including:</w:t>
      </w:r>
    </w:p>
    <w:p>
      <w:pPr>
        <w:spacing w:after="0" w:line="50" w:lineRule="exact"/>
        <w:rPr>
          <w:sz w:val="20"/>
          <w:szCs w:val="20"/>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demonstration of the clinical efficacy and safety of our products and product candidates;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approval and commercial launch of our products and product candidates;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products and product candidates are approved;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 and package insert requirements;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advantages and disadvantages of our products and product candidates compared to existing therapies;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interest in and growth of the market for anti-cancer or anti-agitation drugs;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marketing, and distribution support;</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pricing in absolute terms and relative to alternative treatments;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health care laws, regulations, and medical policies; and</w:t>
      </w:r>
    </w:p>
    <w:p>
      <w:pPr>
        <w:spacing w:after="0" w:line="184" w:lineRule="exact"/>
        <w:rPr>
          <w:rFonts w:ascii="Times New Roman" w:cs="Times New Roman" w:eastAsia="Times New Roman" w:hAnsi="Times New Roman"/>
          <w:sz w:val="18"/>
          <w:szCs w:val="18"/>
          <w:color w:val="auto"/>
        </w:rPr>
      </w:pPr>
    </w:p>
    <w:p>
      <w:pPr>
        <w:ind w:left="720" w:right="95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reimbursement in select jurisdictions, and future changes to coverage and reimbursement policies of government and third-party payors.</w:t>
      </w:r>
    </w:p>
    <w:p>
      <w:pPr>
        <w:spacing w:after="0" w:line="127" w:lineRule="exact"/>
        <w:rPr>
          <w:sz w:val="20"/>
          <w:szCs w:val="20"/>
          <w:color w:val="auto"/>
        </w:rPr>
      </w:pPr>
    </w:p>
    <w:p>
      <w:pPr>
        <w:ind w:left="60" w:right="159" w:firstLine="324"/>
        <w:spacing w:after="0" w:line="217"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any product candidate for which we obtain regulatory approval. In the U.S. and other countries,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products for which we receive regulatory approval for commercial sale will depend in part on the availability of coverage and reimbursement from third-party payors. Third-party payors include government health administrative authorities, such as Medicaid and Medicare, managed care providers, private health insurers and other organizations.</w:t>
      </w:r>
    </w:p>
    <w:p>
      <w:pPr>
        <w:spacing w:after="0" w:line="161" w:lineRule="exact"/>
        <w:rPr>
          <w:sz w:val="20"/>
          <w:szCs w:val="20"/>
          <w:color w:val="auto"/>
        </w:rPr>
      </w:pPr>
    </w:p>
    <w:p>
      <w:pPr>
        <w:ind w:left="60" w:right="159" w:firstLine="324"/>
        <w:spacing w:after="0" w:line="231"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It will be time consuming and expensive for us to go through the process of seeking coverage and reimbursement from Medicare and private payors.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products for which we receive regulatory approval may not be considered cost-effective, and coverage and reimbursement may not be available or sufficient to allow us to sell our proposed products on a profitable basis. Further federal, state and foreign government proposals and health care reforms are likely which could limit the prices that can be charged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the product candidates that we develop and may further limit our commercial opportunities. Our results of operations could be materially adversely affected by proposed health care reforms, by the Inflation Reduction Act and other drug pricing legislation in the U.S., by the possible effect of such current or future legislation on amounts that private insurers will pay and by other health care reforms that may be enacted or adopted in the future.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hinder or prevent our product candidates’ commercial success.</w:t>
      </w:r>
    </w:p>
    <w:p>
      <w:pPr>
        <w:spacing w:after="0" w:line="202" w:lineRule="exact"/>
        <w:rPr>
          <w:sz w:val="20"/>
          <w:szCs w:val="20"/>
          <w:color w:val="auto"/>
        </w:rPr>
      </w:pPr>
    </w:p>
    <w:p>
      <w:pPr>
        <w:ind w:left="60" w:right="179" w:firstLine="324"/>
        <w:spacing w:after="0" w:line="238" w:lineRule="auto"/>
        <w:rPr>
          <w:sz w:val="20"/>
          <w:szCs w:val="20"/>
          <w:color w:val="auto"/>
        </w:rPr>
      </w:pPr>
      <w:r>
        <w:rPr>
          <w:rFonts w:ascii="Times New Roman" w:cs="Times New Roman" w:eastAsia="Times New Roman" w:hAnsi="Times New Roman"/>
          <w:sz w:val="18"/>
          <w:szCs w:val="18"/>
          <w:color w:val="auto"/>
        </w:rPr>
        <w:t>The U.S. government and other governments have shown significant interest in pursuing health care reform. Any government-adopted reform measures could adversely impact the pricing of health care products and services in the U.S. or internationally and the amount of reimbursement available from governmental agencies or other third-party payors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the product candidates that we develop.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5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New laws, regulations and judicial decisions, or new interpretations of existing laws, regulations and decisions, that relate to health 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U.S., new health care legislation or fiscal challenges faced by government health administration authorities. Specifically, in both the U.S. and some foreign jurisdictions, there have been a number of legislative and regulatory proposals to change the health care system in ways that could affect our ability to sell our products profitably.</w:t>
      </w:r>
    </w:p>
    <w:p>
      <w:pPr>
        <w:spacing w:after="0" w:line="151"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For example, in the U.S., the ACA, which was enacted in 2010, has substantially changed the way health care is financed by both government health plans and private insurers, and significantly impacts the pharmaceutical industry. For example, the ACA imposed a non-deductible excise tax on pharmaceutical manufacturers or importers that sell branded prescription drugs to government programs. In addition, as part of the ACA’s provisions closing a funding gap</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that existed in the Medicare Part D prescription drug program, manufacturers are required to provide a discount on branded prescription drugs for drugs provided to certain beneficiaries who fall within the “donut hole.” Similarly, the ACA increased the level of Medicaid rebates payable by manufacturers of brand-name drugs from 15.1% to 23.1% of the average manufacturer price and required collection of rebates for drugs paid by Medicaid managed care organizations. The ACA also included changes to the Public Health Service’s 340B drug pricing program (the “340B program”) including expansion of the list of eligible covered entities that may purchase drugs under the program.</w:t>
      </w:r>
    </w:p>
    <w:p>
      <w:pPr>
        <w:spacing w:after="0" w:line="160"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which enacts significant changes to Medicaid and rescinds or does not continue major elements of the ACA. The legislation is projected to significantly reduce federal healthcare spending over the next decade due to a likely increase in the number of uninsured individuals. The Company is still evaluating the impact of OBBBA.</w:t>
      </w:r>
    </w:p>
    <w:p>
      <w:pPr>
        <w:spacing w:after="0" w:line="13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U.S. since the ACA was enacted. These changes include the Budget Control Act of 2011, which resulted in aggregate reductions of Medicare payments to providers, which went into effect on April 1, 2013, and, due to subsequent legislative amendments to the statute, will remain in effect through 2032, unless additional Congressional action is taken. Furthermore, the American Taxpayer Relief Act of 2012, further reduced Medicare payments to several types of providers, including hospitals, and increased the statute of limitations period for the government to recover overpayments to providers from three to five years. More recently, on March 11, 2021, President Biden signed the American Rescue Plan Act of 2021 into law, which eliminates the statutory Medicaid drug rebate cap, beginning January 1, 2024.</w:t>
      </w:r>
    </w:p>
    <w:p>
      <w:pPr>
        <w:spacing w:after="0" w:line="151"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As of January 17, 2025, HHS announced it will begin price negotiations for a list of fifteen additional drugs. HHS has issued and will continue to issue guidance implementing the IRA, although the Medicare drug price negotiation program is currently subject to legal challenges. While the impact of the IRA on the pharmaceutical industry and our business cannot yet be fully determined, it is likely to be significant.</w:t>
      </w:r>
    </w:p>
    <w:p>
      <w:pPr>
        <w:spacing w:after="0" w:line="163"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Further, on January 20, 2025, President Trump reversed some of President Biden’s executive orders including rescinding Executive Order 14087 entitled “Lowering Prescription Drug Costs for Americans.” President Trump may issue new executive orders designed to impact drug pricing, and/or rescind or modify the previous administration’s efforts to address drug costs. A number of these and other proposed measures may require authorization through additional legislation to become effective. Congress and the Trump administration have indicated that they will continue to seek new legislative measures to control drug costs.</w:t>
      </w:r>
    </w:p>
    <w:p>
      <w:pPr>
        <w:spacing w:after="0" w:line="18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cost of prescription pharmaceuticals in the U.S. will likely continue to be the subject of considerable discussion. Members of Congress and the Biden Administration have indicated they will continue to pursue further legislative or administrative measures to control prescription drug costs.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48"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Individual states in the U.S.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1" w:lineRule="auto"/>
        <w:rPr>
          <w:sz w:val="20"/>
          <w:szCs w:val="20"/>
          <w:color w:val="auto"/>
        </w:rPr>
      </w:pPr>
      <w:r>
        <w:rPr>
          <w:rFonts w:ascii="Times New Roman" w:cs="Times New Roman" w:eastAsia="Times New Roman" w:hAnsi="Times New Roman"/>
          <w:sz w:val="17"/>
          <w:szCs w:val="17"/>
          <w:color w:val="auto"/>
        </w:rPr>
        <w:t>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Furthermore, there has been increased interest by third-party payors and governmental authorities in reference pricing systems and publication of discounts and list prices.</w:t>
      </w:r>
    </w:p>
    <w:p>
      <w:pPr>
        <w:spacing w:after="0" w:line="146" w:lineRule="exact"/>
        <w:rPr>
          <w:sz w:val="20"/>
          <w:szCs w:val="20"/>
          <w:color w:val="auto"/>
        </w:rPr>
      </w:pPr>
    </w:p>
    <w:p>
      <w:pPr>
        <w:ind w:left="60" w:right="199" w:firstLine="324"/>
        <w:spacing w:after="0" w:line="239"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U.S. and foreign governments will continue to consider changes to existing health care legislation. We cannot predict the reform initiatives that may be adopted in the future or whether initiatives that have been adopted will be repealed or modified. The continuing efforts of governments, insurance companies, managed care organizations and other payors of health care services to contain or reduce costs of health care may adversely affect the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drug products for which we may obtain 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16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U.S. and EU, reimbursement and healthcare payment systems vary significantly by country, and many countries have instituted price ceilings on specific products and therapies.</w:t>
      </w:r>
    </w:p>
    <w:p>
      <w:pPr>
        <w:spacing w:after="0" w:line="147"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59" w:lineRule="exact"/>
        <w:rPr>
          <w:sz w:val="20"/>
          <w:szCs w:val="20"/>
          <w:color w:val="auto"/>
        </w:rPr>
      </w:pPr>
    </w:p>
    <w:p>
      <w:pPr>
        <w:ind w:left="6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spacing w:after="0" w:line="180" w:lineRule="exact"/>
        <w:rPr>
          <w:sz w:val="20"/>
          <w:szCs w:val="20"/>
          <w:color w:val="auto"/>
        </w:rPr>
      </w:pPr>
    </w:p>
    <w:p>
      <w:pPr>
        <w:ind w:left="60" w:right="419" w:firstLine="324"/>
        <w:spacing w:after="0" w:line="312" w:lineRule="auto"/>
        <w:rPr>
          <w:sz w:val="20"/>
          <w:szCs w:val="20"/>
          <w:color w:val="auto"/>
        </w:rPr>
      </w:pPr>
      <w:r>
        <w:rPr>
          <w:rFonts w:ascii="Times New Roman" w:cs="Times New Roman" w:eastAsia="Times New Roman" w:hAnsi="Times New Roman"/>
          <w:sz w:val="17"/>
          <w:szCs w:val="17"/>
          <w:color w:val="auto"/>
        </w:rPr>
        <w:t>We participate in the Medicaid Drug Rebate Program (“MDRP”) and other federal and state government pricing programs in the U.S., and we may participate in additional government pricing programs in the future. These programs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44" w:lineRule="auto"/>
        <w:rPr>
          <w:sz w:val="20"/>
          <w:szCs w:val="20"/>
          <w:color w:val="auto"/>
        </w:rPr>
      </w:pPr>
      <w:r>
        <w:rPr>
          <w:rFonts w:ascii="Times New Roman" w:cs="Times New Roman" w:eastAsia="Times New Roman" w:hAnsi="Times New Roman"/>
          <w:sz w:val="18"/>
          <w:szCs w:val="18"/>
          <w:color w:val="auto"/>
        </w:rPr>
        <w:t>generally require manufacturers to pay rebates or otherwise provide discounts to government payors in connection with drugs that are dispensed to beneficiaries of these programs. As a condition of having federal funds being made available for covered outpatient drugs under Medicaid and Medicare Part B, a manufacturer must enroll in the MDRP. Under this program, we must pay a rebate to state Medicaid programs for each unit of our covered outpatient drug dispensed to a Medicaid beneficiary and paid for by a state Medicaid program. Medicaid drug rebates are based on pricing data that we must report on a monthly and quarterly basis to CMS. For the MDRP, this data includes the average manufacturer price (“AMP”) for each drug and, in the case of an innovator product, like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best price. If we become aware that our MDRP price reporting submission for a prior period was incorrect or has changed as a result of recalculation of the pricing data, we must resubmit the corrected data for up to three years after the data originally was due. Further, under the IRA, AMP figures we report will also be used to calculate a rebate on Medicare Part D utilization, triggered by price increases that outpace inflation.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outpatient drugs under Medicaid or, if applicable, Medicare Part B. Failure to make necessary disclosures and/or to identify overpayments additionally could result in allegations against us under the Federal False Claims Act and other laws and regulations.</w:t>
      </w:r>
    </w:p>
    <w:p>
      <w:pPr>
        <w:spacing w:after="0" w:line="179"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Federal law requires that a manufacturer that participates in the MDRP also participate in the 340B program in order for federal funds to be available for the manufacturer’s drugs under Medicaid and Medicare Part B, and we participate in the 340B program. The 340B program is administered by the Health Resources and Services Administration (“HRSA”) and requires us to charge statutorily defined covered entities no more than the 340B “ceiling price” for our covered outpatient drugs used in an outpatient setting. These 340B program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 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program discounted pricing on drugs used in an inpatient setting.</w:t>
      </w:r>
    </w:p>
    <w:p>
      <w:pPr>
        <w:spacing w:after="0" w:line="151"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order to be eligible to have drug products paid for with federal funds under Medicaid and Medicare Part B and purchased by certain federal agencies and grantees, we also must participate in the U.S. Department of Veterans Affairs (“VA”) Federal Supply Schedule (“FSS”) pricing program. Under the VA/FSS program, we must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pacing w:after="0" w:line="148"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39"/>
        <w:spacing w:after="0" w:line="282" w:lineRule="auto"/>
        <w:rPr>
          <w:sz w:val="20"/>
          <w:szCs w:val="20"/>
          <w:color w:val="auto"/>
        </w:rPr>
      </w:pPr>
      <w:r>
        <w:rPr>
          <w:rFonts w:ascii="Times New Roman" w:cs="Times New Roman" w:eastAsia="Times New Roman" w:hAnsi="Times New Roman"/>
          <w:sz w:val="18"/>
          <w:szCs w:val="18"/>
          <w:color w:val="auto"/>
        </w:rPr>
        <w:t>we are found to have violated state law requirements, we may become subject to penalties or other enforcement mechanisms, which could have a material adverse effect on our business.</w:t>
      </w:r>
    </w:p>
    <w:p>
      <w:pPr>
        <w:spacing w:after="0" w:line="135" w:lineRule="exact"/>
        <w:rPr>
          <w:sz w:val="20"/>
          <w:szCs w:val="20"/>
          <w:color w:val="auto"/>
        </w:rPr>
      </w:pPr>
    </w:p>
    <w:p>
      <w:pPr>
        <w:ind w:left="60" w:right="179" w:firstLine="324"/>
        <w:spacing w:after="0" w:line="269" w:lineRule="auto"/>
        <w:rPr>
          <w:sz w:val="20"/>
          <w:szCs w:val="20"/>
          <w:color w:val="auto"/>
        </w:rPr>
      </w:pPr>
      <w:r>
        <w:rPr>
          <w:rFonts w:ascii="Times New Roman" w:cs="Times New Roman" w:eastAsia="Times New Roman" w:hAnsi="Times New Roman"/>
          <w:sz w:val="17"/>
          <w:szCs w:val="17"/>
          <w:color w:val="auto"/>
        </w:rPr>
        <w:t>Pricing and rebate calculations are complex, vary among products and programs, and are often subject to interpretation by manufacturers,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may be required to offer products under the 340B program. Civil monetary penalties can be applied if we are found to have knowingly submitted any false price or product information to the government, if we fail to submit required price data on a timely basis, or if we are found to have charged 340B program covered entities more than the statutorily mandated ceiling price. In the event that CMS were to terminate our Medicaid rebate agreement, pursuant to which we participate in the MDRP, no federal payments would be available under Medicaid or Medicare for our covered outpatient drugs. We cannot assure you that price data submissions we make will not be found to be incomplete or incorrect.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BioXcel LLC</w:t>
      </w:r>
    </w:p>
    <w:p>
      <w:pPr>
        <w:spacing w:after="0" w:line="185"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BioXcel LLC has significant influence over the direction of our business, and the concentrated ownership of our common stock will prevent you and other stockholders from influencing significant decisions.</w:t>
      </w:r>
    </w:p>
    <w:p>
      <w:pPr>
        <w:spacing w:after="0" w:line="13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As of June 30, 2025, BioXcel LLC owned approximately 7.3% of the economic interest and voting power of our outstanding common stock and BioXcel LLC is controlled by BioXcel Holdings, Inc. Our Chief Executive Officer and member of our board of directors, Vimal Mehta, Ph.D., is the Chief Executive Officer, President, Treasurer and Secretary and a member of the board of managers of BioXcel LLC and Chief Executive Officer, President, Treasurer and Secretary and the sole member of the board of directors of BioXcel Holdings, Inc. See “</w:t>
      </w:r>
      <w:r>
        <w:rPr>
          <w:rFonts w:ascii="Times New Roman" w:cs="Times New Roman" w:eastAsia="Times New Roman" w:hAnsi="Times New Roman"/>
          <w:sz w:val="18"/>
          <w:szCs w:val="18"/>
          <w:i w:val="1"/>
          <w:iCs w:val="1"/>
          <w:color w:val="auto"/>
        </w:rPr>
        <w:t>The management of and 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in BioXcel LLC by our executive officers and our directors may create, or may create the appearance of, conflicts of interest.</w:t>
      </w:r>
      <w:r>
        <w:rPr>
          <w:rFonts w:ascii="Times New Roman" w:cs="Times New Roman" w:eastAsia="Times New Roman" w:hAnsi="Times New Roman"/>
          <w:sz w:val="18"/>
          <w:szCs w:val="18"/>
          <w:color w:val="auto"/>
        </w:rPr>
        <w:t>” below. Even though BioXcel LLC controls less than a majority of the voting power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common stock, it may influence the outcome of such corporate actions so long as it owns a significant portion of our common stock.</w:t>
      </w:r>
    </w:p>
    <w:p>
      <w:pPr>
        <w:spacing w:after="0" w:line="144" w:lineRule="exact"/>
        <w:rPr>
          <w:sz w:val="20"/>
          <w:szCs w:val="20"/>
          <w:color w:val="auto"/>
        </w:rPr>
      </w:pPr>
    </w:p>
    <w:p>
      <w:pPr>
        <w:jc w:val="both"/>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Approval of commercial terms between us and BioXcel LLC does not preclude the possibility of stockholder litigation, including but not limited to derivative litigation nominally against BioXcel LLC and against its directors and officers and also against us and our directors and officers.</w:t>
      </w:r>
    </w:p>
    <w:p>
      <w:pPr>
        <w:spacing w:after="0" w:line="134"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commercial terms of the Separation and Shared Services Agreement (as amended and/or restated and in effect as of the date hereof, the “Services Agreement”), and the Amended and Restated Asset Contribution Agreement (as amended and/or restated and in effect as of the date hereof, the “Contribution Agreement”), that we entered into with BioXcel LLC have not been negotiated by persons consisting solely of disinterested directors.</w:t>
      </w:r>
    </w:p>
    <w:p>
      <w:pPr>
        <w:spacing w:after="0" w:line="15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No assurance can be given that any equity or debt holder of BioXcel LLC or the Company will not claim in a lawsuit that such terms in fact are not in the best interests of BioXcel LLC or the Company and its applicable equity holders, that the directors and officers of BioXcel LLC or the Company breached their fiduciary duties in connection with such agreements and that any disclosures by the Company to its stockholders regarding these agreements and the relationship between BioXcel LLC and us did not satisfy applicable requirements. In any such instance, we and our directors and officers may also be named as defendants and we would have to defend ourselves and our directors and officers. While we would seek indemnification from BioXcel LLC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continue to depend on BioXcel LLC to provide us with certain services for our business.</w:t>
      </w:r>
    </w:p>
    <w:p>
      <w:pPr>
        <w:spacing w:after="0" w:line="202"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We rely, in part, on BioXcel LLC and access to its EvolverAI, to complement our in-house, uniquely integrated AI-to-drug-development capability. EvolverAI is a research and development engine created and owned by BioXcel LLC, to identify, research and develop potential product candidates in neuroscience and immuno-oncology. We negotiated the Services Agreement with BioXcel LLC pursuant to which BioXcel LLC agreed to perform certain intellectual property prosecution and management and research and development activities for us utilizing its EvolverAI.</w:t>
      </w:r>
    </w:p>
    <w:p>
      <w:pPr>
        <w:spacing w:after="0" w:line="143"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Under the Services Agreement, we had an option, exercisable until December 31, 2024, to enter into a separate collaborative services agreement with BioXcel LLC pursuant to which BioXcel LLC shall perform product identification and related services for us utilizing its EvolverAI. We agreed to pay BioXcel LLC $18,000 per month from March 13, 2023, to December 31, 2024 in exchange for this option. We agreed to negotiate any such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 million in the aggregate and not be payable prior to proof of concept in humans and (ii) commercialization milestone payments shall be based on reaching annual net sales levels, be limited to 3% of the applicable net sales level, and not exceed $30 million in the aggregate. We did not exercise this option, which expired on December 31, 2024.</w:t>
      </w:r>
    </w:p>
    <w:p>
      <w:pPr>
        <w:spacing w:after="0" w:line="15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at the time of our initial public offering (“IPO”), BioXcel LLC granted us (i) a first right to negotiate exclusive rights to any additional product candidates in the fields of neuroscience and immuno-oncology that BioXcel LLC may identify on its own and not in connection with BioXcel LLC’s provision of services to us under the Services Agreement and (ii) an exclusivity agreement in the neuroscience and immuno-oncology fields whereby BioXcel LLC agreed not develop drugs, or engage in preclinical discovery for the purpose of developing drugs, in the neuroscience and immuno-oncology fields for or on behalf of a third party, utilizing EvolverAI or otherwise. This first right to negotiate and exclusivity period expired on March 12, 2023, and there is no assurance that we will extend the terms of the agreement. We are continuing to assess our ongoing business needs.</w:t>
      </w:r>
    </w:p>
    <w:p>
      <w:pPr>
        <w:spacing w:after="0" w:line="165"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On September 19, 2023, the Company, Krishnan Nandabalan, Ph.D., InveniAI LLC (“Inveni”) and Invea Therapeutics, Inc. (“Invea”) and the other parties thereto entered into a non-compete agreement pursuant to which Dr. Nandabalan, Inveni and Invea agreed not to compete with the Company and its controlled affiliates in the fields of neuroscience and immuno-oncology for a period of five years from September 19, 2023 and not to solicit employees of the Company or its controlled affiliates for a period of two years from September 19, 2023. Inveni and Invea are subsidiaries of BioXcel LLC.</w:t>
      </w:r>
    </w:p>
    <w:p>
      <w:pPr>
        <w:spacing w:after="0" w:line="147"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If our rights under the Services Agreement were to become limited or if we are otherwise precluded from conducting research and development using EvolverAI, or if BioXcel LLC, Inveni or Invea do not fulfill their obligations under the agreements, such development could materially adversely affect our future operating results, financial condition, and prospects. Furthermore, certain individuals conducting services on our behalf are not our employees, and we cannot control whether they devote sufficient time, skill and resources to our ongoing development programs. We also cannot ensure that BioXcel LLC retains sufficient resources or personnel or otherwise to conduct its operations. BioXcel LLC may also have relationships with other commercial entities, including our competitors, for whom they may also be conducting research and development activities, which could impede their ability to devote appropriate time to our research and development programs. BioXcel LLC is not currently restricted from using EvolverAI to perform drug discovery services for our direct competitors, and if we do not extend the exclusivity period in the neuroscience and immuno-oncology fields, this could harm our competitive position and adversely affect our future operating results and financial condition.</w:t>
      </w:r>
    </w:p>
    <w:p>
      <w:pPr>
        <w:spacing w:after="0" w:line="145"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management of and beneficial ownership in BioXcel LLC may create, or may create the appearance of, conflicts of interest.</w:t>
      </w:r>
    </w:p>
    <w:p>
      <w:pPr>
        <w:spacing w:after="0" w:line="132"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Our Chief Executive Officer and member of our board of directors, Vimal Mehta, Ph.D., is the Chief Executive Officer, President, Treasurer and Secretary and a member of the board of managers of BioXcel LLC and Chief Executive Officer, President, Treasurer and Secretary and the sole member of the board of directors of BioXcel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Holdings, Inc. Additionally, as of June 30, 2025, Dr. Mehta, through his beneficial ownership of BioXcel LLC, beneficially owned approximately 7.4% of the Company. The management and ownership of BioXcel LLC by Dr. Mehta may create the appearance of conflicts of interest when Dr. Mehta is faced with decisions that could have different implications for BioXcel LLC than the decisions have for us, including decisions that relate to our Services Agreement and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 and expose us to litigation risk.</w:t>
      </w:r>
    </w:p>
    <w:p>
      <w:pPr>
        <w:spacing w:after="0" w:line="188"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disputes that arise between us and BioXcel LLC with respect to our past and ongoing relationships could harm our business operations.</w:t>
      </w:r>
    </w:p>
    <w:p>
      <w:pPr>
        <w:spacing w:after="0" w:line="13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Disputes may arise between BioXcel LLC and us in a number of areas relating to our past and ongoing relationships, including:</w:t>
      </w:r>
    </w:p>
    <w:p>
      <w:pPr>
        <w:spacing w:after="0" w:line="121" w:lineRule="exact"/>
        <w:rPr>
          <w:sz w:val="20"/>
          <w:szCs w:val="20"/>
          <w:color w:val="auto"/>
        </w:rPr>
      </w:pPr>
    </w:p>
    <w:p>
      <w:pPr>
        <w:ind w:left="720" w:right="3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technology and business matters, including failure to make required technology transfers and failure to comply with contractual provisions applicable to BioXcel LLC and us;</w:t>
      </w:r>
    </w:p>
    <w:p>
      <w:pPr>
        <w:spacing w:after="0" w:line="121"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tax, employee benefit, indemnification and other matters arising from the separation of BTI from BioXcel LLC;</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supply obligations;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recruiting;</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involving us;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distributions by BioXcel LLC of all or any portion of its ownership interest in us;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pricing of services BioXcel LLC has agreed to provide us;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opportunities that may be attractive to both BioXcel LLC and us.</w:t>
      </w:r>
    </w:p>
    <w:p>
      <w:pPr>
        <w:spacing w:after="0" w:line="198"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entered into the Services Agreement with BioXcel LLC related to the separation of our business operations from those of BioXcel LLC that contains certain limitations on BioXcel LLC’s ability to control various aspects of our business and operations, notwithstanding BioXcel LLC’s substantial ownership position. This agreement may be amended upon agreement between us and BioXcel LLC.</w:t>
      </w:r>
    </w:p>
    <w:p>
      <w:pPr>
        <w:spacing w:after="0" w:line="135"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BioXcel LLC may experience challenges with the acquisition, development, enhancement, or deployment of technology necessary for EvolverAI. We may face similar challenges with other AI platforms that we utilize, including our own in-house proprietary platform.</w:t>
      </w:r>
    </w:p>
    <w:p>
      <w:pPr>
        <w:spacing w:after="0" w:line="134"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BioXcel LLC operates in businesses that require sophisticated computer systems and software for data collection, data processing, cloud-based platforms, analytics, statistical projections and forecasting, mobile computing, social media analytics and other applications and technologies. BioXcel LLC seeks to address its technology risks by increasing its reliance on the use of innovations by cross-industry technology leaders and adapt these for their pharmaceutical, biotechnology,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their clients in forms that are easy to use while simultaneously providing clear answers to complex questions. We also utilize our own in-house AI platform.</w:t>
      </w:r>
    </w:p>
    <w:p>
      <w:pPr>
        <w:spacing w:after="0" w:line="161"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There can be no guarantee that we or BioXcel LLC will be able to develop, acquire or integrate new technologies, that these new technologies will meet our and BioXcel LLC’s needs or achieve our expected goals, or that we will be able to do so as quickly or cost-effectively as our competitors. Significant technological change could render BioXcel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9" w:lineRule="auto"/>
        <w:rPr>
          <w:sz w:val="20"/>
          <w:szCs w:val="20"/>
          <w:color w:val="auto"/>
        </w:rPr>
      </w:pPr>
      <w:r>
        <w:rPr>
          <w:rFonts w:ascii="Times New Roman" w:cs="Times New Roman" w:eastAsia="Times New Roman" w:hAnsi="Times New Roman"/>
          <w:sz w:val="17"/>
          <w:szCs w:val="17"/>
          <w:color w:val="auto"/>
        </w:rPr>
        <w:t>LLC’s EvolverAI or other AI platforms that we utilize obsolete. BioXcel LLC’s and our continued success will depend on the ability to adapt to changing technologies, manage and process ever-increasing amounts of data and information and improve the performance, features and reliability of these services in response to changing client and industry demands. If EvolverAI or other AI and machine learning models that we use are incorrectly designed, do not operate properly, the data we use to train them is incomplete, inadequate or biased in some way, or if we do not have sufficient rights to use the data on which our AI and machine learning models rely, the performance of our products, services and businesses, as well as our reputation, could suffer or we could incur liability through the violation of laws, third-party privacy rights or contracts to which we are a party. BioXcel LLC or we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85" w:lineRule="exact"/>
        <w:rPr>
          <w:sz w:val="20"/>
          <w:szCs w:val="20"/>
          <w:color w:val="auto"/>
        </w:rPr>
      </w:pPr>
    </w:p>
    <w:p>
      <w:pPr>
        <w:ind w:left="60" w:right="259"/>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third parties for the manufacture of our clinical supplies of our product candidates and our commercial supplies of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and we intend to rely on third parties to produce commercial supplies of any other approved product candidate. Therefore, our development of our products could be stopped or delayed, and our commercialization of any future product could be stopped, delayed or made less profitable if third-party manufacturers fail to obtain approval of the FDA or comparable regulatory authorities or fail to provide us with drug product in sufficient quantities or at acceptable prices.</w:t>
      </w:r>
    </w:p>
    <w:p>
      <w:pPr>
        <w:spacing w:after="0" w:line="158" w:lineRule="exact"/>
        <w:rPr>
          <w:sz w:val="20"/>
          <w:szCs w:val="20"/>
          <w:color w:val="auto"/>
        </w:rPr>
      </w:pPr>
    </w:p>
    <w:p>
      <w:pPr>
        <w:ind w:left="60" w:right="159" w:firstLine="324"/>
        <w:spacing w:after="0" w:line="242" w:lineRule="auto"/>
        <w:rPr>
          <w:sz w:val="20"/>
          <w:szCs w:val="20"/>
          <w:color w:val="auto"/>
        </w:rPr>
      </w:pPr>
      <w:r>
        <w:rPr>
          <w:rFonts w:ascii="Times New Roman" w:cs="Times New Roman" w:eastAsia="Times New Roman" w:hAnsi="Times New Roman"/>
          <w:sz w:val="18"/>
          <w:szCs w:val="18"/>
          <w:color w:val="auto"/>
        </w:rPr>
        <w:t>We entered into a commercial supply agreement with ARx, LLC (“ARx”) pursuant to which ARx has agreed to exclusively manufacture and supply us with all of our worldwide demand of film formulation of Dex to be used for the commercial supply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for ongoing clinical trials of our product candidate BXCL501, subject to certain alternative supply provisions. If ARx is unable or ceases to produce our supply of Dex in sufficient quantities as and when needed or if the ARx agreement becomes too costly, our business would be harmed because there can be no assurance that we will be able to identify or enter into agreements with alternative suppliers on a timely basis on acceptable terms, if at all. An interruption in our ability to sell our products to customers could occur if we encounter delays or difficulties in securing Dex, or if the quantity or quality supplied does not meet our specifications, or if we cannot then obtain an acceptable substitute. If any of these events occur, our business and operating results could be harmed. Our specified minimum annual payment could adversely affect our cash flows in the future, such as in times when we have sufficient inventory and would otherwise be able to use our cash for other purposes.</w:t>
      </w:r>
    </w:p>
    <w:p>
      <w:pPr>
        <w:spacing w:after="0" w:line="176"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or similar foreign requirements. Drug manufacturing facilities are subject to inspection before the FDA or foreign regulatory authorities will issue an approval to market a new drug product, and ARx, the Patheon pharma services division of Thermo Fisher Scientific Inc., and any other manufacturers that we may use must adhere to the cGMP or similar foreign regulations prescribed by the FDA or foreign regulatory authorities.</w:t>
      </w:r>
    </w:p>
    <w:p>
      <w:pPr>
        <w:spacing w:after="0" w:line="149"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As such, these third-party manufacturers will be required to comply with cGMPs, and other applicable laws and regulations. We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on acceptable terms, or at all. Any of these factors would significantly impact our ability to develop, obtain regulatory approval for or market our product candidates and adversely affect our business.</w:t>
      </w:r>
    </w:p>
    <w:p>
      <w:pPr>
        <w:spacing w:after="0" w:line="135"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We, ARx, the Patheon pharma services division of Thermo Fisher Scientific Inc., and/or our other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we, ARx, the Patheon pharma services division of Thermo Fisher Scientific Inc., or our other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51"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third-party manufacturers on whom we rely, including ARx, may be unable to successfully scale-up manufacturing of our product and product candidates in sufficient quality and quantity, which would delay or prevent us from developing our product candidates and commercializing any approved products.</w:t>
      </w:r>
    </w:p>
    <w:p>
      <w:pPr>
        <w:spacing w:after="0" w:line="134" w:lineRule="exact"/>
        <w:rPr>
          <w:sz w:val="20"/>
          <w:szCs w:val="20"/>
          <w:color w:val="auto"/>
        </w:rPr>
      </w:pPr>
    </w:p>
    <w:p>
      <w:pPr>
        <w:ind w:left="60" w:right="239" w:firstLine="324"/>
        <w:spacing w:after="0" w:line="253"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and commercialize any approved product candidates, we, or our manufacturers, including ARx, and the Patheon pharma services division of Thermo Fisher Scientific Inc., will need to manufacture them in large quantities. We, or our manufacturers, may be unable to successfully increase the manufacturing capacity for any of our approved products or product candidates in a timely or cost-effective manner, or at all. In addition, quality issues may arise during scale-up activities. If we, or any of our manufacturers, are unable to successfully scale up the manufacture of our approved products or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approved products, or to do so on commercially reasonable terms, we may not be able to develop and commercialize our approved products or product candidates successfully.</w:t>
      </w:r>
    </w:p>
    <w:p>
      <w:pPr>
        <w:spacing w:after="0" w:line="161"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find third-party collaborators to assist or share in the costs of product development could materially harm our business, financial condition, and results of operations.</w:t>
      </w:r>
    </w:p>
    <w:p>
      <w:pPr>
        <w:spacing w:after="0" w:line="118"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Our strategy for the development and commercialization of our proprietary products and product candidates may include the formation of collaborative arrangements with third parties. Collaborators have significant discretion in determining the efforts and resources they apply and may not perform their obligations as expected. Potential third-party collaborators include biopharmaceutical, pharmaceutical and biotechnology companies, academic institutions and other entities. Third-party collaborators may assist us in:</w:t>
      </w:r>
    </w:p>
    <w:p>
      <w:pPr>
        <w:spacing w:after="0" w:line="143" w:lineRule="exact"/>
        <w:rPr>
          <w:sz w:val="20"/>
          <w:szCs w:val="20"/>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research, preclinical development, clinical trials and manufacturing;</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approvals; and</w:t>
      </w:r>
    </w:p>
    <w:p>
      <w:pPr>
        <w:spacing w:after="0" w:line="17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product candidates.</w:t>
      </w:r>
    </w:p>
    <w:p>
      <w:pPr>
        <w:spacing w:after="0" w:line="100" w:lineRule="exact"/>
        <w:rPr>
          <w:sz w:val="20"/>
          <w:szCs w:val="20"/>
          <w:color w:val="auto"/>
        </w:rPr>
      </w:pPr>
    </w:p>
    <w:p>
      <w:pPr>
        <w:jc w:val="both"/>
        <w:ind w:left="60" w:right="319" w:firstLine="324"/>
        <w:spacing w:after="0" w:line="281" w:lineRule="auto"/>
        <w:rPr>
          <w:sz w:val="20"/>
          <w:szCs w:val="20"/>
          <w:color w:val="auto"/>
        </w:rPr>
      </w:pPr>
      <w:r>
        <w:rPr>
          <w:rFonts w:ascii="Times New Roman" w:cs="Times New Roman" w:eastAsia="Times New Roman" w:hAnsi="Times New Roman"/>
          <w:sz w:val="17"/>
          <w:szCs w:val="17"/>
          <w:color w:val="auto"/>
        </w:rPr>
        <w:t>If we are not able to establish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collaborations could materially harm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161"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34" w:lineRule="exact"/>
        <w:rPr>
          <w:sz w:val="20"/>
          <w:szCs w:val="20"/>
          <w:color w:val="auto"/>
        </w:rPr>
      </w:pPr>
    </w:p>
    <w:p>
      <w:pPr>
        <w:jc w:val="both"/>
        <w:ind w:left="60" w:right="139" w:firstLine="324"/>
        <w:spacing w:after="0" w:line="272" w:lineRule="auto"/>
        <w:rPr>
          <w:sz w:val="20"/>
          <w:szCs w:val="20"/>
          <w:color w:val="auto"/>
        </w:rPr>
      </w:pPr>
      <w:r>
        <w:rPr>
          <w:rFonts w:ascii="Times New Roman" w:cs="Times New Roman" w:eastAsia="Times New Roman" w:hAnsi="Times New Roman"/>
          <w:sz w:val="17"/>
          <w:szCs w:val="17"/>
          <w:color w:val="auto"/>
        </w:rPr>
        <w:t>We have relied upon and plan to continue to rely upon third-party medical institutions, clinical investigators, contract laboratories and other third-party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European Economic Area (“EEA”) countries and comparable foreign regulatory authorities for all of our products in clinical development.</w:t>
      </w:r>
    </w:p>
    <w:p>
      <w:pPr>
        <w:spacing w:after="0" w:line="146"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Regulatory authorities enforce these GCPs through periodic inspections of trial sponsors, principal investigators and trial sites. If regulatory authorities determine that we or any of our CROs failed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and similar foreign regulations. Any failure, whether by us or our CROs, to comply with these regulations may require us to repeat clinical trials, which would delay the regulatory approval process.</w:t>
      </w:r>
    </w:p>
    <w:p>
      <w:pPr>
        <w:spacing w:after="0" w:line="165" w:lineRule="exact"/>
        <w:rPr>
          <w:sz w:val="20"/>
          <w:szCs w:val="20"/>
          <w:color w:val="auto"/>
        </w:rPr>
      </w:pPr>
    </w:p>
    <w:p>
      <w:pPr>
        <w:ind w:left="60" w:right="239" w:firstLine="324"/>
        <w:spacing w:after="0" w:line="268" w:lineRule="auto"/>
        <w:rPr>
          <w:sz w:val="20"/>
          <w:szCs w:val="20"/>
          <w:color w:val="auto"/>
        </w:rPr>
      </w:pPr>
      <w:r>
        <w:rPr>
          <w:rFonts w:ascii="Times New Roman" w:cs="Times New Roman" w:eastAsia="Times New Roman" w:hAnsi="Times New Roman"/>
          <w:sz w:val="17"/>
          <w:szCs w:val="17"/>
          <w:color w:val="auto"/>
        </w:rPr>
        <w:t>In addition, if any of our relationships with our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For example, investigator misconduct during our TRANQUILITY II trial evaluating BXCL501 in patients with probable Alzheimer’s disease could require us to conduct additional clinical trials before we are able to seek or obtain approval for BXCL501 for use in this patient population, as described more fully in the risk factor above entitled: “</w:t>
      </w:r>
      <w:r>
        <w:rPr>
          <w:rFonts w:ascii="Times New Roman" w:cs="Times New Roman" w:eastAsia="Times New Roman" w:hAnsi="Times New Roman"/>
          <w:sz w:val="17"/>
          <w:szCs w:val="17"/>
          <w:i w:val="1"/>
          <w:iCs w:val="1"/>
          <w:color w:val="auto"/>
        </w:rPr>
        <w:t>Developments relating to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TRANQUILITY II 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7"/>
          <w:szCs w:val="17"/>
          <w:color w:val="auto"/>
        </w:rPr>
        <w:t>.” As a result, our results of operations and the commercial prospects for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 candidates would be harmed, our costs could increase and our ability to generate revenues could be delayed.</w:t>
      </w:r>
    </w:p>
    <w:p>
      <w:pPr>
        <w:spacing w:after="0" w:line="141"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GCP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CROs involves additional cost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58" w:lineRule="auto"/>
        <w:rPr>
          <w:sz w:val="20"/>
          <w:szCs w:val="20"/>
          <w:color w:val="auto"/>
        </w:rPr>
      </w:pPr>
      <w:r>
        <w:rPr>
          <w:rFonts w:ascii="Times New Roman" w:cs="Times New Roman" w:eastAsia="Times New Roman" w:hAnsi="Times New Roman"/>
          <w:sz w:val="18"/>
          <w:szCs w:val="18"/>
          <w:color w:val="auto"/>
        </w:rPr>
        <w:t>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85"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political or economic events and conditions could adversely affect our business, financial condition or results of operations.</w:t>
      </w:r>
    </w:p>
    <w:p>
      <w:pPr>
        <w:spacing w:after="0" w:line="118" w:lineRule="exact"/>
        <w:rPr>
          <w:sz w:val="20"/>
          <w:szCs w:val="20"/>
          <w:color w:val="auto"/>
        </w:rPr>
      </w:pPr>
    </w:p>
    <w:p>
      <w:pPr>
        <w:ind w:left="60" w:right="219" w:firstLine="324"/>
        <w:spacing w:after="0" w:line="252" w:lineRule="auto"/>
        <w:rPr>
          <w:sz w:val="20"/>
          <w:szCs w:val="20"/>
          <w:color w:val="auto"/>
        </w:rPr>
      </w:pPr>
      <w:r>
        <w:rPr>
          <w:rFonts w:ascii="Times New Roman" w:cs="Times New Roman" w:eastAsia="Times New Roman" w:hAnsi="Times New Roman"/>
          <w:sz w:val="18"/>
          <w:szCs w:val="18"/>
          <w:color w:val="auto"/>
        </w:rPr>
        <w:t>Our business could be adversely affected by unstable economic and political conditions within the United States and foreign jurisdictions, including as a result of an economic downturn and geopolitical events, such as changes in U.S. federal policy that affect the geopolitical landscape. In addition,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In addition, events such as pandemics, epidemics, or outbreaks of an infectious disease may materially and adversely impact our business if we or any of the third parties with whom we engage were to experience shutdowns or other business disruptions. Furthermore, geopolitical conflicts and war, such as the current military conflict between Russia and Ukraine and the war between Israel and Hamas, and other conflicts in the Middle East, could disrupt or otherwise adversely impact our operations and those of third parties upon which we rely. Related sanctions, export controls or other actions have and may in the future be initiated by nations including the U.S., the EU or Russia (e.g., potential cyberattacks, disruption of energy flows, etc.), which could adversely affect our business and/or our supply chain, our CROs, CMOs and other third parties with which we conduct business. Any of the foregoing could harm our business and we cannot anticipate all of the ways in which the current economic climate and financial market conditions could adversely impact our business.</w:t>
      </w:r>
    </w:p>
    <w:p>
      <w:pPr>
        <w:spacing w:after="0" w:line="16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Additionally, trade policies and geopolitical disputes and other international conflicts can result in tariffs, sanctions and other measures that restrict international trade, and can materially adversely affect our business, particularly if these measures affect regions where raw materials are sourced. For example, tensions between the United States and China have led to a series of tariffs being imposed by the United States on imports from China, as well as other business restrictions. Countries may also adopt other measures, such as controls on imports or exports of goods, technology or data, that could adversely impact our operations and supply chain. As these tensions continue to rise, more targeted approaches on certain products, industries or companies could significantly impact our development and commercialization efforts. The U.S. government has recently imposed tariffs on certain foreign goods, and some foreign governments have threatened or instituted retaliatory tariffs on certain U.S. goods and have indicated a willingness to impose additional tariffs on U.S. products, which could increase the cost of goods needed to commercialize our products and continue development of our product candidates. Further, such actions by the U.S. could result in other retaliatory actions by those countries which could impact our ability to profitably commercialize our products in those jurisdictions. As a result, our business, operations, and financial condition could be materially harmed.</w:t>
      </w:r>
    </w:p>
    <w:p>
      <w:pPr>
        <w:spacing w:after="0" w:line="147"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A severe or prolonged economic downturn, or additional global financial or political crises, could result in a variety of risks to our business, including delayed clinical studies or preclinical studies, delayed approval of our product candidates, delayed ability to obtain patents and other intellectual property protection, weakened demand for our product candidates, if approved, or our ability to raise additional capital when needed on acceptable terms, if at all.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A weak or declining economy also could strain our suppliers, possibly resulting in supply disruption. Any of the foregoing could harm our business and we cannot anticipate all of the ways in which the current economic climate and financial market conditions could adversely</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impact our business. Furthermore, our stock price may decline due in part to the volatility of the stock market and the general economic downturn.</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may depend on our ability to attract and retain qualified personnel, including consultants.</w:t>
      </w:r>
    </w:p>
    <w:p>
      <w:pPr>
        <w:spacing w:after="0" w:line="18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We are dependent on the principal members of our management and scientific teams. Our success and the execution of our operating strategy, to the extent we continue operations, depend largely on the continued service of our employees. In addition to our employees, we have access to certain of BioXcel LLC’s employees and resources through the various agreements we have with BioXcel LLC. We have expanded our management team to include an operational ramp-up of additional technical staff required to achieve our business objectives. We will need to retain such employees, and may need to continue to expand our managerial, commercial, operational, technical, and scientific, financial, and other resources to manage our operations and clinical trials, continue our research and development activities, and any approved product candidates. Our management and scientific personnel, systems and facilities currently in place may not be adequate to support our future growth.</w:t>
      </w:r>
    </w:p>
    <w:p>
      <w:pPr>
        <w:spacing w:after="0" w:line="14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recruit and retain qualified personnel, we may be unable to successfully implement the tasks necessary to further develop and commercialize our product candidate and, accordingly, may not achieve our research, development and commercialization goals.</w:t>
      </w:r>
    </w:p>
    <w:p>
      <w:pPr>
        <w:spacing w:after="0" w:line="156"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18"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including Vimal Mehta, our Chief Executive Officer, President and a member of our Board, as well as the other principal members of our management, scientific, clinical teams and commercial readiness teams. We do not maintain “key person” insurance for any of these executive officers or any of our other key employees. We also rely on our leadership team in the areas of research and development, marketing, services and selling,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48"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To continue to execute our business strategy, we also must attract and retain highly skilled personnel. We might not be successful in maintaining our unique culture and continuing to attract and retain qualified personnel. We have, from time to time, had difficulty hiring and retaining highly skilled personnel with appropriate qualifications, including as a result of the Reprioritization and related consequences for our reputation. We may experience such difficulties in the future, and any further restructuring or related reduction in force could exacerbate such difficulties. The pool of qualified personnel with experience working within the biopharmaceutical and biotechnology market is limited overall. In addition, many of the companies with which we compete for experienced personnel have greater resources than we have.</w:t>
      </w:r>
    </w:p>
    <w:p>
      <w:pPr>
        <w:spacing w:after="0" w:line="16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Furthermore, prior workforce reductions and any future similar cost-saving initiatives may make it difficult for us to maintain valuable aspects of our culture, retain institutional knowledge and expertise, to prevent a negative effect on employee morale or attrition beyond our planned reduction in headcount, and to attract competent personnel who are willing to embrace our culture in the future. Our executive officers and other employees are at-will employees, which</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means they may terminate their employment relationship with us at any time, and their knowledge of our business and industry would be extremely difficult to replace. We may not be able to retain the services of any members of our senior management or other key employees. If we do not succeed in retaining and motivating existing employees or attracting well-qualified employees in the future, our business, financial condition and results of operations could be materially and adversely affected.</w:t>
      </w:r>
    </w:p>
    <w:p>
      <w:pPr>
        <w:spacing w:after="0" w:line="156"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the fair value of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44"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11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53"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39" w:lineRule="exact"/>
        <w:rPr>
          <w:sz w:val="20"/>
          <w:szCs w:val="20"/>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or services in a profitable manner;</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accounting systems, operations and personnel of the acquired business;</w:t>
      </w:r>
    </w:p>
    <w:p>
      <w:pPr>
        <w:spacing w:after="0" w:line="184"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products and hosting infrastructure of the acquired business;</w:t>
      </w:r>
    </w:p>
    <w:p>
      <w:pPr>
        <w:spacing w:after="0" w:line="121" w:lineRule="exact"/>
        <w:rPr>
          <w:rFonts w:ascii="Times New Roman" w:cs="Times New Roman" w:eastAsia="Times New Roman" w:hAnsi="Times New Roman"/>
          <w:sz w:val="18"/>
          <w:szCs w:val="18"/>
          <w:color w:val="auto"/>
        </w:rPr>
      </w:pPr>
    </w:p>
    <w:p>
      <w:pPr>
        <w:ind w:left="720" w:right="539" w:hanging="319"/>
        <w:spacing w:after="0" w:line="312" w:lineRule="auto"/>
        <w:tabs>
          <w:tab w:leader="none" w:pos="7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converting the customers of the acquired business onto our platform and contract terms, including disparities in the revenue, licensing, support or professional services model of the acquired company;</w:t>
      </w:r>
    </w:p>
    <w:p>
      <w:pPr>
        <w:spacing w:after="0" w:line="112"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84"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customers as a result of the acquisition;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185" w:lineRule="exact"/>
        <w:rPr>
          <w:sz w:val="20"/>
          <w:szCs w:val="20"/>
          <w:color w:val="auto"/>
        </w:rPr>
      </w:pPr>
    </w:p>
    <w:p>
      <w:pPr>
        <w:ind w:left="60" w:right="639" w:firstLine="324"/>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45"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18"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 care fraud and abuse laws and regulations, or to report financial information or data accurately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during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spacing w:after="0" w:line="145"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future operations, revenues, and financial conditions, and may increase our costs and expenses.</w:t>
      </w:r>
    </w:p>
    <w:p>
      <w:pPr>
        <w:spacing w:after="0" w:line="132"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 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39" w:lineRule="exact"/>
        <w:rPr>
          <w:sz w:val="20"/>
          <w:szCs w:val="20"/>
          <w:color w:val="auto"/>
        </w:rPr>
      </w:pPr>
    </w:p>
    <w:p>
      <w:pPr>
        <w:ind w:left="60" w:right="159" w:firstLine="324"/>
        <w:spacing w:after="0" w:line="237" w:lineRule="auto"/>
        <w:rPr>
          <w:sz w:val="20"/>
          <w:szCs w:val="20"/>
          <w:color w:val="auto"/>
        </w:rPr>
      </w:pPr>
      <w:r>
        <w:rPr>
          <w:rFonts w:ascii="Times New Roman" w:cs="Times New Roman" w:eastAsia="Times New Roman" w:hAnsi="Times New Roman"/>
          <w:sz w:val="18"/>
          <w:szCs w:val="18"/>
          <w:color w:val="auto"/>
        </w:rPr>
        <w:t>Likewise, we will rely on third parties, including ARx, to manufacture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product candidates and to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58" w:lineRule="exact"/>
        <w:rPr>
          <w:sz w:val="20"/>
          <w:szCs w:val="20"/>
          <w:color w:val="auto"/>
        </w:rPr>
      </w:pPr>
    </w:p>
    <w:p>
      <w:pPr>
        <w:jc w:val="both"/>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Data breaches or cyber-attacks could disrupt our business operations and information technology systems or those of third parties on which we rely, adversely impact our financial results, or result in the loss or exposure of confidential or sensitive product candidate, clinical trial, employee, or Company information.</w:t>
      </w:r>
    </w:p>
    <w:p>
      <w:pPr>
        <w:spacing w:after="0" w:line="148"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including our mobile and web-based applications, our e-commerce platform and our enterprise software. In the ordinary course of our business, we collect, store and transmit large amounts of confidential information, including intellectual property, proprietary business information, clinical trial data, and personal information (collectively, “Confidential Information”) of customers and our employees and contractors. It is critical that we do so in a secure manner to maintain the confidentiality and integrity of such Confidential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and those of third parties on which we rely have been and may in the future be attacked or breached by individuals or organizations intending to obtain our Confidential Information; harm or disrupt our business operations; or otherwise misappropriate information or Company funds. A security compromise of our information technology systems or business operations, or those of third parties on which we rely, could occur through a variety of methods such as from cyber-attacks and cyber-intrusions over the Internet, misconfigurations, “bugs” or other vulnerabilities, malware, computer viruses, email spoofing, attachments to e-mails, persons inside or outside our organization or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w:t>
      </w:r>
    </w:p>
    <w:p>
      <w:pPr>
        <w:spacing w:after="0" w:line="161"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5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Furthermore, the security measures employed by third-party service providers may prove to be ineffective at preventing breaches of their systems. Any attack that results in disruptions to our operations, or the unauthorized release or loss of Confidential Information, could have a material adverse effect on our business reputation, increase our costs and expose us to material legal claims and liability (such as class actions) and result in regulatory investigations and enforcement actions, fines and penalties, negative reputational impacts that cause us to lose existing or future customers, and/or significant incident response, system restoration or remediation and future compliance costs. If the unauthorized release or loss of Confidential Information were to occur, our operations and financial results and our share price could be adversely affected. Although we maintain insurance for our business, the coverage under our policies may not be adequate to compensate us for all losses that may occur.</w:t>
      </w:r>
    </w:p>
    <w:p>
      <w:pPr>
        <w:spacing w:after="0" w:line="144" w:lineRule="exact"/>
        <w:rPr>
          <w:sz w:val="20"/>
          <w:szCs w:val="20"/>
          <w:color w:val="auto"/>
        </w:rPr>
      </w:pPr>
    </w:p>
    <w:p>
      <w:pPr>
        <w:ind w:left="60" w:right="3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0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w:t>
      </w:r>
    </w:p>
    <w:p>
      <w:pPr>
        <w:spacing w:after="0" w:line="135"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If we are determined to act as a covered entity or business associate under HIPAA and be directly regulated under HIPAA, any person acting on our behalf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54"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4" w:lineRule="auto"/>
        <w:rPr>
          <w:sz w:val="20"/>
          <w:szCs w:val="20"/>
          <w:color w:val="auto"/>
        </w:rPr>
      </w:pPr>
      <w:r>
        <w:rPr>
          <w:rFonts w:ascii="Times New Roman" w:cs="Times New Roman" w:eastAsia="Times New Roman" w:hAnsi="Times New Roman"/>
          <w:sz w:val="17"/>
          <w:szCs w:val="17"/>
          <w:color w:val="auto"/>
        </w:rPr>
        <w:t>among other things: provide certain disclosures to California residents regarding the business’s collection, use, and disclosure of their personal information; receive and respond to requests from California residents to access, delete, and correct their personal information, or to opt out of certain disclosures of their personal information, and enter into specific contractual provisions with service providers that process California resident personal information on the business’s behalf. If we are subject to or affected by HIPAA, the CCPA, or other domestic privacy and data protection laws, any liability from failure to comply with the requirements of these laws could adversely affect our financial condition.</w:t>
      </w:r>
    </w:p>
    <w:p>
      <w:pPr>
        <w:spacing w:after="0" w:line="146"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In Europe, the General Data Protection Regulation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51" w:lineRule="exact"/>
        <w:rPr>
          <w:sz w:val="20"/>
          <w:szCs w:val="20"/>
          <w:color w:val="auto"/>
        </w:rPr>
      </w:pPr>
    </w:p>
    <w:p>
      <w:pPr>
        <w:ind w:left="60" w:right="319" w:firstLine="324"/>
        <w:spacing w:after="0" w:line="258" w:lineRule="auto"/>
        <w:rPr>
          <w:sz w:val="20"/>
          <w:szCs w:val="20"/>
          <w:color w:val="auto"/>
        </w:rPr>
      </w:pPr>
      <w:r>
        <w:rPr>
          <w:rFonts w:ascii="Times New Roman" w:cs="Times New Roman" w:eastAsia="Times New Roman" w:hAnsi="Times New Roman"/>
          <w:sz w:val="18"/>
          <w:szCs w:val="18"/>
          <w:color w:val="auto"/>
        </w:rPr>
        <w:t>Further, since January 1, 2021, companies have had to comply with the GDPR and also the UK GDPR, which, together with the amended UK Data Protection Act 2018, retains the GDPR in UK national law. The UK GDPR mirrors the fines under the GDPR (i.e., fines up to the greater of £17.5 million or 4% of global turnover). On October 12, 2023, the UK Extension to the DPF came into effect (as approved by the UK Government), as a data transfer mechanism from the UK to U.S. entities self-certified under the DPF.</w:t>
      </w:r>
    </w:p>
    <w:p>
      <w:pPr>
        <w:spacing w:after="0" w:line="143"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58"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and evolving expectations for environmental, social and governance (“ESG”) initiatives may impose additional costs or otherwise adversely impact our business.</w:t>
      </w:r>
    </w:p>
    <w:p>
      <w:pPr>
        <w:spacing w:after="0" w:line="118"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There has been an increased focus from investors, capital providers, shareholder advocacy groups, other market participants, customers, and other stakeholder groups regarding companies’ ESG initiatives. 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Additionally, some investors may use third-party or proprietary ESG ratings to guide their investment strategies and, in some cases, may choose not to invest in us if they believe our ESG practices are inadequate. The criteria by which companies’ ESG practices are assessed are evolving, which could result in greater expectations of us and cause us to undertake costly initiatives to satisfy such new criteria. Alternatively, if we</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elect not to or are unable to satisfy new criteria or do not meet the criteria, some investors may conclude that our policies with respect to ESG are inadequate and choose not to invest in us.</w:t>
      </w:r>
    </w:p>
    <w:p>
      <w:pPr>
        <w:spacing w:after="0" w:line="135"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If our ESG practices do not meet evolving investor or other stakeholder expectations and our standards, reputation, ability to attract or retain employees and desirability as an investment or business partner could be negatively impacted. Similarly, our failure or perceived failure to adequately pursue or fulfill any ESG goals and objectives or to satisfy various reporting standards, if any, could expose us to additional regulatory, social or other scrutiny, the imposition of unexpected costs, or damage to our reputation, which in turn could have a material adverse effect on our business and could cause the market value of our common stock to decline.</w:t>
      </w:r>
    </w:p>
    <w:p>
      <w:pPr>
        <w:spacing w:after="0" w:line="143"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successfully acquire, develop and market additional product candidates or approved drug products could impair our ability to grow.</w:t>
      </w:r>
    </w:p>
    <w:p>
      <w:pPr>
        <w:spacing w:after="0" w:line="118"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As part of our growth strategy, we may evaluate, acquire, license, develop and/or market third-party products or product candidates and technologies.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future acquisitions may entail numerous operational and financial risks, including:</w:t>
      </w:r>
    </w:p>
    <w:p>
      <w:pPr>
        <w:spacing w:after="0" w:line="185" w:lineRule="exact"/>
        <w:rPr>
          <w:sz w:val="20"/>
          <w:szCs w:val="20"/>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84"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and technical personnel’s time and attention to develop acquired products or technologies;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securities to pay for acquisitions;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98"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121"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198" w:lineRule="exact"/>
        <w:rPr>
          <w:sz w:val="20"/>
          <w:szCs w:val="20"/>
          <w:color w:val="auto"/>
        </w:rPr>
      </w:pPr>
    </w:p>
    <w:p>
      <w:pPr>
        <w:ind w:left="60" w:right="439" w:firstLine="324"/>
        <w:spacing w:after="0" w:line="256" w:lineRule="auto"/>
        <w:rPr>
          <w:sz w:val="20"/>
          <w:szCs w:val="20"/>
          <w:color w:val="auto"/>
        </w:rPr>
      </w:pPr>
      <w:r>
        <w:rPr>
          <w:rFonts w:ascii="Times New Roman" w:cs="Times New Roman" w:eastAsia="Times New Roman" w:hAnsi="Times New Roman"/>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tax credits to offset future taxable income and income tax liabilities may be limited.</w:t>
      </w:r>
    </w:p>
    <w:p>
      <w:pPr>
        <w:spacing w:after="0" w:line="132"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At December 31, 2024 the Company had approximately $432.6 million of gross federal and $443.5 million of gross state net operating loss carry-forwards. Tax Cuts and Jobs Act (“TCJA”) in 2017 amended the net operating losses carryforward rules. Net operating losses generated after December 31, 2017, may be carried forward indefinitely, subject to certain limitations on their use. Net operating losses generated prior to 2018 may be carried forward for twenty years. If not utilized, these net operating losses will expire by 2037. State net operating losses have varying carryforward and applicable expiration periods. $430.0 million of the federal net operating losses were incurred after December 31, 2017, and will be carried forward indefinitely; the balance of the federal net operating losses are subject to expiration no later than 2037. The utilization of such net operating loss carry-forwards and realization of tax benefits in future years depends predominantly upon having taxable income. The Company has approximately $16.0 million of federal orphan drug credits and research and development credits which will begin to expire in 2037 if not utilized. The Company also has approximately $1.5 million of state research and development credits which will begin to expire in 2040 if not utilized.</w:t>
      </w:r>
    </w:p>
    <w:p>
      <w:pPr>
        <w:spacing w:after="0" w:line="151"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In addition, under sections 382 and 383 of the Code, our federal net operating losses and tax credit carryforwards, such as research/development credits and orphan drug credits, may become subject to an annual limitation in the event of certain cumulative changes in the ownership interest of significant stockholders (or groups of stockholders) in excess of 50% over a rolling three-year period. Similar state provisions may also exist. These ownership changes may limit the amount of the net operating losses and tax credit carryforwards that can be utilized annually to offset future taxable income and income tax, respectively.</w:t>
      </w:r>
    </w:p>
    <w:p>
      <w:pPr>
        <w:spacing w:after="0" w:line="147"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Entities are also required to evaluate, measure, recognize and disclose any uncertain federal or state income tax provisions taken on their income tax returns. The Company has analyzed its tax positions and has concluded that as of December 31, 2024, there were no uncertain tax positions. The Company's U.S. federal and state net operating losses have occurred since its inception in 2017 and as such, tax years subject to potential tax examination could apply from that date because the utilization of net operating losses from prior years opens the relevant tax year to audit by The U.S. Internal Revenue Service (“IRS”) and/or state taxing authorities. The Company did not have any unrecognized tax benefits and has not accrued any interest or penalties for the 12 months ended December 31, 2024 and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5" w:lineRule="exact"/>
        <w:rPr>
          <w:sz w:val="20"/>
          <w:szCs w:val="20"/>
          <w:color w:val="auto"/>
        </w:rPr>
      </w:pPr>
    </w:p>
    <w:p>
      <w:pPr>
        <w:jc w:val="both"/>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34" w:lineRule="exact"/>
        <w:rPr>
          <w:sz w:val="20"/>
          <w:szCs w:val="20"/>
          <w:color w:val="auto"/>
        </w:rPr>
      </w:pPr>
    </w:p>
    <w:p>
      <w:pPr>
        <w:ind w:left="60" w:right="179" w:firstLine="324"/>
        <w:spacing w:after="0" w:line="272" w:lineRule="auto"/>
        <w:rPr>
          <w:sz w:val="20"/>
          <w:szCs w:val="20"/>
          <w:color w:val="auto"/>
        </w:rPr>
      </w:pPr>
      <w:r>
        <w:rPr>
          <w:rFonts w:ascii="Times New Roman" w:cs="Times New Roman" w:eastAsia="Times New Roman" w:hAnsi="Times New Roman"/>
          <w:sz w:val="17"/>
          <w:szCs w:val="17"/>
          <w:color w:val="auto"/>
        </w:rPr>
        <w:t>Our commercial success will depend in part on obtaining, maintaining enforcing and defending our patents, trademarks, trade secrets and other intellectual property rights and proprietary technology for our current and future approved products and product candidates, the processes used to manufacture them and the methods for using them, as well as successfully defending these patents against third-party challenges. We are the owner of record of certain patents and patent applications pending in the U.S. and in certain foreign jurisdictions. Patents issued from non-provisional applications, which are typically filed from provisional patent applications or from PCT applications that enter the national phase. Neither provisional patent applications nor PCT applications issue directly as patents. We own PCT patent applications relating to our platform technologies covering methods of use and applications of the platform technologies.</w:t>
      </w:r>
    </w:p>
    <w:p>
      <w:pPr>
        <w:spacing w:after="0" w:line="145"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trademarks, trade secrets and other intellectual property rights and proprietary technology that cover these activities.</w:t>
      </w:r>
    </w:p>
    <w:p>
      <w:pPr>
        <w:spacing w:after="0" w:line="139" w:lineRule="exact"/>
        <w:rPr>
          <w:sz w:val="20"/>
          <w:szCs w:val="20"/>
          <w:color w:val="auto"/>
        </w:rPr>
      </w:pPr>
    </w:p>
    <w:p>
      <w:pPr>
        <w:ind w:left="60" w:right="359" w:firstLine="324"/>
        <w:spacing w:after="0" w:line="289" w:lineRule="auto"/>
        <w:rPr>
          <w:sz w:val="20"/>
          <w:szCs w:val="20"/>
          <w:color w:val="auto"/>
        </w:rPr>
      </w:pPr>
      <w:r>
        <w:rPr>
          <w:rFonts w:ascii="Times New Roman" w:cs="Times New Roman" w:eastAsia="Times New Roman" w:hAnsi="Times New Roman"/>
          <w:sz w:val="17"/>
          <w:szCs w:val="17"/>
          <w:color w:val="auto"/>
        </w:rPr>
        <w:t>The patent positions of biotechnology and pharmaceutical companies can be highly uncertain and involve complex legal and factual questions that have been the subject of much litigation in recent years and for which important legal principles remain unresolved. Therefore, the scope of any patent claims that we have or may obtain cannot be predicted</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1" w:lineRule="auto"/>
        <w:rPr>
          <w:sz w:val="20"/>
          <w:szCs w:val="20"/>
          <w:color w:val="auto"/>
        </w:rPr>
      </w:pPr>
      <w:r>
        <w:rPr>
          <w:rFonts w:ascii="Times New Roman" w:cs="Times New Roman" w:eastAsia="Times New Roman" w:hAnsi="Times New Roman"/>
          <w:sz w:val="17"/>
          <w:szCs w:val="17"/>
          <w:color w:val="auto"/>
        </w:rPr>
        <w:t>with certainty. No consistent policy regarding the breadth of claims allowed in pharmaceutical patents has emerged to date in the U.S. or in foreign jurisdictions outside of the U.S. Changes in either the patent laws or interpretations of patent laws in the U.S. and other countries may diminish the value of our intellectual property. Accordingly, we cannot predict which of our patent applications will issue, the breadth of claims that may be enforced in the patents that may be issued from the applications we currently, or may in the future, own or license from third parties,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Further, if any patents we obtain or license are deemed invalid and unenforceable, our ability to commercialize or license our technology could be adversely affected.</w:t>
      </w:r>
    </w:p>
    <w:p>
      <w:pPr>
        <w:spacing w:after="0" w:line="146"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43" w:lineRule="exact"/>
        <w:rPr>
          <w:sz w:val="20"/>
          <w:szCs w:val="20"/>
          <w:color w:val="auto"/>
        </w:rPr>
      </w:pPr>
    </w:p>
    <w:p>
      <w:pPr>
        <w:ind w:left="60" w:right="159" w:firstLine="324"/>
        <w:spacing w:after="0" w:line="312" w:lineRule="auto"/>
        <w:rPr>
          <w:sz w:val="20"/>
          <w:szCs w:val="20"/>
          <w:color w:val="auto"/>
        </w:rPr>
      </w:pPr>
      <w:r>
        <w:rPr>
          <w:rFonts w:ascii="Times New Roman" w:cs="Times New Roman" w:eastAsia="Times New Roman" w:hAnsi="Times New Roman"/>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99" w:lineRule="exact"/>
        <w:rPr>
          <w:sz w:val="20"/>
          <w:szCs w:val="20"/>
          <w:color w:val="auto"/>
        </w:rPr>
      </w:pPr>
    </w:p>
    <w:p>
      <w:pPr>
        <w:ind w:left="720" w:right="299" w:hanging="319"/>
        <w:spacing w:after="0" w:line="266"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independently develop, make and commercialize compounds that are similar to, or are alternatives or duplicates of any of our product candidates, but that are not covered by the claims of our patents or are not infringing, misappropriating, or otherwise violating our other intellectual property rights;</w:t>
      </w:r>
    </w:p>
    <w:p>
      <w:pPr>
        <w:spacing w:after="0" w:line="148" w:lineRule="exact"/>
        <w:rPr>
          <w:rFonts w:ascii="Times New Roman" w:cs="Times New Roman" w:eastAsia="Times New Roman" w:hAnsi="Times New Roman"/>
          <w:sz w:val="18"/>
          <w:szCs w:val="18"/>
          <w:color w:val="auto"/>
        </w:rPr>
      </w:pPr>
    </w:p>
    <w:p>
      <w:pPr>
        <w:ind w:left="720" w:right="81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issued patents or pending patent applications that we license or may own in the future;</w:t>
      </w:r>
    </w:p>
    <w:p>
      <w:pPr>
        <w:spacing w:after="0" w:line="12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collaborators, might not have been the first to file patent applications covering certain of our or their inventions;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patent applications or those that we may own in the future may not result in issued patents;</w:t>
      </w:r>
    </w:p>
    <w:p>
      <w:pPr>
        <w:spacing w:after="0" w:line="198"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issued patents or patent applications when issued may not cover our products or product candidates;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w:t>
      </w:r>
    </w:p>
    <w:p>
      <w:pPr>
        <w:spacing w:after="0" w:line="184" w:lineRule="exact"/>
        <w:rPr>
          <w:rFonts w:ascii="Times New Roman" w:cs="Times New Roman" w:eastAsia="Times New Roman" w:hAnsi="Times New Roman"/>
          <w:sz w:val="18"/>
          <w:szCs w:val="18"/>
          <w:color w:val="auto"/>
        </w:rPr>
      </w:pPr>
    </w:p>
    <w:p>
      <w:pPr>
        <w:ind w:left="720" w:right="459" w:hanging="319"/>
        <w:spacing w:after="0" w:line="266"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manufacture and commercialize competitive products or product candidates for sale in our major commercial markets;</w:t>
      </w:r>
    </w:p>
    <w:p>
      <w:pPr>
        <w:spacing w:after="0" w:line="14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84"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seek patent protection for some of our proprietary technology or product candidates to maintain certain trade secrets or know-how, and a third party may subsequently file a patent covering such trade secrets or know-how;</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granted patents may be held invalid or unenforceable as a result of legal challenges by third parties;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8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In addition, the USPTO and various foreign governmental patent agencies require compliance with various procedural, document submission,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43"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34"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may be required to enter into intellectual property license agreements that are important to our business. These license agreements may impose various diligence, payment, and other obligations on us. For example, we may enter into exclusive license agreements with universities, research institutions, or peer industry third parties pursuant to which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disputes may arise regarding intellectual property subject to a license agreement, including:</w:t>
      </w:r>
    </w:p>
    <w:p>
      <w:pPr>
        <w:spacing w:after="0" w:line="185" w:lineRule="exact"/>
        <w:rPr>
          <w:sz w:val="20"/>
          <w:szCs w:val="20"/>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84"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obligations;</w:t>
      </w:r>
    </w:p>
    <w:p>
      <w:pPr>
        <w:spacing w:after="0" w:line="184"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third-party expresses interest in an area under a license that we are not pursuing, under the terms of certain of our license agreements, we may be required to sublicense rights in that area to a third-party, and that sublicense could harm our business; and</w:t>
      </w:r>
    </w:p>
    <w:p>
      <w:pPr>
        <w:spacing w:after="0" w:line="135"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pacing w:after="0" w:line="135"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approved products or product candidates.</w:t>
      </w:r>
    </w:p>
    <w:p>
      <w:pPr>
        <w:spacing w:after="0" w:line="135"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We may need to obtain licenses from third parties to advance our research or allow commercialization of our product candidates. We may fail to obtain any of these licenses at a reasonable cost or on reasonable terms, if at all. In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that event, we would be unable to further develop and commercialize one or more of our product candidates, which could harm our business significantly.</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89"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or our licensors may be subject to claims that third parties have an interest in our patents, trade secrets, or other intellectual property that we regard as our own or our licensor’s, based on claims that the relevant agreements with employees or consultants obligating them to assign their intellectual property rights to us or our licensor are ineffective or in conflict with prior or competing contractual obligations to assign inventions and intellectual property rights to another employer, to a former employer, or to another person or entity. We may also be subject to claims that our former employees, contractors or collaborators, or other third parties have an ownership interest in our current or future patents, patent applications, or other intellectual property rights, including as an inventor or co-inventor. For example, we or our licensors may have inventorship disputes arise from conflicting obligations of employees, consultants or others who are involved in developing our product candidates.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w:t>
      </w:r>
    </w:p>
    <w:p>
      <w:pPr>
        <w:spacing w:after="0" w:line="157"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We are not aware of any threatened or pending claims related to these matters, but in the future litigation may be necessary to defend against these and other claims challenging inventorship or our or our licensors’ ownership of our owned or in-licensed patents, trade secrets, or other intellectual property, and it may be necessary or we may desire to obtain a license to a third party’s intellectual property rights to settle any such claim; however, there can be no assurance that we would be able to obtain such license on commercially reasonable terms, if at all. If we or our licensors fail in defending any such claims, in addition to paying monetary damages or a settlement payment, we may lose valuable intellectual property rights, such as exclusive ownership of, or right to use, intellectual property that is important to our product candidates. A court could prohibit us from using technologies, features or other intellectual property rights that are essential to our products or technologies, if such technologies or features are found to incorporate or be derived from the trade secrets or other proprietary information of another person or entity, including another or former employers. An inability to incorporate technologies, features or other intellectual property rights that are important or essential to our products or product candidates could have a material adverse effect on our business, financial condition, results of operations, and competitive position, and may prevent us from developing, manufacturing and/or commercializing our products or technologies. In addition, we may lose valuable intellectual property rights or personnel. Even if we are successful in defending against such claims, litigation could result in substantial costs and be a distraction to management and other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 materially and adversely affect our business, financial condition and results of operations. Any of the foregoing could have a material adverse effect on our business, financial condition, results of operations and prospects.</w:t>
      </w:r>
    </w:p>
    <w:p>
      <w:pPr>
        <w:spacing w:after="0" w:line="158"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18"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product candidates have been or will be submitted to the FDA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Hatch-Waxman Act apply. In accordance with the Hatch-Waxman Act, such NDAs may be required to include paragraph IV certifications, that certify that any patents listed in the FDA’s Orange Book, with respect to any product referenced in the 505(b)(2) application, are invalid, unenforceable or will not be infringed by the manufacture, use or sale of the product that is the subject of the 505(b)(2) NDA.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certification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61" w:lineRule="exact"/>
        <w:rPr>
          <w:sz w:val="20"/>
          <w:szCs w:val="20"/>
          <w:color w:val="auto"/>
        </w:rPr>
      </w:pPr>
    </w:p>
    <w:p>
      <w:pPr>
        <w:jc w:val="both"/>
        <w:ind w:left="60" w:right="199" w:firstLine="324"/>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If our intellectual property related to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BXCL501, BXCL502, BXCL701, BXCL702 or any future product candidates is not adequate or if we are not able to successfully enforce our intellectual property rights, the commercial value of our products or product candidates may be adversely affected and we may not be able to compete effectively in our market.</w:t>
      </w:r>
    </w:p>
    <w:p>
      <w:pPr>
        <w:spacing w:after="0" w:line="158" w:lineRule="exact"/>
        <w:rPr>
          <w:sz w:val="20"/>
          <w:szCs w:val="20"/>
          <w:color w:val="auto"/>
        </w:rPr>
      </w:pPr>
    </w:p>
    <w:p>
      <w:pPr>
        <w:jc w:val="both"/>
        <w:ind w:left="60" w:right="219" w:firstLine="324"/>
        <w:spacing w:after="0" w:line="269" w:lineRule="auto"/>
        <w:rPr>
          <w:sz w:val="20"/>
          <w:szCs w:val="20"/>
          <w:color w:val="auto"/>
        </w:rPr>
      </w:pPr>
      <w:r>
        <w:rPr>
          <w:rFonts w:ascii="Times New Roman" w:cs="Times New Roman" w:eastAsia="Times New Roman" w:hAnsi="Times New Roman"/>
          <w:sz w:val="17"/>
          <w:szCs w:val="17"/>
          <w:color w:val="auto"/>
        </w:rPr>
        <w:t>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enforce our rights against potential infringement, misappropriation or violation of our intellectual property rights.</w:t>
      </w:r>
    </w:p>
    <w:p>
      <w:pPr>
        <w:spacing w:after="0" w:line="3" w:lineRule="exact"/>
        <w:rPr>
          <w:sz w:val="20"/>
          <w:szCs w:val="20"/>
          <w:color w:val="auto"/>
        </w:rPr>
      </w:pPr>
    </w:p>
    <w:p>
      <w:pPr>
        <w:ind w:left="60" w:right="159"/>
        <w:spacing w:after="0" w:line="251" w:lineRule="auto"/>
        <w:rPr>
          <w:sz w:val="20"/>
          <w:szCs w:val="20"/>
          <w:color w:val="auto"/>
        </w:rPr>
      </w:pPr>
      <w:r>
        <w:rPr>
          <w:rFonts w:ascii="Times New Roman" w:cs="Times New Roman" w:eastAsia="Times New Roman" w:hAnsi="Times New Roman"/>
          <w:sz w:val="18"/>
          <w:szCs w:val="18"/>
          <w:color w:val="auto"/>
        </w:rPr>
        <w:t>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or technologies. Moreover, it may be difficult or impossible to obtain evidence of infringement in a competitor’s or potential competitor’s product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and product candidates.</w:t>
      </w:r>
    </w:p>
    <w:p>
      <w:pPr>
        <w:spacing w:after="0" w:line="152"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Even where laws provide protection, costly and time-consuming litigation could be necessary to enforce and determine the scope of our proprietary rights, and the outcome of such litigation would be uncertain. If we choose to commence a proceeding or litigation to prevent another party from infringing our patents, that party could counterclaim that our patents are invalid or should not be enforced against them.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There is a risk that the examiner or court will decide that our patents are invalid or unenforceable, in whole or in part, and that we do not have the right to stop the other party from using the related inventions. There is also the risk that, even if the validity of our patents is upheld, the examiner or court may construe the patent’s claims or other intellectual property narrowly or refuse to stop the other party from using the technology at issue on the grounds that such other party’s activities do not infringe our rights to such patents. In addition, the U.S. Supreme Court has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1" w:lineRule="auto"/>
        <w:rPr>
          <w:sz w:val="20"/>
          <w:szCs w:val="20"/>
          <w:color w:val="auto"/>
        </w:rPr>
      </w:pPr>
      <w:r>
        <w:rPr>
          <w:rFonts w:ascii="Times New Roman" w:cs="Times New Roman" w:eastAsia="Times New Roman" w:hAnsi="Times New Roman"/>
          <w:sz w:val="18"/>
          <w:szCs w:val="18"/>
          <w:color w:val="auto"/>
        </w:rPr>
        <w:t>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If a defendant were to prevail on its legal assertion of invalidity and/or unenforceability against our intellectual property related to a product or a product candidate, we could lose at least part, and perhaps all, of the patent protection on such product or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 Even if we are successful in any litigation, we may incur significant expense in connection with such proceedings, and the amount of any monetary damages may be inadequate to compensate us for damage as a result of the infringement and the proceedings. Further,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spacing w:after="0" w:line="178"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Further,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w:t>
      </w:r>
    </w:p>
    <w:p>
      <w:pPr>
        <w:spacing w:after="0" w:line="139"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and/or third party claims seeking to invalidate our patents, which would be costly, time consuming and, if successfully asserted against us, may prevent or delay our product development efforts and stop us from commercializing or increase the costs of commercializing our product candidates.</w:t>
      </w:r>
    </w:p>
    <w:p>
      <w:pPr>
        <w:spacing w:after="0" w:line="140"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develop, manufacture or commercialize our products and product candidates without infringing, misappropriating or otherwise violating the intellectual property rights of third parties. There is considerable patent and other intellectual property litigation in the pharmaceutical and biotechnology industries, and companies in the industry have used intellectual property litigation to gain a competitive advantage. We may become party to, or threatened with, adversarial proceedings or litigation regarding intellectual property rights with respect to our products, or the manufacture or use of our product candidates. In addition to infringement claims against us, third parties may also raise similar claims before administrative bodies in the United States or abroad. Such mechanisms include interference proceedings, post grant review, inter partes review, and derivation proceedings before the USPTO and similar proceedings in foreign jurisdictions. If third parties prepare and file patent applications in the United States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on our products or technologies. Such a loss of patent protection would have a material adverse impact on our business, financial condition, results of operations, and prospects.</w:t>
      </w:r>
    </w:p>
    <w:p>
      <w:pPr>
        <w:spacing w:after="0" w:line="135"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We also could be ordered to pay substantial damages, including treble damages and attorney’s fees if we are found to be willfully infringing a third party’s patents or other intellectual property rights.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w:t>
      </w:r>
    </w:p>
    <w:p>
      <w:pPr>
        <w:spacing w:after="0" w:line="153"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149" w:lineRule="exact"/>
        <w:rPr>
          <w:sz w:val="20"/>
          <w:szCs w:val="20"/>
          <w:color w:val="auto"/>
        </w:rPr>
      </w:pPr>
    </w:p>
    <w:p>
      <w:pPr>
        <w:ind w:left="60" w:right="1059" w:firstLine="324"/>
        <w:spacing w:after="0" w:line="282" w:lineRule="auto"/>
        <w:rPr>
          <w:sz w:val="20"/>
          <w:szCs w:val="20"/>
          <w:color w:val="auto"/>
        </w:rPr>
      </w:pPr>
      <w:r>
        <w:rPr>
          <w:rFonts w:ascii="Times New Roman" w:cs="Times New Roman" w:eastAsia="Times New Roman" w:hAnsi="Times New Roman"/>
          <w:sz w:val="18"/>
          <w:szCs w:val="18"/>
          <w:color w:val="auto"/>
        </w:rPr>
        <w:t>We cannot be certain that others have not filed patent applications for technology covered by our pending applications, or that we were the first to invent the technology, because:</w:t>
      </w:r>
    </w:p>
    <w:p>
      <w:pPr>
        <w:spacing w:after="0" w:line="135" w:lineRule="exact"/>
        <w:rPr>
          <w:sz w:val="20"/>
          <w:szCs w:val="20"/>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patent applications in the U.S. may be maintained in secrecy until the patents are issued;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U.S. are typically not published until 18 months after the priority date;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in the scientific literature often lag behind actual discoveries.</w:t>
      </w:r>
    </w:p>
    <w:p>
      <w:pPr>
        <w:spacing w:after="0" w:line="198"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 priority to any applications filed prior to the priority dates of our applications, we may have to participate in an interference proceeding declared by the USPTO to determine priority of invention in the U.S.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8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48"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6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Finally, a Unitary Patent and Unified Patent Court (“UPC”) system was implemented in Europe on June 1, 2023. This new regime may present uncertainties for our ability to protect and enforce our patent rights against competitors in Europe. Under the UPC, all European patents, including those issued prior to ratification of the European Patent Package, by default automatically fall under the jurisdiction of the UPC. The UPC provides our competitors with a new forum to centrally revoke our European patents, and allows for the possibility of a competitor to obtain pan-European injunctions. It will be several years before we will understand the scope of patent rights that will be recognized and the strength of patent remedies that will be provided by the UPC. Under the EU Patent Package, we will have the right to opt our patents out of the UPC over the first seven years of the court’s existence, but doing so may preclude us from realizing the benefits of the new unified court.</w:t>
      </w:r>
    </w:p>
    <w:p>
      <w:pPr>
        <w:spacing w:after="0" w:line="144"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competitive position may be harmed.</w:t>
      </w:r>
    </w:p>
    <w:p>
      <w:pPr>
        <w:spacing w:after="0" w:line="118"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Our trademarks could be challenged, invalidated, infringed, and circumvented by third parties, and our trademarks could also be diluted, declared generic or found to be infringing on other marks. If any of the foregoing occurs, we could be forced to re-brand our products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on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operating results and prospects.</w:t>
      </w:r>
    </w:p>
    <w:p>
      <w:pPr>
        <w:spacing w:after="0" w:line="155" w:lineRule="exact"/>
        <w:rPr>
          <w:sz w:val="20"/>
          <w:szCs w:val="20"/>
          <w:color w:val="auto"/>
        </w:rPr>
      </w:pPr>
    </w:p>
    <w:p>
      <w:pPr>
        <w:ind w:left="60" w:right="299" w:firstLine="324"/>
        <w:spacing w:after="0" w:line="237" w:lineRule="auto"/>
        <w:rPr>
          <w:sz w:val="20"/>
          <w:szCs w:val="20"/>
          <w:color w:val="auto"/>
        </w:rPr>
      </w:pPr>
      <w:r>
        <w:rPr>
          <w:rFonts w:ascii="Times New Roman" w:cs="Times New Roman" w:eastAsia="Times New Roman" w:hAnsi="Times New Roman"/>
          <w:sz w:val="18"/>
          <w:szCs w:val="18"/>
          <w:color w:val="auto"/>
        </w:rPr>
        <w:t>We rely on our trademarks, trade names and brand names, such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our logo, to distinguish our company and our products from our competitors and the products of our competitors, and have registered or applied to register many of these trademarks in the United States and certain countries outside the United States, however, we have not yet registered all of our trademarks in all of our current and potential markets. There can be no assurance that our trademark applications will be approved for registration. During trademark registration proceedings, we may receive rejections. Although we are given an opportunity to respond to those rejections, we may be unable to overcome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such rejections.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spacing w:after="0" w:line="161"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18" w:lineRule="exact"/>
        <w:rPr>
          <w:sz w:val="20"/>
          <w:szCs w:val="20"/>
          <w:color w:val="auto"/>
        </w:rPr>
      </w:pPr>
    </w:p>
    <w:p>
      <w:pPr>
        <w:ind w:left="60" w:right="199" w:firstLine="324"/>
        <w:spacing w:after="0" w:line="251" w:lineRule="auto"/>
        <w:rPr>
          <w:sz w:val="20"/>
          <w:szCs w:val="20"/>
          <w:color w:val="auto"/>
        </w:rPr>
      </w:pPr>
      <w:r>
        <w:rPr>
          <w:rFonts w:ascii="Times New Roman" w:cs="Times New Roman" w:eastAsia="Times New Roman" w:hAnsi="Times New Roman"/>
          <w:sz w:val="18"/>
          <w:szCs w:val="18"/>
          <w:color w:val="auto"/>
        </w:rPr>
        <w:t>In addition to patent protection, we also rely on other intellectual property rights, including protection of copyright, trade secrets, know-how and/or other proprietary information to protect our proprietary technologies, especially where we do not believe patent protection is appropriate or obtainable. However, trade secrets are difficult to protect, and some courts are less willing or unwilling to protect trade secrets. To maintain the confidentiality of our trade secrets and proprietary information, we rely in part on confidentiality agreements with our employees, consultants, outside scientific collaborators, sponsored researchers and other advisors to protect our trade secrets and other proprietary information.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intellectual property rights.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In addition, despite the protections we do place on our intellectual property or other proprietary rights, monitoring unauthorized use and disclosure of our intellectual property rights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generally of these confidentiality restrictions. These agreements may not effectively prevent disclosure of confidential information and may not provide an adequate remedy in the event of unauthorized disclosure of confidential information. There can be no assurances that such employees, consultants, advisors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w:t>
      </w:r>
    </w:p>
    <w:p>
      <w:pPr>
        <w:spacing w:after="0" w:line="162" w:lineRule="exact"/>
        <w:rPr>
          <w:sz w:val="20"/>
          <w:szCs w:val="20"/>
          <w:color w:val="auto"/>
        </w:rPr>
      </w:pPr>
    </w:p>
    <w:p>
      <w:pPr>
        <w:ind w:left="60" w:right="359" w:firstLine="324"/>
        <w:spacing w:after="0" w:line="253"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or services that we consider proprietary. Enforcing a claim that a party illegally disclosed or misappropriated a trade secret can be difficult, expensive and time-consuming, and the outcome is unpredictable. Further, we may not be able to obtain adequate remedies for any breach. While we use commonly accepted security measures, trade secret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violations are often a matter of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trade secrets may be independently developed by others in a manner that could prevent legal recourse by us. If any of our intellectual property rights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162"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 Further, it is possible that others will independently develop the same or similar technology, products or services or otherwise obtain access to our unpatented technology, and in such cases, we could not assert any trade secret rights against such parties. If we fail to obtain or maintain trade secret protection, or if our competitors obtain our trade secrets or independently develop technology or products similar to ours,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150"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misappropriated the intellectual property rights, including know-how or trade secrets of a third party.</w:t>
      </w:r>
    </w:p>
    <w:p>
      <w:pPr>
        <w:spacing w:after="0" w:line="118" w:lineRule="exact"/>
        <w:rPr>
          <w:sz w:val="20"/>
          <w:szCs w:val="20"/>
          <w:color w:val="auto"/>
        </w:rPr>
      </w:pPr>
    </w:p>
    <w:p>
      <w:pPr>
        <w:ind w:left="60" w:right="179" w:firstLine="324"/>
        <w:spacing w:after="0" w:line="252" w:lineRule="auto"/>
        <w:rPr>
          <w:sz w:val="20"/>
          <w:szCs w:val="20"/>
          <w:color w:val="auto"/>
        </w:rPr>
      </w:pPr>
      <w:r>
        <w:rPr>
          <w:rFonts w:ascii="Times New Roman" w:cs="Times New Roman" w:eastAsia="Times New Roman" w:hAnsi="Times New Roman"/>
          <w:sz w:val="18"/>
          <w:szCs w:val="18"/>
          <w:color w:val="auto"/>
        </w:rPr>
        <w:t>We may be subject to claims that our employees or consultants have wrongfully used for our benefit or disclosed to us confidential information of third parties. As is common in the biotechnology and pharmaceutical industries, we employ individuals who were previously employed at other biotechnology or pharmaceutical companies, including our competitors or potential competitors. Some of these employees, consultants and contractors may have executed proprietary rights, non-disclosure and non-competition agreements in connection with such previous employment or engagement. Although we try to ensure that our employees, consultants and independent contractors do not use the intellectual property rights, proprietary information, know-how, or trade secrets of others in their work for us, and do not perform work for us that is in conflict with their obligations to another employer or any other entity, we may be subject to claims that we or our employees, consultants or independent contractors have, inadvertently or otherwise misappropriated the intellectual property, including know-how, trade secrets or other proprietary information of their former employers or clients. To the extent that our employees, consultants or contractors use intellectual property rights or proprietary information owned by others in their work for us, disputes may arise as to the rights in any related or resulting know-how and inventions. Litigation may be necessary to defend against these claims. If we fail in defending any such claims, in addition to paying monetary damages, we could lose valuable intellectual property rights or personnel, which could adversely impact our business. There is no guarantee of success in defending these claims, and even if we are successful, litigation could result in substantial costs and be a distraction to management.</w:t>
      </w:r>
    </w:p>
    <w:p>
      <w:pPr>
        <w:spacing w:after="0" w:line="164"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18"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49" w:lineRule="exact"/>
        <w:rPr>
          <w:sz w:val="20"/>
          <w:szCs w:val="20"/>
          <w:color w:val="auto"/>
        </w:rPr>
      </w:pPr>
    </w:p>
    <w:p>
      <w:pPr>
        <w:ind w:left="60" w:right="279" w:firstLine="324"/>
        <w:spacing w:after="0" w:line="255" w:lineRule="auto"/>
        <w:rPr>
          <w:sz w:val="20"/>
          <w:szCs w:val="20"/>
          <w:color w:val="auto"/>
        </w:rPr>
      </w:pPr>
      <w:r>
        <w:rPr>
          <w:rFonts w:ascii="Times New Roman" w:cs="Times New Roman" w:eastAsia="Times New Roman" w:hAnsi="Times New Roman"/>
          <w:sz w:val="18"/>
          <w:szCs w:val="18"/>
          <w:color w:val="auto"/>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BXCL502, BXCL701 and BXCL702,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adversely affected.</w:t>
      </w:r>
    </w:p>
    <w:p>
      <w:pPr>
        <w:spacing w:after="0" w:line="14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We may elect to sue a third party, or otherwise make a claim, alleging infringement or other violation of patents, trademarks, trade dress, copyrights, trade secrets, domain names or other intellectual property rights that we either own or license from BioXcel LLC. If we do not prevail in enforcing our intellectual property rights in this type of litigation, we may be subject to:</w:t>
      </w:r>
    </w:p>
    <w:p>
      <w:pPr>
        <w:spacing w:after="0" w:line="139" w:lineRule="exact"/>
        <w:rPr>
          <w:sz w:val="20"/>
          <w:szCs w:val="20"/>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monetary damages related to the legal expenses of the third party;</w:t>
      </w:r>
    </w:p>
    <w:p>
      <w:pPr>
        <w:spacing w:after="0" w:line="198"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facing additional competition that may have a significant adverse effect on our product pricing, market share, business operations, financial condition, and the commercial viability of our products; and</w:t>
      </w:r>
    </w:p>
    <w:p>
      <w:pPr>
        <w:spacing w:after="0" w:line="121" w:lineRule="exact"/>
        <w:rPr>
          <w:rFonts w:ascii="Times New Roman" w:cs="Times New Roman" w:eastAsia="Times New Roman" w:hAnsi="Times New Roman"/>
          <w:sz w:val="18"/>
          <w:szCs w:val="18"/>
          <w:color w:val="auto"/>
        </w:rPr>
      </w:pPr>
    </w:p>
    <w:p>
      <w:pPr>
        <w:jc w:val="both"/>
        <w:ind w:left="720" w:right="199" w:hanging="319"/>
        <w:spacing w:after="0" w:line="266"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35"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 third-party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56"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Intellectual property rights and enforcement may be less extensive in jurisdictions outside of the U.S.; thus, we may not be able to protect our intellectual property and third parties may be able to market competitive products that may use some or all of our intellectual property.</w:t>
      </w:r>
    </w:p>
    <w:p>
      <w:pPr>
        <w:spacing w:after="0" w:line="135"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Changes to patent law, including the Leahy-Smith America Invents Act of 2011 and the Patent Reform Act of 2009 and other future article of legislation, may substantially change the regulations and procedures surrounding patent applications, issuance of patents, and prosecution of patents. We can give no assurances that patents we own or license and can be successfully defended or will protect us against future intellectual property challenges, particularly as they pertain to changes in patent law and future patent law interpretations.</w:t>
      </w:r>
    </w:p>
    <w:p>
      <w:pPr>
        <w:spacing w:after="0" w:line="14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In Europe, a new unitary patent system took effect on June 1, 2023, and may significantly impact European patents, including those granted before the introduction of the new system. Under the new system, Applicants can, upon grant of a patent, opt for that patent to become a Unitary Patent which will be subject to the jurisdiction of a new Unitary Patent Court (UPC). Patents granted before the implementation of the new system can be opted out of UPC jurisdiction, remaining as national patents in the UPC countries. Patents that remain under the jurisdiction of the UPC may be challenged in a single UPC-based revocation proceeding that, if successful, could invalidate the patent in all countries who are signatories to the UPC. Further, because the UPC is a new court system and there is little precedent for the court’s laws, there is increased uncertainty regarding the outcome of any patent litigation. We are unable to predict what impact the new patent regime may have on our ability to exclude competitors in the European market. In addition to changes in patent laws, geopolitical dynamics, including Russia’s incursion into Ukraine, and the imposition of tariffs and responses to tariffs, may impact our ability to obtain and enforce patents in particular jurisdictions. If we are unable to obtain and enforce patents as needed in particular markets, our ability to exclude competitors in those markets may be reduced.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0" w:right="519" w:firstLine="324"/>
        <w:spacing w:after="0" w:line="261" w:lineRule="auto"/>
        <w:rPr>
          <w:sz w:val="20"/>
          <w:szCs w:val="20"/>
          <w:color w:val="auto"/>
        </w:rPr>
      </w:pPr>
      <w:r>
        <w:rPr>
          <w:rFonts w:ascii="Times New Roman" w:cs="Times New Roman" w:eastAsia="Times New Roman" w:hAnsi="Times New Roman"/>
          <w:sz w:val="18"/>
          <w:szCs w:val="18"/>
          <w:color w:val="auto"/>
        </w:rPr>
        <w:t>In addition, enforcing and maintaining our intellectual property protection depends on compliance with various procedural, document submission, fee payment and other requirements imposed by the USPTO, courts and foreign government patent agencies, and our patent protection could be reduced or eliminated for non- compliance with these requirements.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w:t>
      </w:r>
    </w:p>
    <w:p>
      <w:pPr>
        <w:spacing w:after="0" w:line="18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53" w:lineRule="exact"/>
        <w:rPr>
          <w:sz w:val="20"/>
          <w:szCs w:val="20"/>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our common stock by our stockholders, executives, and directors;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limitations in trading volumes of our shares of common stock;</w:t>
      </w:r>
    </w:p>
    <w:p>
      <w:pPr>
        <w:spacing w:after="0" w:line="184"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trading in and short sales of our stock, as well as trading phenomena such as the “short squeeze” and “short and distort” schemes;</w:t>
      </w:r>
    </w:p>
    <w:p>
      <w:pPr>
        <w:spacing w:after="0" w:line="134"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financings to conduct and complete research and development activities including, but not limited to, our clinical trials, and other business activities;</w:t>
      </w:r>
    </w:p>
    <w:p>
      <w:pPr>
        <w:spacing w:after="0" w:line="121"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delays in the expected recognition of revenue due to lengthy and sometimes unpredictable sales timelines;</w:t>
      </w:r>
    </w:p>
    <w:p>
      <w:pPr>
        <w:spacing w:after="0" w:line="121" w:lineRule="exact"/>
        <w:rPr>
          <w:rFonts w:ascii="Times New Roman" w:cs="Times New Roman" w:eastAsia="Times New Roman" w:hAnsi="Times New Roman"/>
          <w:sz w:val="18"/>
          <w:szCs w:val="18"/>
          <w:color w:val="auto"/>
        </w:rPr>
      </w:pPr>
    </w:p>
    <w:p>
      <w:pPr>
        <w:jc w:val="both"/>
        <w:ind w:left="720" w:right="379" w:hanging="319"/>
        <w:spacing w:after="0" w:line="266"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4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security breaches;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 rates and the timing and terms of customer renewals;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resources and the necessary personnel to conduct clinical trials on our desired schedule;</w:t>
      </w:r>
    </w:p>
    <w:p>
      <w:pPr>
        <w:spacing w:after="0" w:line="184"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enrollment or results of our clinical trials for our product candidates or any future clinical trials we may conduct;</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development status of our product candidates;</w:t>
      </w:r>
    </w:p>
    <w:p>
      <w:pPr>
        <w:spacing w:after="0" w:line="198"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adverse developments or perceived adverse developments with respect to the FDA’s review of our preclinical and clinical trials;</w:t>
      </w:r>
    </w:p>
    <w:p>
      <w:pPr>
        <w:spacing w:after="0" w:line="121"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submission for studies or product approvals or adverse regulatory decisions, including failure to receive regulatory approval for our product candidates;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safety concerns related to the use of our product candidates;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meet external expectations or management guidance;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or dividend policy, future issuances of securities, sales of large blocks of common stock by our stockholders;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events surrounding financing efforts, including debt and equity securities;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enter into new markets or develop new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issues;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technologies and products or new technologies and products that may emerge;</w:t>
      </w:r>
    </w:p>
    <w:p>
      <w:pPr>
        <w:spacing w:after="0" w:line="184"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partnerships, collaborations, joint ventures, new products, capital commitments, or other events by us or our competitors;</w:t>
      </w:r>
    </w:p>
    <w:p>
      <w:pPr>
        <w:spacing w:after="0" w:line="134"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and market conditions in or any of the regions in which we conduct our business;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industry conditions or perceptions;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valuations of similar companies or groups of companies;</w:t>
      </w:r>
    </w:p>
    <w:p>
      <w:pPr>
        <w:spacing w:after="0" w:line="198"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 research reports, recommendation and changes in recommendations, price targets, and withdrawals of coverage;</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and additions of key personnel;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and litigations related to intellectual properties, proprietary rights, and contractual obligations;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rules, regulations, or accounting practices and other dynamics;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may be out of our control.</w:t>
      </w:r>
    </w:p>
    <w:p>
      <w:pPr>
        <w:spacing w:after="0" w:line="185" w:lineRule="exact"/>
        <w:rPr>
          <w:sz w:val="20"/>
          <w:szCs w:val="20"/>
          <w:color w:val="auto"/>
        </w:rPr>
      </w:pPr>
    </w:p>
    <w:p>
      <w:pPr>
        <w:ind w:left="60" w:right="159" w:firstLine="324"/>
        <w:spacing w:after="0" w:line="281" w:lineRule="auto"/>
        <w:rPr>
          <w:sz w:val="20"/>
          <w:szCs w:val="20"/>
          <w:color w:val="auto"/>
        </w:rPr>
      </w:pPr>
      <w:r>
        <w:rPr>
          <w:rFonts w:ascii="Times New Roman" w:cs="Times New Roman" w:eastAsia="Times New Roman" w:hAnsi="Times New Roman"/>
          <w:sz w:val="17"/>
          <w:szCs w:val="17"/>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33"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including common stock that may be sold following exercise of outstanding warrants, would result in additional dilution of the percentage ownership of our stockholders and could adversely impact the share price of our common stock.</w:t>
      </w:r>
    </w:p>
    <w:p>
      <w:pPr>
        <w:spacing w:after="0" w:line="134"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including, without limitation, funding our trials and studies, marketing and commercializing our products and funding our operations. Accordingly, we have sold, and in the future may sell, common stock, convertible securities or other equity securities in one or more transactions at prices and in a manner we determine from time to time. To the extent we raise additional capital by issuing additional shares of common stock or securities convertible or exchangeable for our common stock, our stockholders may experience substantial dilution, and new investors could gain rights superior to our existing stockholders.</w:t>
      </w:r>
    </w:p>
    <w:p>
      <w:pPr>
        <w:spacing w:after="0" w:line="148"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In March 2024, we issued and sold in a registered direct offering 190,913 shares of our common stock, accompanying warrants to purchase up to 538,728 shares of our common stock and pre-funded warrants to purchase up to 347,814 shares of our common stock. In November 2024, we issued and sold in a registered direct offering 350,000 shares of our common stock, accompanying warrants to purchase up to 912,500 shares of our common stock and pre-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 xml:space="preserve">funded warrants to purchase up to 562,500 shares of our common stock, (for additional information see Note 11, </w:t>
      </w:r>
      <w:r>
        <w:rPr>
          <w:rFonts w:ascii="Times New Roman" w:cs="Times New Roman" w:eastAsia="Times New Roman" w:hAnsi="Times New Roman"/>
          <w:sz w:val="18"/>
          <w:szCs w:val="18"/>
          <w:i w:val="1"/>
          <w:i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Financing Activities </w:t>
      </w:r>
      <w:r>
        <w:rPr>
          <w:rFonts w:ascii="Times New Roman" w:cs="Times New Roman" w:eastAsia="Times New Roman" w:hAnsi="Times New Roman"/>
          <w:sz w:val="18"/>
          <w:szCs w:val="18"/>
          <w:color w:val="auto"/>
        </w:rPr>
        <w:t>in our Annual Report on Form 10-K for the fiscal year ended December 31, 2024). In addition,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we issued additional warrants to purchase up to 312,506 shares of common stock in connection with the Fifth Amendment of our Credit Agreement (see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xml:space="preserve"> in this Annual Report on Form 10-K for additional information). In March 2025, we issued and sold in a registered direct offering 188,383 shares of common stock, pre-funded warrants to purchase up to 3,811,617 shares of our common stock, accompanying warrants to purchase up to 4 million shares, and option warrants to purchase an additional 4 million shares of common stock (or pre-funded warrants in lieu thereof) and 4 million warrants. The option warrants expired on March 18, 2025 without being exercised. The number of shares of common stock underlying our outstanding warrants is significant in relation to our outstanding common stock (32% as of August 11, 2025), which could have a negative effect on the market price of our common stock and make it more difficult for us to raise funds through future equity offerings. In the event these warrants are exercised, our stockholders will experience additional dilution. To the extent outstanding stock options or warrants are exercised, there would be further dilution to our existing stockholders, which could impact the price of our common stock.</w:t>
      </w:r>
    </w:p>
    <w:p>
      <w:pPr>
        <w:spacing w:after="0" w:line="158"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our shares of common stock so any returns will be limited to the value of our shares.</w:t>
      </w:r>
    </w:p>
    <w:p>
      <w:pPr>
        <w:spacing w:after="0" w:line="118" w:lineRule="exact"/>
        <w:rPr>
          <w:sz w:val="20"/>
          <w:szCs w:val="20"/>
          <w:color w:val="auto"/>
        </w:rPr>
      </w:pPr>
    </w:p>
    <w:p>
      <w:pPr>
        <w:ind w:left="60" w:right="679" w:firstLine="324"/>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31"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spacing w:after="0" w:line="148"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the 1940 Act.</w:t>
      </w:r>
    </w:p>
    <w:p>
      <w:pPr>
        <w:spacing w:after="0" w:line="148"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pacing w:after="0" w:line="143"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are able to avail ourselves of reduced disclosure requirements applicable to smaller reporting companies, which could make our common stock less attractive to investors.</w:t>
      </w:r>
    </w:p>
    <w:p>
      <w:pPr>
        <w:spacing w:after="0" w:line="1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a smaller reporting company, and we will remain a smaller reporting company until we determine that either</w:t>
      </w:r>
    </w:p>
    <w:p>
      <w:pPr>
        <w:spacing w:after="0" w:line="27" w:lineRule="exact"/>
        <w:rPr>
          <w:sz w:val="20"/>
          <w:szCs w:val="20"/>
          <w:color w:val="auto"/>
        </w:rPr>
      </w:pPr>
    </w:p>
    <w:p>
      <w:pPr>
        <w:ind w:left="60" w:right="179" w:hanging="10"/>
        <w:spacing w:after="0" w:line="251" w:lineRule="auto"/>
        <w:tabs>
          <w:tab w:leader="none" w:pos="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revenues are at least $100 million and our voting and non-voting common stock held by non-affiliates is at least $250 million measured on the last business day of our most recent second fiscal quarter, or (2) our voting and non-voting common stock held by non-affiliates is at least $700 million measured on the last business day of our most recent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 In addition, as a non-accelerated filer, we are exempt from the auditor attestation requirements of Section 404 of the Sarbanes-Oxley Act.</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49"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p>
      <w:pPr>
        <w:spacing w:after="0" w:line="140"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 xml:space="preserve">We are, and may in the future become, subject to various legal proceedings, claims and investigations that arise in or outside the ordinary course of business. For example, on July 7, 2023, plaintiff Katelyn Martin filed a class action complaint against the Company and certain executives in the United States District Court for the District of Connecticut, captioned </w:t>
      </w:r>
      <w:r>
        <w:rPr>
          <w:rFonts w:ascii="Times New Roman" w:cs="Times New Roman" w:eastAsia="Times New Roman" w:hAnsi="Times New Roman"/>
          <w:sz w:val="18"/>
          <w:szCs w:val="18"/>
          <w:i w:val="1"/>
          <w:iCs w:val="1"/>
          <w:color w:val="auto"/>
        </w:rPr>
        <w:t>Martin v. BioXcel Therapeutics, et al.</w:t>
      </w:r>
      <w:r>
        <w:rPr>
          <w:rFonts w:ascii="Times New Roman" w:cs="Times New Roman" w:eastAsia="Times New Roman" w:hAnsi="Times New Roman"/>
          <w:sz w:val="18"/>
          <w:szCs w:val="18"/>
          <w:color w:val="auto"/>
        </w:rPr>
        <w:t xml:space="preserve">, 3:23-cv-00915 (D. Conn). The case has since been renamed to </w:t>
      </w:r>
      <w:r>
        <w:rPr>
          <w:rFonts w:ascii="Times New Roman" w:cs="Times New Roman" w:eastAsia="Times New Roman" w:hAnsi="Times New Roman"/>
          <w:sz w:val="18"/>
          <w:szCs w:val="18"/>
          <w:i w:val="1"/>
          <w:iCs w:val="1"/>
          <w:color w:val="auto"/>
        </w:rPr>
        <w:t>Hills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BioXcel Therapeutics, Inc. et al</w:t>
      </w:r>
      <w:r>
        <w:rPr>
          <w:rFonts w:ascii="Times New Roman" w:cs="Times New Roman" w:eastAsia="Times New Roman" w:hAnsi="Times New Roman"/>
          <w:sz w:val="18"/>
          <w:szCs w:val="18"/>
          <w:color w:val="auto"/>
        </w:rPr>
        <w:t>. On October 4, 2023, pursuant to the Private Securities Litigation Reform Act, the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two co-Lead Plaintiffs. The co-Lead Plaintiffs filed an amended complaint on December 5, 2023, alleging violations of Sections 10(b) and 20A of the Exchange Act and SEC Rule 10b-5 promulgated thereunder. On July 11, 2024, the Court dismissed the amended complaint without prejudice and, on August 1, 2024, co-Lead Plaintiffs filed a second amended complaint. The second amended complaint alleges that defendants made false or misleading statements regarding the TRANQUILITY II trial and the development of BXCL501 for an expanded indication related to the treatment of certain Alzheimer’s-related agitation. The Company moved to dismiss the second amended complaint on September 6, 2024. On February 24, 2025, while the Company’s motion to dismiss remained pending, Plaintiffs moved for leave to further amend their complaint. The Company filed an opposition to the motion on March 17, 2025 and Plaintiffs filed a reply in support of the motion on April 7, 2025. On April 9, 2025, the court stayed the matter to allow the parties to engage in a private mediation session. The parties held a mediation on May 12, 2025 but did not reach a settlement agreement. The Court lifted the stay and scheduled an August 27, 2025 hearing on BioXcel’s motion to dismiss the second amended complaint and Plaintiff’s motion for leave to amend the second amended complaint.</w:t>
      </w:r>
    </w:p>
    <w:p>
      <w:pPr>
        <w:spacing w:after="0" w:line="153"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w:t>
      </w:r>
      <w:r>
        <w:rPr>
          <w:rFonts w:ascii="Times New Roman" w:cs="Times New Roman" w:eastAsia="Times New Roman" w:hAnsi="Times New Roman"/>
          <w:sz w:val="18"/>
          <w:szCs w:val="18"/>
          <w:i w:val="1"/>
          <w:iCs w:val="1"/>
          <w:color w:val="auto"/>
        </w:rPr>
        <w:t>Panancherry et al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xml:space="preserve">,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Exchange Act. The cases have been consolidated under the caption </w:t>
      </w:r>
      <w:r>
        <w:rPr>
          <w:rFonts w:ascii="Times New Roman" w:cs="Times New Roman" w:eastAsia="Times New Roman" w:hAnsi="Times New Roman"/>
          <w:sz w:val="18"/>
          <w:szCs w:val="18"/>
          <w:i w:val="1"/>
          <w:iCs w:val="1"/>
          <w:color w:val="auto"/>
        </w:rPr>
        <w:t>In re BioXcel Therapeutics, Inc. Stockholder Derivative Litigation</w:t>
      </w:r>
      <w:r>
        <w:rPr>
          <w:rFonts w:ascii="Times New Roman" w:cs="Times New Roman" w:eastAsia="Times New Roman" w:hAnsi="Times New Roman"/>
          <w:sz w:val="18"/>
          <w:szCs w:val="18"/>
          <w:color w:val="auto"/>
        </w:rPr>
        <w:t>, 3:23-cv-1554 (D. Conn.). The consolidated action is currently stayed.</w:t>
      </w:r>
    </w:p>
    <w:p>
      <w:pPr>
        <w:spacing w:after="0" w:line="161"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January 11, 2024, Plaintiff Jeremy Smith filed a stockholder derivative complaint in the United States District Court for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w:t>
      </w:r>
      <w:r>
        <w:rPr>
          <w:rFonts w:ascii="Times New Roman" w:cs="Times New Roman" w:eastAsia="Times New Roman" w:hAnsi="Times New Roman"/>
          <w:sz w:val="18"/>
          <w:szCs w:val="18"/>
          <w:i w:val="1"/>
          <w:iCs w:val="1"/>
          <w:color w:val="auto"/>
        </w:rPr>
        <w:t>Smith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1:24-cv-00041. Following the initial action, Plaintiff Janice Korff filed a stockholder derivative complaint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District of Delaware raising similar claims as Smith (1:24-cv-130), including business torts and violations of the Exchange Act. The cases have been consolidated under the caption </w:t>
      </w:r>
      <w:r>
        <w:rPr>
          <w:rFonts w:ascii="Times New Roman" w:cs="Times New Roman" w:eastAsia="Times New Roman" w:hAnsi="Times New Roman"/>
          <w:sz w:val="18"/>
          <w:szCs w:val="18"/>
          <w:i w:val="1"/>
          <w:iCs w:val="1"/>
          <w:color w:val="auto"/>
        </w:rPr>
        <w:t>In re BioXcel Therapeutics, Inc. Derivative Litigation,</w:t>
      </w:r>
      <w:r>
        <w:rPr>
          <w:rFonts w:ascii="Times New Roman" w:cs="Times New Roman" w:eastAsia="Times New Roman" w:hAnsi="Times New Roman"/>
          <w:sz w:val="18"/>
          <w:szCs w:val="18"/>
          <w:color w:val="auto"/>
        </w:rPr>
        <w:t xml:space="preserve"> 1:24-cv-00041 (D. Del.). The consolidated action is currently stayed.</w:t>
      </w:r>
    </w:p>
    <w:p>
      <w:pPr>
        <w:spacing w:after="0" w:line="151"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May 7, 2025, Plaintiff Yaakov Portnoy filed a stockholder derivative complaint in the Court of Chancery of the State of Delaware purportedly on behalf of the Company and against Vimal Mehta, Peter Mueller, June Bray, Sandeep “Steve” Laumas, Michael P. Miller, Michal Votruba, Richard I. Steinhart, Robert Risinger, and Krishnan Nandabalan, and the Company as Nominal Defendant under the caption </w:t>
      </w:r>
      <w:r>
        <w:rPr>
          <w:rFonts w:ascii="Times New Roman" w:cs="Times New Roman" w:eastAsia="Times New Roman" w:hAnsi="Times New Roman"/>
          <w:sz w:val="18"/>
          <w:szCs w:val="18"/>
          <w:i w:val="1"/>
          <w:iCs w:val="1"/>
          <w:color w:val="auto"/>
        </w:rPr>
        <w:t>Yaakov Portnoy, derivatively on behalf of BioXcel Therapeutics,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v. Vimal Mehta, et al</w:t>
      </w:r>
      <w:r>
        <w:rPr>
          <w:rFonts w:ascii="Times New Roman" w:cs="Times New Roman" w:eastAsia="Times New Roman" w:hAnsi="Times New Roman"/>
          <w:sz w:val="18"/>
          <w:szCs w:val="18"/>
          <w:color w:val="auto"/>
        </w:rPr>
        <w:t>, 2025-0508-BWD (Del. Ch.). The complaint alleges similar claims to those raised in</w:t>
      </w:r>
      <w:r>
        <w:rPr>
          <w:rFonts w:ascii="Times New Roman" w:cs="Times New Roman" w:eastAsia="Times New Roman" w:hAnsi="Times New Roman"/>
          <w:sz w:val="18"/>
          <w:szCs w:val="18"/>
          <w:i w:val="1"/>
          <w:iCs w:val="1"/>
          <w:color w:val="auto"/>
        </w:rPr>
        <w:t xml:space="preserve"> In re BioXcel Therapeutics, Inc. Derivative Litigation</w:t>
      </w:r>
      <w:r>
        <w:rPr>
          <w:rFonts w:ascii="Times New Roman" w:cs="Times New Roman" w:eastAsia="Times New Roman" w:hAnsi="Times New Roman"/>
          <w:sz w:val="18"/>
          <w:szCs w:val="18"/>
          <w:color w:val="auto"/>
        </w:rPr>
        <w:t>, 1:24-cv-00041 (D. Del.), including business torts.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Company is also cooperating with a formal investigation of the Company and certain of its officers and directors by the SEC, relating to the Company’s public disclosures—including about product sales and the receipt of a Form 483 by an investigator at one of the Company’s clinical trial sites in the TRANQUILITY II study, and the Company’s technology platform—and trading in the securities of the Company. The Company has produced documents, and current and former officers and employees of the Company have testified before the SEC. The above-captioned proceedings, as well as any investigation or proceeding that may be instituted by the SEC may result in substantial costs or liabilities, as well as a diversion of management’s attention and resources, which could harm our business, result in a decline in the market price of our common stock and impact our financing efforts.</w:t>
      </w:r>
    </w:p>
    <w:p>
      <w:pPr>
        <w:spacing w:after="0" w:line="165"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The potential costs and liabilities associated with legal proceedings, claims and investigations involving us or members of our leadership team is uncertain, and the results of such legal proceedings, claims and investigations cannot be predicted with certainty. Lawsuits and other administrative or legal proceedings that may arise can involve substantial costs, including the costs associated with investigation, litigation and possible settlement, judgment, penalty or fine. In addition, lawsuits and other legal proceedings may be time consuming to defend or prosecute and may require a commitment of management and personnel resources that will be diverted from our normal business operations. Also, our insurance coverage may be insufficient, our assets may be insufficient to cover any amounts that exceed our insurance coverage, and we may have to pay damage awards or otherwise may enter into settlement arrangements in connection with such claims. Moreover, we may be unable to continue to maintain our existing insurance at a reasonable cost, if at all, or to secure additional coverage, which may result in costs associated with lawsuits and other legal proceedings being uninsured.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 In addition, such lawsuits may make it more difficult to finance our operations.</w:t>
      </w:r>
    </w:p>
    <w:p>
      <w:pPr>
        <w:spacing w:after="0" w:line="154" w:lineRule="exact"/>
        <w:rPr>
          <w:sz w:val="20"/>
          <w:szCs w:val="20"/>
          <w:color w:val="auto"/>
        </w:rPr>
      </w:pPr>
    </w:p>
    <w:p>
      <w:pPr>
        <w:ind w:left="60" w:right="379" w:firstLine="324"/>
        <w:spacing w:after="0" w:line="258" w:lineRule="auto"/>
        <w:rPr>
          <w:sz w:val="20"/>
          <w:szCs w:val="20"/>
          <w:color w:val="auto"/>
        </w:rPr>
      </w:pPr>
      <w:r>
        <w:rPr>
          <w:rFonts w:ascii="Times New Roman" w:cs="Times New Roman" w:eastAsia="Times New Roman" w:hAnsi="Times New Roman"/>
          <w:sz w:val="18"/>
          <w:szCs w:val="18"/>
          <w:color w:val="auto"/>
        </w:rPr>
        <w:t>Biotechnology and pharmaceutical companies with publicly traded stock or who obtain funding through the stock market often experience significant stock price volatility, based on events beyond their control, including outcomes of clinical trials, actions of regulators and product approvals. Such further litigation, may result in substantial costs and a diversion of management’s attention and resources, which could harm our business and result in a decline in the market price of our common stock.</w:t>
      </w:r>
    </w:p>
    <w:p>
      <w:pPr>
        <w:spacing w:after="0" w:line="139"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our bylaws, and Delaware law may have anti-takeover effects that could discourage, delay, or prevent a change in control, which may cause our stock price to decline.</w:t>
      </w:r>
    </w:p>
    <w:p>
      <w:pPr>
        <w:spacing w:after="0" w:line="132"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our amended and restated bylaws and Delaware law could make it more difficult for a third party to acquire us, even if closing such a transaction would be beneficial to our stockholders. We are authorized to issue up to 10 million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54" w:lineRule="exact"/>
        <w:rPr>
          <w:sz w:val="20"/>
          <w:szCs w:val="20"/>
          <w:color w:val="auto"/>
        </w:rPr>
      </w:pPr>
    </w:p>
    <w:p>
      <w:pPr>
        <w:ind w:left="60" w:right="439" w:firstLine="324"/>
        <w:spacing w:after="0" w:line="258"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43" w:lineRule="exact"/>
        <w:rPr>
          <w:sz w:val="20"/>
          <w:szCs w:val="20"/>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board of directors with the ability to alter the bylaws without stockholder approval;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limitations on the removal of directors;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7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upon at stockholder meetings; and</w:t>
      </w:r>
    </w:p>
    <w:p>
      <w:pPr>
        <w:spacing w:after="0" w:line="134"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may be filled by a majority of directors in office, although less than a quorum.</w:t>
      </w:r>
    </w:p>
    <w:p>
      <w:pPr>
        <w:spacing w:after="0" w:line="117"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reporting obligations of being a public company in the U.S. are expensive and time-consuming, and our management is required to devote substantial time to compliance matters.</w:t>
      </w:r>
    </w:p>
    <w:p>
      <w:pPr>
        <w:spacing w:after="0" w:line="118" w:lineRule="exact"/>
        <w:rPr>
          <w:sz w:val="20"/>
          <w:szCs w:val="20"/>
          <w:color w:val="auto"/>
        </w:rPr>
      </w:pPr>
    </w:p>
    <w:p>
      <w:pPr>
        <w:ind w:left="60" w:right="199" w:firstLine="324"/>
        <w:spacing w:after="0" w:line="252" w:lineRule="auto"/>
        <w:rPr>
          <w:sz w:val="20"/>
          <w:szCs w:val="20"/>
          <w:color w:val="auto"/>
        </w:rPr>
      </w:pPr>
      <w:r>
        <w:rPr>
          <w:rFonts w:ascii="Times New Roman" w:cs="Times New Roman" w:eastAsia="Times New Roman" w:hAnsi="Times New Roman"/>
          <w:sz w:val="18"/>
          <w:szCs w:val="18"/>
          <w:color w:val="auto"/>
        </w:rPr>
        <w:t>As a publicly traded company we have incurred and will continue to incur significant legal, accounting and other expenses. The obligations of being a public company in the U.S.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the Dodd-Frank Wall Street Reform and Consumer Protection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as we are no longer an “emerging growth company.” In addition, we expect these and similar rules and regulations to make it more difficult and more expensive for us to obtain director and officer liability insurance and we may be required to incur substantial costs to maintain such insurance. Our continued compliance with applicable requirements and to keep pace with new regulations requires management and other personnel to devote a substantial amount of their time, otherwise we may fall out of compliance and risk becoming subject to litigation or being delisted, among other potential problems.</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18"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which has occurred in the past,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57"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rules under the Sarbanes-Oxley Act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34"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We have discovered material weaknesses in the past. If future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financial reports or prevent fraud, our business and operating results could be harmed, investors could lose confidence in our reported financial information, and the trading price of our common stock could drop significantly.</w:t>
      </w:r>
    </w:p>
    <w:p>
      <w:pPr>
        <w:spacing w:after="0" w:line="131"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exposure to additional income tax liabilities could have a material impact on our business, results of operations, financial condition and cash flows.</w:t>
      </w:r>
    </w:p>
    <w:p>
      <w:pPr>
        <w:spacing w:after="0" w:line="159" w:lineRule="exact"/>
        <w:rPr>
          <w:sz w:val="20"/>
          <w:szCs w:val="20"/>
          <w:color w:val="auto"/>
        </w:rPr>
      </w:pPr>
    </w:p>
    <w:p>
      <w:pPr>
        <w:ind w:left="60" w:right="179" w:firstLine="648"/>
        <w:spacing w:after="0" w:line="252" w:lineRule="auto"/>
        <w:rPr>
          <w:sz w:val="20"/>
          <w:szCs w:val="20"/>
          <w:color w:val="auto"/>
        </w:rPr>
      </w:pPr>
      <w:r>
        <w:rPr>
          <w:rFonts w:ascii="Times New Roman" w:cs="Times New Roman" w:eastAsia="Times New Roman" w:hAnsi="Times New Roman"/>
          <w:sz w:val="18"/>
          <w:szCs w:val="18"/>
          <w:color w:val="auto"/>
        </w:rPr>
        <w:t>The tax regimes we are subject to or operate under, including income and non-income taxes, are unsettled and may be subject to significant change. Changes in tax laws, regulations, or rulings, or changes in interpretations of existing laws and regulations, could materially adversely affect our business, financial condition, results of operations, and prospects. For example, the TCJA, the Coronavirus Aid, Relief and Economic Security Act, and the Inflation Reduction Act (the “IRA”) made many significant changes to the U.S. tax laws. Beginning in 2022, the TCJA requires taxpayers to capitalize and amortize certain research and development expenditures over five years if incurred in the U.S. and 15 years if incurred in foreign jurisdictions, rather than deducting them currently. Although there have been legislative proposals to repeal or defer the research and development expenditure capitalization requirement to later years, there can be no assurance that the provision will be repealed or otherwise modified. As another example, the IRA includes provisions that will impact the U.S. federal income taxation of certain corporations, including imposing a minimum tax on the book income of certain large corporations and a 1% excise tax on the value of certain corporate stock repurchases by publicly traded companies that would be imposed on the company repurchasing such stock. Regulatory or accounting guidance with respect to existing or future tax laws could materially affect our tax obligations and effective tax rate. It is uncertain if, and to what extent, various states will conform to current federal law or any newly enacted federal tax legislation.</w:t>
      </w:r>
    </w:p>
    <w:p>
      <w:pPr>
        <w:spacing w:after="0" w:line="193"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indirect taxes in various jurisdictions could materially adversely affect our business, financial condition, results of operations, and prospects.</w:t>
      </w:r>
    </w:p>
    <w:p>
      <w:pPr>
        <w:spacing w:after="0" w:line="15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currently collect and remit applicable indirect taxes in jurisdictions where we, through our employees or economic activity, have a presence and where we have determined, based on applicable legal precedents, that our activities are taxable. We do not currently collect and remit indirect taxes, including state and local excise, utility user, and ad valorem taxes, fees, and surcharges in jurisdictions where we believe we do not have sufficient “nexus.” Tax authorities may challenge our position that we do not have sufficient nexus in a taxing jurisdiction or that our activities are not taxable in such jurisdiction and may decide to audit our business and operations with respect to indirect taxes, which could result in significant tax liabilities (including related penalties and interest) for us or our customers, which could materially adversely affect our business, financial condition, results of operations, and prospects.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20" w:hanging="246"/>
        <w:spacing w:after="0"/>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84" w:lineRule="exact"/>
        <w:rPr>
          <w:rFonts w:ascii="Times New Roman" w:cs="Times New Roman" w:eastAsia="Times New Roman" w:hAnsi="Times New Roman"/>
          <w:sz w:val="18"/>
          <w:szCs w:val="18"/>
          <w:color w:val="auto"/>
        </w:rPr>
      </w:pPr>
    </w:p>
    <w:p>
      <w:pPr>
        <w:ind w:left="620" w:hanging="246"/>
        <w:spacing w:after="0"/>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0" w:right="539" w:firstLine="314"/>
        <w:spacing w:after="0" w:line="266" w:lineRule="auto"/>
        <w:tabs>
          <w:tab w:leader="none" w:pos="63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2025, none of our directors or “officers” (as defined in Rule 16a-1(f) under the Exchange Act) adopted or terminated a “Rule 10b5-1 trading arrangement” or “non-Rule 10b5-1 trading arrangement,” as each term is defined in Item 408(a) of Regulation S-K.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064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20" w:type="dxa"/>
            <w:vAlign w:val="bottom"/>
            <w:gridSpan w:val="2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gridSpan w:val="2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69"/>
        </w:trPr>
        <w:tc>
          <w:tcPr>
            <w:tcW w:w="6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14"/>
                <w:szCs w:val="14"/>
                <w:color w:val="auto"/>
              </w:rPr>
            </w:pPr>
          </w:p>
        </w:tc>
        <w:tc>
          <w:tcPr>
            <w:tcW w:w="2920" w:type="dxa"/>
            <w:vAlign w:val="bottom"/>
            <w:tcBorders>
              <w:top w:val="single" w:sz="8" w:color="auto"/>
            </w:tcBorders>
            <w:gridSpan w:val="22"/>
          </w:tcPr>
          <w:p>
            <w:pPr>
              <w:spacing w:after="0" w:line="169"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Amended and Restated Certificate of</w:t>
              </w:r>
            </w:hyperlink>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260" w:type="dxa"/>
            <w:vAlign w:val="bottom"/>
          </w:tcPr>
          <w:p>
            <w:pPr>
              <w:spacing w:after="0"/>
              <w:rPr>
                <w:sz w:val="14"/>
                <w:szCs w:val="14"/>
                <w:color w:val="auto"/>
              </w:rPr>
            </w:pPr>
          </w:p>
        </w:tc>
        <w:tc>
          <w:tcPr>
            <w:tcW w:w="1240" w:type="dxa"/>
            <w:vAlign w:val="bottom"/>
            <w:tcBorders>
              <w:top w:val="single" w:sz="8" w:color="auto"/>
            </w:tcBorders>
          </w:tcPr>
          <w:p>
            <w:pPr>
              <w:jc w:val="right"/>
              <w:ind w:right="133"/>
              <w:spacing w:after="0" w:line="169" w:lineRule="exact"/>
              <w:rPr>
                <w:sz w:val="20"/>
                <w:szCs w:val="20"/>
                <w:color w:val="auto"/>
              </w:rPr>
            </w:pPr>
            <w:r>
              <w:rPr>
                <w:rFonts w:ascii="Times New Roman" w:cs="Times New Roman" w:eastAsia="Times New Roman" w:hAnsi="Times New Roman"/>
                <w:sz w:val="18"/>
                <w:szCs w:val="18"/>
                <w:color w:val="auto"/>
              </w:rPr>
              <w:t>001-38410</w:t>
            </w:r>
          </w:p>
        </w:tc>
        <w:tc>
          <w:tcPr>
            <w:tcW w:w="160" w:type="dxa"/>
            <w:vAlign w:val="bottom"/>
          </w:tcPr>
          <w:p>
            <w:pPr>
              <w:spacing w:after="0"/>
              <w:rPr>
                <w:sz w:val="14"/>
                <w:szCs w:val="14"/>
                <w:color w:val="auto"/>
              </w:rPr>
            </w:pPr>
          </w:p>
        </w:tc>
        <w:tc>
          <w:tcPr>
            <w:tcW w:w="5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8/10/2021</w:t>
            </w:r>
          </w:p>
        </w:tc>
        <w:tc>
          <w:tcPr>
            <w:tcW w:w="2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Incorporation, as amended.</w:t>
              </w:r>
            </w:hyperlink>
          </w:p>
        </w:tc>
        <w:tc>
          <w:tcPr>
            <w:tcW w:w="700" w:type="dxa"/>
            <w:vAlign w:val="bottom"/>
            <w:tcBorders>
              <w:top w:val="single" w:sz="8" w:color="0000EE"/>
            </w:tcBorders>
            <w:gridSpan w:val="7"/>
          </w:tcPr>
          <w:p>
            <w:pPr>
              <w:spacing w:after="0"/>
              <w:rPr>
                <w:sz w:val="17"/>
                <w:szCs w:val="17"/>
                <w:color w:val="auto"/>
              </w:rPr>
            </w:pPr>
          </w:p>
        </w:tc>
        <w:tc>
          <w:tcPr>
            <w:tcW w:w="420" w:type="dxa"/>
            <w:vAlign w:val="bottom"/>
            <w:gridSpan w:val="12"/>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28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Certificate of Amendment to Amended</w:t>
              </w:r>
            </w:hyperlink>
          </w:p>
        </w:tc>
        <w:tc>
          <w:tcPr>
            <w:tcW w:w="260" w:type="dxa"/>
            <w:vAlign w:val="bottom"/>
            <w:gridSpan w:val="6"/>
          </w:tcPr>
          <w:p>
            <w:pPr>
              <w:spacing w:after="0"/>
              <w:rPr>
                <w:sz w:val="24"/>
                <w:szCs w:val="24"/>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001-38410</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6/11/2024</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53">
              <w:r>
                <w:rPr>
                  <w:rFonts w:ascii="Times New Roman" w:cs="Times New Roman" w:eastAsia="Times New Roman" w:hAnsi="Times New Roman"/>
                  <w:sz w:val="18"/>
                  <w:szCs w:val="18"/>
                  <w:color w:val="0000EE"/>
                  <w:w w:val="98"/>
                </w:rPr>
                <w:t>and Restated Certificate of</w:t>
              </w:r>
            </w:hyperlink>
          </w:p>
        </w:tc>
        <w:tc>
          <w:tcPr>
            <w:tcW w:w="1160" w:type="dxa"/>
            <w:vAlign w:val="bottom"/>
            <w:gridSpan w:val="20"/>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Incorporation of BioXcel Therapeutics,</w:t>
              </w:r>
            </w:hyperlink>
          </w:p>
        </w:tc>
        <w:tc>
          <w:tcPr>
            <w:tcW w:w="240" w:type="dxa"/>
            <w:vAlign w:val="bottom"/>
            <w:gridSpan w:val="5"/>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Inc., as amended, dated June 10, 2024.</w:t>
              </w:r>
            </w:hyperlink>
          </w:p>
        </w:tc>
        <w:tc>
          <w:tcPr>
            <w:tcW w:w="300" w:type="dxa"/>
            <w:vAlign w:val="bottom"/>
            <w:gridSpan w:val="8"/>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60" w:type="dxa"/>
            <w:vAlign w:val="bottom"/>
          </w:tcPr>
          <w:p>
            <w:pPr>
              <w:spacing w:after="0"/>
              <w:rPr>
                <w:sz w:val="24"/>
                <w:szCs w:val="24"/>
                <w:color w:val="auto"/>
              </w:rPr>
            </w:pPr>
          </w:p>
        </w:tc>
        <w:tc>
          <w:tcPr>
            <w:tcW w:w="23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Certificate of Amendment to the</w:t>
              </w:r>
            </w:hyperlink>
          </w:p>
        </w:tc>
        <w:tc>
          <w:tcPr>
            <w:tcW w:w="740" w:type="dxa"/>
            <w:vAlign w:val="bottom"/>
            <w:gridSpan w:val="16"/>
          </w:tcPr>
          <w:p>
            <w:pPr>
              <w:spacing w:after="0"/>
              <w:rPr>
                <w:sz w:val="24"/>
                <w:szCs w:val="24"/>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001-38410</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2/6/2025</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4"/>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Amended and Restated Certificate of</w:t>
              </w:r>
            </w:hyperlink>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Incorporation of BioXcel Therapeutics,</w:t>
              </w:r>
            </w:hyperlink>
          </w:p>
        </w:tc>
        <w:tc>
          <w:tcPr>
            <w:tcW w:w="240" w:type="dxa"/>
            <w:vAlign w:val="bottom"/>
            <w:gridSpan w:val="5"/>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4"/>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Inc.</w:t>
              </w:r>
            </w:hyperlink>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60" w:type="dxa"/>
            <w:vAlign w:val="bottom"/>
          </w:tcPr>
          <w:p>
            <w:pPr>
              <w:spacing w:after="0"/>
              <w:rPr>
                <w:sz w:val="24"/>
                <w:szCs w:val="24"/>
                <w:color w:val="auto"/>
              </w:rPr>
            </w:pPr>
          </w:p>
        </w:tc>
        <w:tc>
          <w:tcPr>
            <w:tcW w:w="23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Amended and Restated Bylaws.</w:t>
              </w:r>
            </w:hyperlink>
          </w:p>
        </w:tc>
        <w:tc>
          <w:tcPr>
            <w:tcW w:w="780" w:type="dxa"/>
            <w:vAlign w:val="bottom"/>
            <w:gridSpan w:val="17"/>
          </w:tcPr>
          <w:p>
            <w:pPr>
              <w:spacing w:after="0"/>
              <w:rPr>
                <w:sz w:val="24"/>
                <w:szCs w:val="24"/>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001-38410</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3/13/2018</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60" w:type="dxa"/>
            <w:vAlign w:val="bottom"/>
          </w:tcPr>
          <w:p>
            <w:pPr>
              <w:spacing w:after="0"/>
              <w:rPr>
                <w:sz w:val="24"/>
                <w:szCs w:val="24"/>
                <w:color w:val="auto"/>
              </w:rPr>
            </w:pPr>
          </w:p>
        </w:tc>
        <w:tc>
          <w:tcPr>
            <w:tcW w:w="3080" w:type="dxa"/>
            <w:vAlign w:val="bottom"/>
            <w:gridSpan w:val="24"/>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Equity Distribution Agreement, by and</w:t>
              </w:r>
            </w:hyperlink>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001-38410</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4/3/2025</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between the Company and Canaccord</w:t>
              </w:r>
            </w:hyperlink>
          </w:p>
        </w:tc>
        <w:tc>
          <w:tcPr>
            <w:tcW w:w="60" w:type="dxa"/>
            <w:vAlign w:val="bottom"/>
            <w:tcBorders>
              <w:top w:val="single" w:sz="8" w:color="0000EE"/>
            </w:tcBorders>
            <w:gridSpan w:val="2"/>
          </w:tcPr>
          <w:p>
            <w:pPr>
              <w:spacing w:after="0"/>
              <w:rPr>
                <w:sz w:val="17"/>
                <w:szCs w:val="17"/>
                <w:color w:val="auto"/>
              </w:rPr>
            </w:pPr>
          </w:p>
        </w:tc>
        <w:tc>
          <w:tcPr>
            <w:tcW w:w="280" w:type="dxa"/>
            <w:vAlign w:val="bottom"/>
            <w:gridSpan w:val="7"/>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56">
              <w:r>
                <w:rPr>
                  <w:rFonts w:ascii="Times New Roman" w:cs="Times New Roman" w:eastAsia="Times New Roman" w:hAnsi="Times New Roman"/>
                  <w:sz w:val="18"/>
                  <w:szCs w:val="18"/>
                  <w:color w:val="0000EE"/>
                  <w:w w:val="97"/>
                </w:rPr>
                <w:t>Genuity LLC</w:t>
              </w:r>
            </w:hyperlink>
          </w:p>
        </w:tc>
        <w:tc>
          <w:tcPr>
            <w:tcW w:w="2120" w:type="dxa"/>
            <w:vAlign w:val="bottom"/>
            <w:gridSpan w:val="22"/>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60" w:type="dxa"/>
            <w:vAlign w:val="bottom"/>
          </w:tcPr>
          <w:p>
            <w:pPr>
              <w:spacing w:after="0"/>
              <w:rPr>
                <w:sz w:val="24"/>
                <w:szCs w:val="24"/>
                <w:color w:val="auto"/>
              </w:rPr>
            </w:pPr>
          </w:p>
        </w:tc>
        <w:tc>
          <w:tcPr>
            <w:tcW w:w="25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w:t>
            </w:r>
          </w:p>
        </w:tc>
        <w:tc>
          <w:tcPr>
            <w:tcW w:w="520" w:type="dxa"/>
            <w:vAlign w:val="bottom"/>
            <w:gridSpan w:val="13"/>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Rules 13a-14(a) and</w:t>
            </w:r>
          </w:p>
        </w:tc>
        <w:tc>
          <w:tcPr>
            <w:tcW w:w="20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15d-14(a) under the Securities</w:t>
            </w:r>
          </w:p>
        </w:tc>
        <w:tc>
          <w:tcPr>
            <w:tcW w:w="900" w:type="dxa"/>
            <w:vAlign w:val="bottom"/>
            <w:gridSpan w:val="18"/>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w:t>
            </w:r>
          </w:p>
        </w:tc>
        <w:tc>
          <w:tcPr>
            <w:tcW w:w="560" w:type="dxa"/>
            <w:vAlign w:val="bottom"/>
            <w:gridSpan w:val="14"/>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60" w:type="dxa"/>
            <w:vAlign w:val="bottom"/>
          </w:tcPr>
          <w:p>
            <w:pPr>
              <w:spacing w:after="0"/>
              <w:rPr>
                <w:sz w:val="24"/>
                <w:szCs w:val="24"/>
                <w:color w:val="auto"/>
              </w:rPr>
            </w:pPr>
          </w:p>
        </w:tc>
        <w:tc>
          <w:tcPr>
            <w:tcW w:w="30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gridSpan w:val="9"/>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Rules 13a-14(a) and</w:t>
            </w:r>
          </w:p>
        </w:tc>
        <w:tc>
          <w:tcPr>
            <w:tcW w:w="20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15d-14(a) under the Securities</w:t>
            </w:r>
          </w:p>
        </w:tc>
        <w:tc>
          <w:tcPr>
            <w:tcW w:w="900" w:type="dxa"/>
            <w:vAlign w:val="bottom"/>
            <w:gridSpan w:val="18"/>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w:t>
            </w:r>
          </w:p>
        </w:tc>
        <w:tc>
          <w:tcPr>
            <w:tcW w:w="560" w:type="dxa"/>
            <w:vAlign w:val="bottom"/>
            <w:gridSpan w:val="14"/>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345"/>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160" w:type="dxa"/>
            <w:vAlign w:val="bottom"/>
          </w:tcPr>
          <w:p>
            <w:pPr>
              <w:spacing w:after="0"/>
              <w:rPr>
                <w:sz w:val="24"/>
                <w:szCs w:val="24"/>
                <w:color w:val="auto"/>
              </w:rPr>
            </w:pPr>
          </w:p>
        </w:tc>
        <w:tc>
          <w:tcPr>
            <w:tcW w:w="25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w:t>
            </w:r>
          </w:p>
        </w:tc>
        <w:tc>
          <w:tcPr>
            <w:tcW w:w="520" w:type="dxa"/>
            <w:vAlign w:val="bottom"/>
            <w:gridSpan w:val="13"/>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18 U.S.C. Section</w:t>
            </w:r>
          </w:p>
        </w:tc>
        <w:tc>
          <w:tcPr>
            <w:tcW w:w="360" w:type="dxa"/>
            <w:vAlign w:val="bottom"/>
            <w:gridSpan w:val="10"/>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1350, as Adopted Pursuant to Section</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00" w:type="dxa"/>
            <w:vAlign w:val="bottom"/>
            <w:gridSpan w:val="13"/>
            <w:shd w:val="clear" w:color="auto" w:fill="0000EE"/>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906 of the Sarbanes-Oxley Act of 2002.</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160" w:type="dxa"/>
            <w:vAlign w:val="bottom"/>
          </w:tcPr>
          <w:p>
            <w:pPr>
              <w:spacing w:after="0"/>
              <w:rPr>
                <w:sz w:val="24"/>
                <w:szCs w:val="24"/>
                <w:color w:val="auto"/>
              </w:rPr>
            </w:pPr>
          </w:p>
        </w:tc>
        <w:tc>
          <w:tcPr>
            <w:tcW w:w="286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220" w:type="dxa"/>
            <w:vAlign w:val="bottom"/>
            <w:gridSpan w:val="4"/>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gridSpan w:val="9"/>
            <w:shd w:val="clear" w:color="auto" w:fill="0000EE"/>
          </w:tcPr>
          <w:p>
            <w:pPr>
              <w:spacing w:after="0" w:line="20" w:lineRule="exact"/>
              <w:rPr>
                <w:sz w:val="1"/>
                <w:szCs w:val="1"/>
                <w:color w:val="auto"/>
              </w:rPr>
            </w:pPr>
          </w:p>
        </w:tc>
        <w:tc>
          <w:tcPr>
            <w:tcW w:w="58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18 U.S.C. Section</w:t>
            </w:r>
          </w:p>
        </w:tc>
        <w:tc>
          <w:tcPr>
            <w:tcW w:w="360" w:type="dxa"/>
            <w:vAlign w:val="bottom"/>
            <w:gridSpan w:val="10"/>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1350, as Adopted Pursuant to Section</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00" w:type="dxa"/>
            <w:vAlign w:val="bottom"/>
            <w:gridSpan w:val="13"/>
            <w:shd w:val="clear" w:color="auto" w:fill="0000EE"/>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906 of the Sarbanes-Oxley Act of 2002.</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101.INS</w:t>
            </w:r>
          </w:p>
        </w:tc>
        <w:tc>
          <w:tcPr>
            <w:tcW w:w="286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20" w:type="dxa"/>
            <w:vAlign w:val="bottom"/>
            <w:gridSpan w:val="4"/>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bl>
    <w:p>
      <w:pPr>
        <w:ind w:left="880" w:right="5259" w:hanging="5"/>
        <w:spacing w:after="0" w:line="253" w:lineRule="auto"/>
        <w:tabs>
          <w:tab w:leader="none" w:pos="9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5606415"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40" w:type="dxa"/>
            <w:vAlign w:val="bottom"/>
          </w:tcPr>
          <w:p>
            <w:pPr>
              <w:spacing w:after="0"/>
              <w:rPr>
                <w:sz w:val="20"/>
                <w:szCs w:val="20"/>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Schema Document</w:t>
            </w:r>
          </w:p>
        </w:tc>
        <w:tc>
          <w:tcPr>
            <w:tcW w:w="2560" w:type="dxa"/>
            <w:vAlign w:val="bottom"/>
          </w:tcPr>
          <w:p>
            <w:pPr>
              <w:spacing w:after="0"/>
              <w:rPr>
                <w:sz w:val="20"/>
                <w:szCs w:val="20"/>
                <w:color w:val="auto"/>
              </w:rPr>
            </w:pPr>
          </w:p>
        </w:tc>
      </w:tr>
      <w:tr>
        <w:trPr>
          <w:trHeight w:val="346"/>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40" w:type="dxa"/>
            <w:vAlign w:val="bottom"/>
          </w:tcPr>
          <w:p>
            <w:pPr>
              <w:spacing w:after="0"/>
              <w:rPr>
                <w:sz w:val="20"/>
                <w:szCs w:val="20"/>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2560" w:type="dxa"/>
            <w:vAlign w:val="bottom"/>
          </w:tcPr>
          <w:p>
            <w:pPr>
              <w:spacing w:after="0"/>
              <w:rPr>
                <w:sz w:val="20"/>
                <w:szCs w:val="20"/>
                <w:color w:val="auto"/>
              </w:rPr>
            </w:pPr>
          </w:p>
        </w:tc>
      </w:tr>
      <w:tr>
        <w:trPr>
          <w:trHeight w:val="346"/>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40" w:type="dxa"/>
            <w:vAlign w:val="bottom"/>
          </w:tcPr>
          <w:p>
            <w:pPr>
              <w:spacing w:after="0"/>
              <w:rPr>
                <w:sz w:val="20"/>
                <w:szCs w:val="20"/>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2560" w:type="dxa"/>
            <w:vAlign w:val="bottom"/>
          </w:tcPr>
          <w:p>
            <w:pPr>
              <w:spacing w:after="0"/>
              <w:rPr>
                <w:sz w:val="20"/>
                <w:szCs w:val="20"/>
                <w:color w:val="auto"/>
              </w:rPr>
            </w:pPr>
          </w:p>
        </w:tc>
      </w:tr>
      <w:tr>
        <w:trPr>
          <w:trHeight w:val="346"/>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740" w:type="dxa"/>
            <w:vAlign w:val="bottom"/>
          </w:tcPr>
          <w:p>
            <w:pPr>
              <w:spacing w:after="0"/>
              <w:rPr>
                <w:sz w:val="20"/>
                <w:szCs w:val="20"/>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Label Linkbase Document</w:t>
            </w:r>
          </w:p>
        </w:tc>
        <w:tc>
          <w:tcPr>
            <w:tcW w:w="2560" w:type="dxa"/>
            <w:vAlign w:val="bottom"/>
          </w:tcPr>
          <w:p>
            <w:pPr>
              <w:spacing w:after="0"/>
              <w:rPr>
                <w:sz w:val="20"/>
                <w:szCs w:val="20"/>
                <w:color w:val="auto"/>
              </w:rPr>
            </w:pPr>
          </w:p>
        </w:tc>
      </w:tr>
      <w:tr>
        <w:trPr>
          <w:trHeight w:val="346"/>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40" w:type="dxa"/>
            <w:vAlign w:val="bottom"/>
          </w:tcPr>
          <w:p>
            <w:pPr>
              <w:spacing w:after="0"/>
              <w:rPr>
                <w:sz w:val="20"/>
                <w:szCs w:val="20"/>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2560" w:type="dxa"/>
            <w:vAlign w:val="bottom"/>
          </w:tcPr>
          <w:p>
            <w:pPr>
              <w:spacing w:after="0"/>
              <w:rPr>
                <w:sz w:val="20"/>
                <w:szCs w:val="20"/>
                <w:color w:val="auto"/>
              </w:rPr>
            </w:pPr>
          </w:p>
        </w:tc>
      </w:tr>
      <w:tr>
        <w:trPr>
          <w:trHeight w:val="346"/>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740" w:type="dxa"/>
            <w:vAlign w:val="bottom"/>
          </w:tcPr>
          <w:p>
            <w:pPr>
              <w:spacing w:after="0"/>
              <w:rPr>
                <w:sz w:val="18"/>
                <w:szCs w:val="18"/>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(formatted as Inline XBRL and</w:t>
            </w:r>
          </w:p>
        </w:tc>
        <w:tc>
          <w:tcPr>
            <w:tcW w:w="256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contained in Exhibit 101).</w:t>
            </w:r>
          </w:p>
        </w:tc>
        <w:tc>
          <w:tcPr>
            <w:tcW w:w="2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05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18" w:lineRule="exact"/>
        <w:rPr>
          <w:sz w:val="20"/>
          <w:szCs w:val="20"/>
          <w:color w:val="auto"/>
        </w:rPr>
      </w:pPr>
    </w:p>
    <w:p>
      <w:pPr>
        <w:ind w:left="380" w:hanging="330"/>
        <w:spacing w:after="0"/>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BioXcel Therapeutics, Inc.</w:t>
            </w:r>
          </w:p>
        </w:tc>
      </w:tr>
      <w:tr>
        <w:trPr>
          <w:trHeight w:val="41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12, 2025</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Vimal Mehta</w:t>
            </w:r>
          </w:p>
        </w:tc>
      </w:tr>
      <w:tr>
        <w:trPr>
          <w:trHeight w:val="191"/>
        </w:trPr>
        <w:tc>
          <w:tcPr>
            <w:tcW w:w="44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Vimal Mehta</w:t>
            </w:r>
          </w:p>
        </w:tc>
      </w:tr>
      <w:tr>
        <w:trPr>
          <w:trHeight w:val="214"/>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12, 2025</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34"/>
        </w:trPr>
        <w:tc>
          <w:tcPr>
            <w:tcW w:w="4400" w:type="dxa"/>
            <w:vAlign w:val="bottom"/>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Steinhart</w:t>
            </w:r>
          </w:p>
        </w:tc>
      </w:tr>
      <w:tr>
        <w:trPr>
          <w:trHeight w:val="191"/>
        </w:trPr>
        <w:tc>
          <w:tcPr>
            <w:tcW w:w="44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4"/>
        </w:trPr>
        <w:tc>
          <w:tcPr>
            <w:tcW w:w="44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4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064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6" w:name="page137"/>
    <w:bookmarkEnd w:id="13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Vimal Mehta, Ph.D., certify that:</w:t>
      </w:r>
    </w:p>
    <w:p>
      <w:pPr>
        <w:spacing w:after="0" w:line="360" w:lineRule="exact"/>
        <w:rPr>
          <w:sz w:val="20"/>
          <w:szCs w:val="20"/>
          <w:color w:val="auto"/>
        </w:rPr>
      </w:pPr>
    </w:p>
    <w:p>
      <w:pPr>
        <w:ind w:left="540" w:right="599" w:hanging="331"/>
        <w:spacing w:after="0" w:line="282"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2025 of BioXcel Therapeutics, Inc.;</w:t>
      </w:r>
    </w:p>
    <w:p>
      <w:pPr>
        <w:spacing w:after="0" w:line="134" w:lineRule="exact"/>
        <w:rPr>
          <w:rFonts w:ascii="Times New Roman" w:cs="Times New Roman" w:eastAsia="Times New Roman" w:hAnsi="Times New Roman"/>
          <w:sz w:val="18"/>
          <w:szCs w:val="18"/>
          <w:color w:val="auto"/>
        </w:rPr>
      </w:pPr>
    </w:p>
    <w:p>
      <w:pPr>
        <w:ind w:left="540" w:right="459" w:hanging="331"/>
        <w:spacing w:after="0" w:line="266"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40" w:right="359" w:hanging="331"/>
        <w:spacing w:after="0" w:line="266"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540" w:right="379" w:hanging="331"/>
        <w:spacing w:after="0" w:line="266"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8"/>
          <w:szCs w:val="18"/>
          <w:color w:val="auto"/>
        </w:rPr>
      </w:pPr>
    </w:p>
    <w:p>
      <w:pPr>
        <w:ind w:left="1180" w:right="339" w:hanging="323"/>
        <w:spacing w:after="0" w:line="266" w:lineRule="auto"/>
        <w:tabs>
          <w:tab w:leader="none" w:pos="11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180" w:right="279" w:hanging="323"/>
        <w:spacing w:after="0" w:line="261" w:lineRule="auto"/>
        <w:tabs>
          <w:tab w:leader="none" w:pos="11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540" w:right="539" w:hanging="331"/>
        <w:spacing w:after="0" w:line="266"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180" w:right="479" w:hanging="323"/>
        <w:spacing w:after="0" w:line="266" w:lineRule="auto"/>
        <w:tabs>
          <w:tab w:leader="none" w:pos="11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180" w:right="259" w:hanging="323"/>
        <w:spacing w:after="0" w:line="282" w:lineRule="auto"/>
        <w:tabs>
          <w:tab w:leader="none" w:pos="11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August 12, 2025</w:t>
            </w:r>
          </w:p>
        </w:tc>
        <w:tc>
          <w:tcPr>
            <w:tcW w:w="56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191"/>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Vimal Mehta, Ph.D.</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7"/>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37" w:name="page138"/>
    <w:bookmarkEnd w:id="13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Richard Steinhart, certify that:</w:t>
      </w:r>
    </w:p>
    <w:p>
      <w:pPr>
        <w:spacing w:after="0" w:line="360" w:lineRule="exact"/>
        <w:rPr>
          <w:sz w:val="20"/>
          <w:szCs w:val="20"/>
          <w:color w:val="auto"/>
        </w:rPr>
      </w:pPr>
    </w:p>
    <w:p>
      <w:pPr>
        <w:ind w:left="540" w:right="599" w:hanging="331"/>
        <w:spacing w:after="0" w:line="282"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2025 of BioXcel Therapeutics, Inc.;</w:t>
      </w:r>
    </w:p>
    <w:p>
      <w:pPr>
        <w:spacing w:after="0" w:line="134" w:lineRule="exact"/>
        <w:rPr>
          <w:rFonts w:ascii="Times New Roman" w:cs="Times New Roman" w:eastAsia="Times New Roman" w:hAnsi="Times New Roman"/>
          <w:sz w:val="18"/>
          <w:szCs w:val="18"/>
          <w:color w:val="auto"/>
        </w:rPr>
      </w:pPr>
    </w:p>
    <w:p>
      <w:pPr>
        <w:ind w:left="540" w:right="459" w:hanging="331"/>
        <w:spacing w:after="0" w:line="266"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40" w:right="359" w:hanging="331"/>
        <w:spacing w:after="0" w:line="266"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379" w:hanging="331"/>
        <w:spacing w:after="0" w:line="266"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8"/>
          <w:szCs w:val="18"/>
          <w:color w:val="auto"/>
        </w:rPr>
      </w:pPr>
    </w:p>
    <w:p>
      <w:pPr>
        <w:ind w:left="1180" w:right="339" w:hanging="323"/>
        <w:spacing w:after="0" w:line="266" w:lineRule="auto"/>
        <w:tabs>
          <w:tab w:leader="none" w:pos="11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180" w:right="279" w:hanging="323"/>
        <w:spacing w:after="0" w:line="261" w:lineRule="auto"/>
        <w:tabs>
          <w:tab w:leader="none" w:pos="11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540" w:right="539" w:hanging="331"/>
        <w:spacing w:after="0" w:line="266"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180" w:right="479" w:hanging="323"/>
        <w:spacing w:after="0" w:line="266" w:lineRule="auto"/>
        <w:tabs>
          <w:tab w:leader="none" w:pos="11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180" w:right="259" w:hanging="323"/>
        <w:spacing w:after="0" w:line="282" w:lineRule="auto"/>
        <w:tabs>
          <w:tab w:leader="none" w:pos="11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August 12, 2025</w:t>
            </w:r>
          </w:p>
        </w:tc>
        <w:tc>
          <w:tcPr>
            <w:tcW w:w="56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Richard Steinhart</w:t>
            </w:r>
          </w:p>
        </w:tc>
      </w:tr>
      <w:tr>
        <w:trPr>
          <w:trHeight w:val="191"/>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38" w:name="page139"/>
    <w:bookmarkEnd w:id="13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4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BioXcel Therapeutics, Inc. (the “Company”) for the quarterly period ended June 30, 2025,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1180" w:right="759" w:hanging="323"/>
        <w:spacing w:after="0" w:line="282" w:lineRule="auto"/>
        <w:tabs>
          <w:tab w:leader="none" w:pos="1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180" w:right="499" w:hanging="323"/>
        <w:spacing w:after="0" w:line="282" w:lineRule="auto"/>
        <w:tabs>
          <w:tab w:leader="none" w:pos="1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August 12, 2025</w:t>
            </w:r>
          </w:p>
        </w:tc>
        <w:tc>
          <w:tcPr>
            <w:tcW w:w="57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191"/>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Vimal Mehta, Ph.D.</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63"/>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39" w:name="page140"/>
    <w:bookmarkEnd w:id="139"/>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47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BioXcel Therapeutics, Inc. (the “Company”) for the quarterly period ended June 30, 2025,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1180" w:right="759" w:hanging="323"/>
        <w:spacing w:after="0" w:line="282" w:lineRule="auto"/>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180" w:right="499" w:hanging="323"/>
        <w:spacing w:after="0" w:line="282" w:lineRule="auto"/>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August 12, 2025</w:t>
            </w:r>
          </w:p>
        </w:tc>
        <w:tc>
          <w:tcPr>
            <w:tcW w:w="56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By: /s/ Richard Steinhart</w:t>
            </w:r>
          </w:p>
        </w:tc>
      </w:tr>
      <w:tr>
        <w:trPr>
          <w:trHeight w:val="191"/>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Richard Steinhart</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3"/>
        </w:trPr>
        <w:tc>
          <w:tcPr>
            <w:tcW w:w="20" w:type="dxa"/>
            <w:vAlign w:val="bottom"/>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1)"/>
      <w:numFmt w:val="lowerRoman"/>
      <w:start w:val="2"/>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1)"/>
      <w:numFmt w:val="lowerLetter"/>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52" Type="http://schemas.openxmlformats.org/officeDocument/2006/relationships/hyperlink" Target="https://www.sec.gov/Archives/edgar/data/1720893/000155837021011074/btai-20210630xex3d1.htm" TargetMode="External"/><Relationship Id="rId153" Type="http://schemas.openxmlformats.org/officeDocument/2006/relationships/hyperlink" Target="https://www.sec.gov/Archives/edgar/data/1720893/000110465924070503/tm249625d6_ex3-1.htm" TargetMode="External"/><Relationship Id="rId154" Type="http://schemas.openxmlformats.org/officeDocument/2006/relationships/hyperlink" Target="https://www.sec.gov/Archives/edgar/data/1720893/000110465925009906/tm255604d1_ex3-1.htm" TargetMode="External"/><Relationship Id="rId155" Type="http://schemas.openxmlformats.org/officeDocument/2006/relationships/hyperlink" Target="https://www.sec.gov/Archives/edgar/data/1720893/000110465918016770/a18-8090_1ex3d2.htm" TargetMode="External"/><Relationship Id="rId156" Type="http://schemas.openxmlformats.org/officeDocument/2006/relationships/hyperlink" Target="https://www.sec.gov/Archives/edgar/data/1720893/000110465925031713/tm2511361d2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2025-08-12T08:10:52Z</dcterms:created>
  <dcterms:modified xsi:type="dcterms:W3CDTF">2025-08-12T08:10:52Z</dcterms:modified>
</cp:coreProperties>
</file>