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BioXcel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001-38410</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82-1386754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3880" w:space="720"/>
            <w:col w:w="3420" w:space="720"/>
            <w:col w:w="250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Long Wharf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Haven, CT 06511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(475) 238-6837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240"/>
          </w:cols>
          <w:pgMar w:left="320" w:top="700"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BTAI</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both"/>
        <w:ind w:firstLine="8"/>
        <w:spacing w:after="0" w:line="266" w:lineRule="auto"/>
        <w:tabs>
          <w:tab w:leader="none" w:pos="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8, 2026, trading in the registrant’s common stock was suspended on The Nasdaq Stock Market LLC (“Nasdaq”), and the common stock began trading on the OTC Pink Marketplace under the symbol “BTAIQ.” As of the date of this report, Nasdaq has not filed a Form 25 with the Securities and Exchange Commission with respect to the common stock.</w:t>
      </w:r>
    </w:p>
    <w:p>
      <w:pPr>
        <w:spacing w:after="0" w:line="17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previously disclosed, on August 27, 2026, BioXcel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subsidiaries OnkosXcel Therapeutics, LLC and OnkosXcel Employee Holdings, LLC (together with the Company,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filed voluntary petitions for relief under chapter 11 of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in the United States Bankruptcy Court for the District of Delaware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The chapter 11 cases are being jointly administered under the caption </w:t>
      </w:r>
      <w:r>
        <w:rPr>
          <w:rFonts w:ascii="Times New Roman" w:cs="Times New Roman" w:eastAsia="Times New Roman" w:hAnsi="Times New Roman"/>
          <w:sz w:val="18"/>
          <w:szCs w:val="18"/>
          <w:i w:val="1"/>
          <w:iCs w:val="1"/>
          <w:color w:val="auto"/>
        </w:rPr>
        <w:t>In re BioXcel Therapeutics, Inc., et al.</w:t>
      </w:r>
      <w:r>
        <w:rPr>
          <w:rFonts w:ascii="Times New Roman" w:cs="Times New Roman" w:eastAsia="Times New Roman" w:hAnsi="Times New Roman"/>
          <w:sz w:val="18"/>
          <w:szCs w:val="18"/>
          <w:color w:val="auto"/>
        </w:rPr>
        <w:t>, Case No. 26-11360 (TMH).</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also previously disclosed, on August 27, 2026, the Debtors entered into an Asset Purchase Agreement (as amended,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Teva Pharmaceuticals International GmbH (“</w:t>
      </w:r>
      <w:r>
        <w:rPr>
          <w:rFonts w:ascii="Times New Roman" w:cs="Times New Roman" w:eastAsia="Times New Roman" w:hAnsi="Times New Roman"/>
          <w:sz w:val="18"/>
          <w:szCs w:val="18"/>
          <w:b w:val="1"/>
          <w:bCs w:val="1"/>
          <w:color w:val="auto"/>
        </w:rPr>
        <w:t>Teva</w:t>
      </w:r>
      <w:r>
        <w:rPr>
          <w:rFonts w:ascii="Times New Roman" w:cs="Times New Roman" w:eastAsia="Times New Roman" w:hAnsi="Times New Roman"/>
          <w:sz w:val="18"/>
          <w:szCs w:val="18"/>
          <w:color w:val="auto"/>
        </w:rPr>
        <w:t>”) and, solely for the limited purposes set forth therein, Teva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Limited, pursuant to which Teva agreed to acquire substantially all of the Debtors’ assets and assume certain specified liabilities of the Debtors, subject to higher or otherwise better offers and the approval of the Court.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28, 2026, the Court entered an order approving, among other things, the Debtors’ entry into the Purchase Agreement and bidding procedures for the sale of the Debtors’ assets. Following the bidding process and the receipt of no other qualifying bids, the Debtors cancelled the auction and designated Teva as the successful bidder. On October 21, 2026, the Court entered an order (Docket No. 267) (the “</w:t>
      </w:r>
      <w:r>
        <w:rPr>
          <w:rFonts w:ascii="Times New Roman" w:cs="Times New Roman" w:eastAsia="Times New Roman" w:hAnsi="Times New Roman"/>
          <w:sz w:val="18"/>
          <w:szCs w:val="18"/>
          <w:b w:val="1"/>
          <w:bCs w:val="1"/>
          <w:color w:val="auto"/>
        </w:rPr>
        <w:t>Sale Order</w:t>
      </w:r>
      <w:r>
        <w:rPr>
          <w:rFonts w:ascii="Times New Roman" w:cs="Times New Roman" w:eastAsia="Times New Roman" w:hAnsi="Times New Roman"/>
          <w:sz w:val="18"/>
          <w:szCs w:val="18"/>
          <w:color w:val="auto"/>
        </w:rPr>
        <w:t>”) approving the sale of substantially all of the Debtors’ assets to Teva pursuant to the Purchase Agreement and Sections 105(a), 363 and 365 of the Bankruptcy Code (the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A copy of the Sale Order is filed as Exhibit 99.1 to this Current Report on Form 8-K and is incorporated herein by reference.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26, 2026, the Debtors completed the Sale, pursuant to which Teva acquired substantially all of the Debtors’ neuroscience assets, including the Debtors’ rights to IGALMI® (dexmedetomidine) and BXCL501, related intellectual property, and certain related regulatory filings and approvals, including the pending supplemental new drug application for IGALMI® for at-home use. The assets sold to Teva did not include, among other excluded assets, the Debtors’ rights to BXCL701 and BXCL702, which were retained by the Debtors. At the closing, Teva paid upfront cash consideration of $57.5 million, against which the $5.75 million deposit previously paid by Teva was credited, in addition to certain cure costs as provided in the Purchase Agreement, and Teva assumed certain specified liabilities of the Debtors. The Debtors are also eligible to receive (i) a development milestone payment of up to $67.5 million, contingent upon approval by the U.S. Food and Drug Administration of the pending supplemental new drug application for IGALMI® for at-home use, with the amount payable decreasing based on the timing of such approval, and (ii) if such approval has not been obtained on or prior to February 28, 2027, commercial milestone payments of up to $20.0 million in the aggregate, payable in installments of $10.0 million upon the first achievement of annual net sales of IGALMI® for at-home use of $250 million and $500 million, respectively, on or prior to December 31, 2035. There is no material relationship between the Company or any of its affiliates, directors or officers, on the one hand, and Teva or Teva Pharmaceutical Industries Limited, on the other hand, other than in respect of the Purchase Agreement and the Sale. Pursuant to the Sale Order, the proceeds of the Sale were applied at closing to repay obligations under the Debtors’ debtor-in-possession financing facility in accordance with the Court’s final order authorizing such financing, subject to the retention of certain amounts to fund the wind-down of the Debtors’ estates.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a copy of which is filed as Exhibit 2.1 to this Current Report on Form 8-K and is incorporated herein by reference. The Purchase Agreement has been included to provide investors with information regarding its terms and is not intended to provide any other factual information about the Debtors or Teva. The representations, warranties and covenants contained in the Purchase Agreement were made solely for purposes of the Purchase Agreement and as of specific dates, were solely for the benefit of the parties thereto, and may be subject to limitations agreed upon by the parties, including qualification by confidential disclosures. Investors are not third-party beneficiaries under the Purchase Agreement and should not rely on the representations, warranties and covenants or any descriptions thereof as characterizations of the actual state of facts or condition of the Debtors or Teva.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Termination of Officers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30, 2026, in connection with the Sale and the wind-down of the Company’s affairs,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terminated Vimal Mehta, Ph.D., the Company’s Chief Executive Officer and President, Richard Steinhart, the Company’s Senior Vice President and Chief Financial Officer, Frank Yocca, Ph.D., the Company’s Senior Vice President and Chief Scientific Officer, and Javier Rodriguez, the Company’s Senior Vice President, Chief Legal Officer and Corporate Secretary, from all offices of the Company and terminated their employment with the Company, in each case effective as of 5:00 p.m., Eastern Time, on October 31,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Mehta will continue to serve as a member of the Board. Commencing November 1, 2026, Dr. Mehta will receive a fee of $5,000 per month for his service as a director until the earliest of his death, resignation, removal or other termination of his service as a director or the dissolution of the Company, consistent with the Company’s Non-Employee Director Compensation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Appointment of Officer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30, 2026, the Board appointed Samir Saleem, the Company’s Chief Restructuring Officer, as President and Secretary of the Company, effective as of 5:00 p.m., Eastern Time, on October 31, 2026, in addition to his continuing service as Chief Restructuring Officer. Mr. Saleem will serve as the Company’s principal executive officer.</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October 30, 2026, the Board authorized the Company to file a Certificate of Amendment (the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to its Amended and Restated Certificate of Incorporation, as amended, with the Secretary of State of the State of Delaware to change the Company’s name from “BioXcel Therapeutics, Inc.” to “BX Liquidation, Inc.” (the “</w:t>
      </w:r>
      <w:r>
        <w:rPr>
          <w:rFonts w:ascii="Times New Roman" w:cs="Times New Roman" w:eastAsia="Times New Roman" w:hAnsi="Times New Roman"/>
          <w:sz w:val="18"/>
          <w:szCs w:val="18"/>
          <w:b w:val="1"/>
          <w:bCs w:val="1"/>
          <w:color w:val="auto"/>
        </w:rPr>
        <w:t>Name Change</w:t>
      </w:r>
      <w:r>
        <w:rPr>
          <w:rFonts w:ascii="Times New Roman" w:cs="Times New Roman" w:eastAsia="Times New Roman" w:hAnsi="Times New Roman"/>
          <w:sz w:val="18"/>
          <w:szCs w:val="18"/>
          <w:color w:val="auto"/>
        </w:rPr>
        <w:t>”). The Certificate of Amendment is expected to be filed in November in advance of the planned wind-down and liquidation of the Company. Pursuant to Section 242 of the General Corporation Law of the State of Delaware, stockholder approval of the Name Change was not required, and the Name Change does not affect the rights of the Company’s stockholders.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full text of the Certificate of Amendment, a copy of which is filed as Exhibit 3.1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Ex. No.</w:t>
        <w:tab/>
        <w:t>Description</w:t>
      </w:r>
    </w:p>
    <w:p>
      <w:pPr>
        <w:spacing w:after="0" w:line="229" w:lineRule="exact"/>
        <w:rPr>
          <w:sz w:val="20"/>
          <w:szCs w:val="20"/>
          <w:color w:val="auto"/>
        </w:rPr>
      </w:pPr>
    </w:p>
    <w:p>
      <w:pPr>
        <w:jc w:val="both"/>
        <w:ind w:left="800" w:right="20" w:hanging="795"/>
        <w:spacing w:after="0" w:line="266"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Asset Purchase Agreement, dated as of August 27, 2026, by and among BioXcel Therapeutics, Inc., OnkosXcel Therapeutics, LLC, OnkosXcel Employee Holdings, LLC, Teva Pharmaceuticals International GmbH and, solely for purposes of Section 9.16 thereof, Teva Pharmaceutical Industries Limited.</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7"/>
          <w:szCs w:val="17"/>
          <w:u w:val="single" w:color="auto"/>
          <w:color w:val="0000EE"/>
        </w:rPr>
        <w:t>Form of Certificate of Amendment.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Order of the United States Bankruptcy Court for the District of Delaware approving the Sale, entered October 21, 2026.</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25" w:lineRule="exact"/>
        <w:rPr>
          <w:sz w:val="20"/>
          <w:szCs w:val="20"/>
          <w:color w:val="auto"/>
        </w:rPr>
      </w:pPr>
    </w:p>
    <w:p>
      <w:pPr>
        <w:ind w:firstLine="8"/>
        <w:spacing w:after="0" w:line="282" w:lineRule="auto"/>
        <w:tabs>
          <w:tab w:leader="none" w:pos="1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The Company agrees to furnish supplementally a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b w:val="1"/>
          <w:bCs w:val="1"/>
          <w:color w:val="auto"/>
        </w:rPr>
        <w:t>BioXcel Therapeutics, Inc.</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Samir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Samir Saleem</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Title:Chief Restructuring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ONKOSXCEL THERAPEUTICS,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ONKOSXCEL EMPLOYEE HOLDINGS,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TEVA PHARMACEUTICALS INTERNATIONAL GMBH</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TEVA PHARMACEUTICAL INDUSTRIES LIMITED (solely for purposes of Section 9.16)</w:t>
      </w:r>
    </w:p>
    <w:p>
      <w:pPr>
        <w:spacing w:after="0" w:line="2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Dated as of August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768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Defined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AND PURCHASE OF ASSETS; 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Purchased Assets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Consideration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2.4.</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Sellers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Buyer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Exclusivity of Representations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PRE-CLOSING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and Information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Course of Business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4.3.</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 to Consummate the Transaction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4.4.</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Filings; Other Actions; Notification and Cooperation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4.5.</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FDA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ADDITIONAL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5.3.</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Tax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5.4.</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and Payable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5.5.</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Wrong Pockets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5.6.</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Acquired IP and Purchased Regulatory Approvals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5.7.</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Bankruptcy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5.8.</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Cure Costs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5.9.</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5.10.</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Copies of Pleadings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5.11.</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Books and Records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59"/>
        </w:trPr>
        <w:tc>
          <w:tcPr>
            <w:tcW w:w="10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5.12.</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Assumption of Regulatory Commitments; Transfer of Purchased Regulatory Approvals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5.13.</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Notification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5.14.</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5.15.</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D&amp;O 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CONDITIONS PRECEDENT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Buyer and Sellers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Buyer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Sellers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SURVIVAL OF REPRESENTATIONS, WARRANTIES AND PRE-CLOSING COVENANTS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Survival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7.2.</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TERMINATION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8.1.</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8.2.</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 and Effect of Termination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MISCELLANEOUS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Jurisdiction, Venue and Service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9.2.</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9.3.</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Benefit to Third Parties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9.4.</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9.5.</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9.6.</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9.7.</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9.8.</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9.9.</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9.10.</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Equitable Relief</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9.11.</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Liability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9.12.</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Bulk Sales Statutes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9.13.</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 by Counsel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9.14.</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9.15.</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9.16.</w:t>
            </w:r>
          </w:p>
        </w:tc>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Guarantee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02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Bill of Sale and Assignment and Assumption Agreement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Domain Name Transfer Agreement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10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Patent Assignment Agreement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10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Trademark Assignment Agreement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10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Bidding Procedures Order</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10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Order</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executed as of August 27, 2026 (the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by and between BioXcel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OnkosXcel Therapeutics, LLC, a Delaware limited liability company (“</w:t>
      </w:r>
      <w:r>
        <w:rPr>
          <w:rFonts w:ascii="Times New Roman" w:cs="Times New Roman" w:eastAsia="Times New Roman" w:hAnsi="Times New Roman"/>
          <w:sz w:val="18"/>
          <w:szCs w:val="18"/>
          <w:b w:val="1"/>
          <w:bCs w:val="1"/>
          <w:color w:val="auto"/>
        </w:rPr>
        <w:t>Company Sub 1</w:t>
      </w:r>
      <w:r>
        <w:rPr>
          <w:rFonts w:ascii="Times New Roman" w:cs="Times New Roman" w:eastAsia="Times New Roman" w:hAnsi="Times New Roman"/>
          <w:sz w:val="18"/>
          <w:szCs w:val="18"/>
          <w:color w:val="auto"/>
        </w:rPr>
        <w:t>”), OnkosXcel Employee Holdings, LLC, a Delaware limited liability company (“</w:t>
      </w:r>
      <w:r>
        <w:rPr>
          <w:rFonts w:ascii="Times New Roman" w:cs="Times New Roman" w:eastAsia="Times New Roman" w:hAnsi="Times New Roman"/>
          <w:sz w:val="18"/>
          <w:szCs w:val="18"/>
          <w:b w:val="1"/>
          <w:bCs w:val="1"/>
          <w:color w:val="auto"/>
        </w:rPr>
        <w:t>Company Sub 2</w:t>
      </w:r>
      <w:r>
        <w:rPr>
          <w:rFonts w:ascii="Times New Roman" w:cs="Times New Roman" w:eastAsia="Times New Roman" w:hAnsi="Times New Roman"/>
          <w:sz w:val="18"/>
          <w:szCs w:val="18"/>
          <w:color w:val="auto"/>
        </w:rPr>
        <w:t>”, together with the Company and Company Sub 1,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Teva Pharmaceuticals International GmbH, a Swiss limited liability company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Teva Pharmaceutical Industries Limited, a company incorporated under the laws of Israel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Sellers and Buyer may be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Sellers are engaged in the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Buyer is a wholly-owned indirect subsidiary of Parent;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Sellers (collectively,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intend to seek relief under Chapter 11 of Title 11 of the United States Code, 11 U.S.C. §§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seq. </w:t>
      </w:r>
      <w:r>
        <w:rPr>
          <w:rFonts w:ascii="Times New Roman" w:cs="Times New Roman" w:eastAsia="Times New Roman" w:hAnsi="Times New Roman"/>
          <w:sz w:val="18"/>
          <w:szCs w:val="18"/>
          <w:color w:val="auto"/>
        </w:rPr>
        <w:t>(as amended,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by filing cases (the “</w:t>
      </w:r>
      <w:r>
        <w:rPr>
          <w:rFonts w:ascii="Times New Roman" w:cs="Times New Roman" w:eastAsia="Times New Roman" w:hAnsi="Times New Roman"/>
          <w:sz w:val="18"/>
          <w:szCs w:val="18"/>
          <w:b w:val="1"/>
          <w:bCs w:val="1"/>
          <w:color w:val="auto"/>
        </w:rPr>
        <w:t>Chapter 11 Cases</w:t>
      </w:r>
      <w:r>
        <w:rPr>
          <w:rFonts w:ascii="Times New Roman" w:cs="Times New Roman" w:eastAsia="Times New Roman" w:hAnsi="Times New Roman"/>
          <w:sz w:val="18"/>
          <w:szCs w:val="18"/>
          <w:color w:val="auto"/>
        </w:rPr>
        <w:t>”) in the Bankruptcy Court (as defined below) (the date of filing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Chapter 11 Cases constituting the “</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Sellers desire to sell to Buyer, and Buyer desires to purchase from Sellers, substantially all of Sellers’ assets and rights used or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use in the Business, upon the terms and conditions hereinafter set forth;</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Purchased Assets and Assumed Liabilities are assets and liabilities of Sellers which are to be sold and assumed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Order and this Agreement, free and clear of all Encumbrances and Liabilities except Assumed Liabilities, which Sale Order will include the authorization for the assumption and assignment of certain executory contracts and liabilities thereunder under section 365 of the Bankruptcy Code, all in the manner and on the terms and subject to the conditions set forth herein and in accordance with other applicable provisions of the Bankruptcy Code;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entering into this Agreement, an aggregate amount equal to $5,750,000 in cash will be deposited within two</w:t>
      </w:r>
    </w:p>
    <w:p>
      <w:pPr>
        <w:spacing w:after="0" w:line="31" w:lineRule="exact"/>
        <w:rPr>
          <w:sz w:val="20"/>
          <w:szCs w:val="20"/>
          <w:color w:val="auto"/>
        </w:rPr>
      </w:pPr>
    </w:p>
    <w:p>
      <w:pPr>
        <w:jc w:val="both"/>
        <w:ind w:firstLine="8"/>
        <w:spacing w:after="0" w:line="255"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hereof by Buyer on its behalf as a “good faith deposit” (the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by wire transfer of immediately available funds to the Escrow Agent, to be held in escrow in accordance with the terms of that certain Escrow Agreement, entered into on or about the date hereof (the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by and among Sellers and the Escrow Agent.</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benefits to be derived from this Agreement, the representations, warranties,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promises contained herein and other good and valuable 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Certain Defined Terms</w:t>
      </w:r>
      <w:r>
        <w:rPr>
          <w:rFonts w:ascii="Times New Roman" w:cs="Times New Roman" w:eastAsia="Times New Roman" w:hAnsi="Times New Roman"/>
          <w:sz w:val="18"/>
          <w:szCs w:val="18"/>
          <w:color w:val="auto"/>
        </w:rPr>
        <w:t>. As used herein, the following terms shall have the following meanings: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 means all amounts (whether current or non-current) arising from the operation of the Business that constitute, as of the Closing, accounts receivable, notes receivable and other rights or indebtedness due and owed by any Third Party to any Seller, in each case, whether billed or unbilled, recorded or unrecorded, written off or not written off.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IP</w:t>
      </w:r>
      <w:r>
        <w:rPr>
          <w:rFonts w:ascii="Times New Roman" w:cs="Times New Roman" w:eastAsia="Times New Roman" w:hAnsi="Times New Roman"/>
          <w:sz w:val="18"/>
          <w:szCs w:val="18"/>
          <w:color w:val="auto"/>
        </w:rPr>
        <w:t>” means any Intellectual Property licensed to, or purported to be licensed to any Seller and all Owned IP, in each case, related to the Business or the Products.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Person, any other Person that, directly or indirectly, through one or more intermediaries, controls, is controlled by or is under common control with such first Person, and a Person shall be deemed to be controlled by another Person if controlled in any manner whatsoever that results in control in fact by that other Person (or that other Person and any Person or Persons with whom that other Person is acting jointly or in concert), whether directly or indirectly. For purposes of this definition, “control” and, with correlative meanings, the terms “controlled by” and “under common control with” mean, when used with respect to any specified Person, (a) the possession, directly or indirectly, of the power to direct the management or policies of that Person, directly or indirectly, whether through the ownership of securities, by trust, by contract, or otherwise or (b) the ownership, directly or indirectly, of more than fifty percent (50%) of the voting securities or other ownership interest of a business entity (or, with respect to a limited partnership or other similar entity, its general partner or controlling entity).</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 hereto, and includes all schedules and exhibits hereto, and all instruments supplementing, amending, modifying, restating or otherwise confirming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Transaction</w:t>
      </w:r>
      <w:r>
        <w:rPr>
          <w:rFonts w:ascii="Times New Roman" w:cs="Times New Roman" w:eastAsia="Times New Roman" w:hAnsi="Times New Roman"/>
          <w:sz w:val="18"/>
          <w:szCs w:val="18"/>
          <w:color w:val="auto"/>
        </w:rPr>
        <w:t>” means any single transaction or series of related transactions providing for any (a) purchase, acquisition or license of</w:t>
      </w:r>
    </w:p>
    <w:p>
      <w:pPr>
        <w:spacing w:after="0" w:line="31" w:lineRule="exact"/>
        <w:rPr>
          <w:sz w:val="20"/>
          <w:szCs w:val="20"/>
          <w:color w:val="auto"/>
        </w:rPr>
      </w:pPr>
    </w:p>
    <w:p>
      <w:pPr>
        <w:jc w:val="both"/>
        <w:ind w:firstLine="8"/>
        <w:spacing w:after="0" w:line="252" w:lineRule="auto"/>
        <w:tabs>
          <w:tab w:leader="none" w:pos="2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assets of any Seller equal to 50% or more of the consolidated assets (including equity interests) of the Company or to which 50% or more of the consolidated revenues or earnings of the Company are attributable or (ii) the Purchased Assets, or (b) merger, consolidation, amalgamation, share exchange, business combination, recapitalization, liquidation, dissolution, financing, refinancing, restructuring, equity investment, debt investment, or similar transaction involving any Seller that if consummated would result in any Person or group beneficially owning 50% or more of the outstanding shares of the common stock of the Company, in each case, other than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 Alternative Transaction does not include the grant of any Encumbrances pursuant to the DIP Financing Order.</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Agreements</w:t>
      </w:r>
      <w:r>
        <w:rPr>
          <w:rFonts w:ascii="Times New Roman" w:cs="Times New Roman" w:eastAsia="Times New Roman" w:hAnsi="Times New Roman"/>
          <w:sz w:val="18"/>
          <w:szCs w:val="18"/>
          <w:color w:val="auto"/>
        </w:rPr>
        <w:t>” means the Bill of Sale and Assignment and Assumption Agreement, the Patent Assignment Agreement, the Deposit Escrow Agreement, the Domain Name Transfer Agreement, the Trademark Assignment Agreement, the Regulatory Approval Transfer Documentation and any other agreements, certificates and other instruments delivered, given or contemplated pursuant to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Hospital Product</w:t>
      </w:r>
      <w:r>
        <w:rPr>
          <w:rFonts w:ascii="Times New Roman" w:cs="Times New Roman" w:eastAsia="Times New Roman" w:hAnsi="Times New Roman"/>
          <w:sz w:val="18"/>
          <w:szCs w:val="18"/>
          <w:color w:val="auto"/>
        </w:rPr>
        <w:t>” means the drug product IGALMI® (dexmedetomidine) sublingual film, as approved by the FDA under NDA #215390 for use in a healthcare setting, prior to and excluding any approval of the sNDA.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Arbitration Fee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2.3.2(g)(iii)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means the auction, if any, contemplated to be run in the sales process for any of the Purchased Assets pursuant to the Bidding Procedures Order.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Contracts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Avoidance Actions</w:t>
      </w:r>
      <w:r>
        <w:rPr>
          <w:rFonts w:ascii="Times New Roman" w:cs="Times New Roman" w:eastAsia="Times New Roman" w:hAnsi="Times New Roman"/>
          <w:sz w:val="18"/>
          <w:szCs w:val="18"/>
          <w:color w:val="auto"/>
        </w:rPr>
        <w:t>” means those actual and/or potential claims and causes of action under sections 502(d) and 544 through 553 of the Bankruptcy Code, or any other avoidance actions under the Bankruptcy Code or any analogous state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Backup Bidder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Backup Bid 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means the United States Bankruptcy Court for the District of Delaware and any other court before which the Chapter 11 Cases are held.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 Milestones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Rules</w:t>
      </w:r>
      <w:r>
        <w:rPr>
          <w:rFonts w:ascii="Times New Roman" w:cs="Times New Roman" w:eastAsia="Times New Roman" w:hAnsi="Times New Roman"/>
          <w:sz w:val="18"/>
          <w:szCs w:val="18"/>
          <w:color w:val="auto"/>
        </w:rPr>
        <w:t>” means the Federal Rules of Bankruptcy Procedure and any local rules of the Bankruptcy Court.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Protections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Bidding Procedures Motion</w:t>
      </w:r>
      <w:r>
        <w:rPr>
          <w:rFonts w:ascii="Times New Roman" w:cs="Times New Roman" w:eastAsia="Times New Roman" w:hAnsi="Times New Roman"/>
          <w:sz w:val="18"/>
          <w:szCs w:val="18"/>
          <w:color w:val="auto"/>
        </w:rPr>
        <w:t>” means that certain bidding procedures motion filed with the Bankruptcy Court requesting approval of the Bidding Procedures Order, which shall include, among other things, approval of the bidding procedures, authorizing this Agreement as the stalking horse bid, and approving the Bid Protections.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Bidding Procedures Order</w:t>
      </w:r>
      <w:r>
        <w:rPr>
          <w:rFonts w:ascii="Times New Roman" w:cs="Times New Roman" w:eastAsia="Times New Roman" w:hAnsi="Times New Roman"/>
          <w:sz w:val="18"/>
          <w:szCs w:val="18"/>
          <w:color w:val="auto"/>
        </w:rPr>
        <w:t xml:space="preserve">” means an order entered by the Bankruptcy Court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subject to (a) immaterial modifications or clarifications or (b) such other changes to which Buyer, in its reasonable discretion, consents in writing.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Bill of Sale and Assignment and Assumption Agreement</w:t>
      </w:r>
      <w:r>
        <w:rPr>
          <w:rFonts w:ascii="Times New Roman" w:cs="Times New Roman" w:eastAsia="Times New Roman" w:hAnsi="Times New Roman"/>
          <w:sz w:val="18"/>
          <w:szCs w:val="18"/>
          <w:color w:val="auto"/>
        </w:rPr>
        <w:t xml:space="preserve">” means the Bill of Sale and Assignment and Assumption Agreement,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Break-Up Fee</w:t>
      </w:r>
      <w:r>
        <w:rPr>
          <w:rFonts w:ascii="Times New Roman" w:cs="Times New Roman" w:eastAsia="Times New Roman" w:hAnsi="Times New Roman"/>
          <w:sz w:val="18"/>
          <w:szCs w:val="18"/>
          <w:color w:val="auto"/>
        </w:rPr>
        <w:t>” means an amount equal to (a) $5,000,000 if the FDA has approved the sNDA prior to the date of termination of this Agreement or (b) $1,150,000 if the FDA has not approved the sNDA prior to the date of termination of this Agreement, in each case, to compensate Buyer for serving as the “stalking horse” and subjecting this Agreement to higher and better offers.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means the business and operations of Sellers as of the Closing.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a day on which banking institutions in New York, New York are permitted or obligated by Law to remain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Employee</w:t>
      </w:r>
      <w:r>
        <w:rPr>
          <w:rFonts w:ascii="Times New Roman" w:cs="Times New Roman" w:eastAsia="Times New Roman" w:hAnsi="Times New Roman"/>
          <w:sz w:val="18"/>
          <w:szCs w:val="18"/>
          <w:color w:val="auto"/>
        </w:rPr>
        <w:t>” means each individual who is employed by any Seller (including through any professional employer organization).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Employee List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Transfer Letters</w:t>
      </w:r>
      <w:r>
        <w:rPr>
          <w:rFonts w:ascii="Times New Roman" w:cs="Times New Roman" w:eastAsia="Times New Roman" w:hAnsi="Times New Roman"/>
          <w:sz w:val="18"/>
          <w:szCs w:val="18"/>
          <w:color w:val="auto"/>
        </w:rPr>
        <w:t>” means letters notifying the FDA of the acceptance of the transfer of the Purchased Regulatory Approvals, including NDA #215390 and all investigational new drug applications (“</w:t>
      </w:r>
      <w:r>
        <w:rPr>
          <w:rFonts w:ascii="Times New Roman" w:cs="Times New Roman" w:eastAsia="Times New Roman" w:hAnsi="Times New Roman"/>
          <w:sz w:val="18"/>
          <w:szCs w:val="18"/>
          <w:b w:val="1"/>
          <w:bCs w:val="1"/>
          <w:color w:val="auto"/>
        </w:rPr>
        <w:t>INDs</w:t>
      </w:r>
      <w:r>
        <w:rPr>
          <w:rFonts w:ascii="Times New Roman" w:cs="Times New Roman" w:eastAsia="Times New Roman" w:hAnsi="Times New Roman"/>
          <w:sz w:val="18"/>
          <w:szCs w:val="18"/>
          <w:color w:val="auto"/>
        </w:rPr>
        <w:t>”) for the Products, from the applicable Seller to Buyer or its designated Affiliate, as well as any similar letters to any other applicable Governmental Authorities, in each case, in the form to be reasonably agreed to by Buyer and such Seller.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means all of Sellers’ cash (including checks and deposits in transit, demand deposits, money markets or similar accounts), checking account balances, marketable securities, certificates of deposits, time deposits, bankers’ acceptances, commercial paper, security entitlements, securities accounts, commodity Contracts, commodity accounts, government securities, and any other cash equivalents whether on hand, in transit, in banks or other financial institutions, or otherwise held.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Chapter 11 Cases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 collectively, all rights, claims (as that term is defined in Section 101(5) of the Bankruptcy Code) and causes of action, whether class, individual or otherwise in nature, under contract or in law or in equity, known or unknown, contingent or matured, liquidated or unliquidated and all rights and remedies with respect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means the Centers for Medicare &amp; Medicaid Services or any successor agency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Collective Bargaining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any and all activities directed to the offering for sale and sale of any Product, including activities directed to marketing, promoting, detailing, distributing, importing, exporting, seeking, obtaining, and maintaining Regulatory Approvals, selling and offering to sell, licensing, registration, pricing, and third party reimbursement of any Product. When used as a verb, “to Commercialize” and “Commercializing” means to engage in Commercialization and “Commercialized” has a corresponding meaning.</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collectively, (a) that certain Mutual Confidentiality Agreement, dated as of January 5, 2026, by and between Teva R&amp;D and the Company, (b) that certain Letter Agreement, dated as of May 11, 2026, by and between Teva R&amp;D and the Company, and (c) that certain Letter Agreement, dated as of July 6, 2026, by and between Teva R&amp;D and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legally binding contract, agreement, subcontract, obligation, lease, sublease, license, sublicense, regulatory license, undertaking, engagement, bond, debenture, note, indenture, option, warrant, warranty, sales order, purchase order, instrument, or other legally binding commitment.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Cure/Assumption Objection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Costs</w:t>
      </w:r>
      <w:r>
        <w:rPr>
          <w:rFonts w:ascii="Times New Roman" w:cs="Times New Roman" w:eastAsia="Times New Roman" w:hAnsi="Times New Roman"/>
          <w:sz w:val="18"/>
          <w:szCs w:val="18"/>
          <w:color w:val="auto"/>
        </w:rPr>
        <w:t>” means the Liabilities and obligations that must be paid or otherwise satisfied to cure all of Debtors’ defaults under the Purchased Contracts necessary for the assumption thereof by the applicable Seller and assignment to Buyer pursuant to Section 365 of the Bankruptcy Code, as provided herein and in the Sale Order.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Costs Cap</w:t>
      </w:r>
      <w:r>
        <w:rPr>
          <w:rFonts w:ascii="Times New Roman" w:cs="Times New Roman" w:eastAsia="Times New Roman" w:hAnsi="Times New Roman"/>
          <w:sz w:val="18"/>
          <w:szCs w:val="18"/>
          <w:color w:val="auto"/>
        </w:rPr>
        <w:t>” means $2,500,000.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Costs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Security Requirements</w:t>
      </w:r>
      <w:r>
        <w:rPr>
          <w:rFonts w:ascii="Times New Roman" w:cs="Times New Roman" w:eastAsia="Times New Roman" w:hAnsi="Times New Roman"/>
          <w:sz w:val="18"/>
          <w:szCs w:val="18"/>
          <w:color w:val="auto"/>
        </w:rPr>
        <w:t>” means, to the extent governing the privacy, data protection or security of any Personal Data, all applicable</w:t>
      </w:r>
    </w:p>
    <w:p>
      <w:pPr>
        <w:spacing w:after="0" w:line="31" w:lineRule="exact"/>
        <w:rPr>
          <w:sz w:val="20"/>
          <w:szCs w:val="20"/>
          <w:color w:val="auto"/>
        </w:rPr>
      </w:pPr>
    </w:p>
    <w:p>
      <w:pPr>
        <w:jc w:val="both"/>
        <w:ind w:firstLine="8"/>
        <w:spacing w:after="0" w:line="255" w:lineRule="auto"/>
        <w:tabs>
          <w:tab w:leader="none" w:pos="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(including, as and to the extent applicable, HIPAA, the EU General Data Protection Regulation and any data protection or privacy Laws of any applicable jurisdiction), (b) written external-facing privacy policies of the Sellers with respect to the Business and (c) legally binding contractual requirements to which any Seller is a party with respect to the Business.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Policies</w:t>
      </w:r>
      <w:r>
        <w:rPr>
          <w:rFonts w:ascii="Times New Roman" w:cs="Times New Roman" w:eastAsia="Times New Roman" w:hAnsi="Times New Roman"/>
          <w:sz w:val="18"/>
          <w:szCs w:val="18"/>
          <w:color w:val="auto"/>
        </w:rPr>
        <w:t>” has the meaning set forth in the definition of “Excluded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Parties</w:t>
      </w:r>
      <w:r>
        <w:rPr>
          <w:rFonts w:ascii="Times New Roman" w:cs="Times New Roman" w:eastAsia="Times New Roman" w:hAnsi="Times New Roman"/>
          <w:sz w:val="18"/>
          <w:szCs w:val="18"/>
          <w:color w:val="auto"/>
        </w:rPr>
        <w:t>” means any Person that is designated on a sanctioned parties list administered by the United States, Canada, Israel, European Union, Member State, or United Kingdom, including, without limitation, OFAC’s Specially Designated Nationals and Blocked Persons List, Foreign Sanctions Evaders List, the Consolidated List of Persons, Groups, and Entities Subject to EU Financial Sanctions, and the UK’s Consolidated Sanctions List.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Escrow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Financing Order</w:t>
      </w:r>
      <w:r>
        <w:rPr>
          <w:rFonts w:ascii="Times New Roman" w:cs="Times New Roman" w:eastAsia="Times New Roman" w:hAnsi="Times New Roman"/>
          <w:sz w:val="18"/>
          <w:szCs w:val="18"/>
          <w:color w:val="auto"/>
        </w:rPr>
        <w:t xml:space="preserve">” means that any interim or final </w:t>
      </w:r>
      <w:r>
        <w:rPr>
          <w:rFonts w:ascii="Times New Roman" w:cs="Times New Roman" w:eastAsia="Times New Roman" w:hAnsi="Times New Roman"/>
          <w:sz w:val="18"/>
          <w:szCs w:val="18"/>
          <w:i w:val="1"/>
          <w:iCs w:val="1"/>
          <w:color w:val="auto"/>
        </w:rPr>
        <w:t>Order (I) Authorizing the Debtors to Obtain Postpetition Financing, Granting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Postpetition Security Interests and According Superpriority Administrative Expense Status Pursuant to Sections 364(c) and 364(d) of the Bankruptcy Code,</w:t>
      </w:r>
    </w:p>
    <w:p>
      <w:pPr>
        <w:spacing w:after="0" w:line="1" w:lineRule="exact"/>
        <w:rPr>
          <w:sz w:val="20"/>
          <w:szCs w:val="20"/>
          <w:color w:val="auto"/>
        </w:rPr>
      </w:pPr>
    </w:p>
    <w:p>
      <w:pPr>
        <w:ind w:firstLine="8"/>
        <w:spacing w:after="0" w:line="260" w:lineRule="auto"/>
        <w:tabs>
          <w:tab w:leader="none" w:pos="293"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Authorizing the Use of Cash Collateral, (III) Granting Adequate Protection, (IV) Modifying the Automatic Stay, and (V) Granting Related Relief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order of the Bankruptcy Court approving debtor-in-possession financing and/or use of cash collateral for the Debtors.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Domain Name Transfer Agreement</w:t>
      </w:r>
      <w:r>
        <w:rPr>
          <w:rFonts w:ascii="Times New Roman" w:cs="Times New Roman" w:eastAsia="Times New Roman" w:hAnsi="Times New Roman"/>
          <w:sz w:val="18"/>
          <w:szCs w:val="18"/>
          <w:color w:val="auto"/>
        </w:rPr>
        <w:t xml:space="preserve">” means the Domain Name Transfer Agreement,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Equipment</w:t>
      </w:r>
      <w:r>
        <w:rPr>
          <w:rFonts w:ascii="Times New Roman" w:cs="Times New Roman" w:eastAsia="Times New Roman" w:hAnsi="Times New Roman"/>
          <w:sz w:val="18"/>
          <w:szCs w:val="18"/>
          <w:color w:val="auto"/>
        </w:rPr>
        <w:t xml:space="preserve">” means all mobile phones, computers, and related peripherals owned by the Sellers and used by any Continuing Employee as of immediately prior to the Closing in connection with the Business set forth on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the Seller Disclosure Schedules.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lien (statutory or otherwise, including as defined in section 101(37) of the Bankruptcy Code), Claim, license, sublicense, pledge, security interest, charge, hypothecation, restriction, claim of ownership, infringement, interference, lease, sublease, option, right of use or possession, preference, preemptive right, community property interest, encroachment, restrictive covenant, right of first offer, negotiation or refusal, title defect or other encumbrance or similar restriction of any kind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Laws concerning pollution, public or worker health or safety (as it pertains to exposure to Hazardous Materials), or protection of the environment.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with respect to any Person, (a) if a Person is a corporation, shares of capital stock of such corporation and, if a Person is a form of entity other than a corporation, ownership interests in such form of entity, whether membership interests or partnership interests, (b) other securities directly or indirectly convertible into, exercisable or exchangeable for or measured by reference to, any securities described in clause (a) above, or (c) any option, warrant, purchase right, conversion right, exchange right or other Contract that would entitle any other Person to acquire any such interest in such Person or otherwise entitle any other Person to share in the equity, profits, earnings, losses or gains of such Person (including, stock appreciation, phantom stock, profit participation or other similar rights, whether payable in equity interests in such Person or cash).</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means the account maintained by the Escrow Agent for the Deposit.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means Customers Bank.</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means the following assets, property, rights and interests of Sellers: (a) all Cash and Cash Equivalents of Sellers; (b) (i) any legal or beneficial interest in the capital stock and other Equity Securities of any Seller or any other Person, and (ii) the corporate or other entity charter, qualifications to conduct business as a foreign corporation or other form of business entity, arrangements with registered agents relating to foreign qualifications, taxpayer and other identification numbers, original Tax Returns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copies of Tax Returns relating primarily to the Business or the Purchased Assets shall constitute Purchased Product Records), seals, minute books, stock transfer books, and similar organizational documents of any Seller; (c) the bank accounts of Sellers set forth on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of the Seller Disclosure Schedules; (d) all Excluded Items; (e) any Excluded Contract;</w:t>
      </w:r>
    </w:p>
    <w:p>
      <w:pPr>
        <w:spacing w:after="0" w:line="4" w:lineRule="exact"/>
        <w:rPr>
          <w:sz w:val="20"/>
          <w:szCs w:val="20"/>
          <w:color w:val="auto"/>
        </w:rPr>
      </w:pPr>
    </w:p>
    <w:p>
      <w:pPr>
        <w:jc w:val="both"/>
        <w:ind w:firstLine="8"/>
        <w:spacing w:after="0" w:line="251" w:lineRule="auto"/>
        <w:tabs>
          <w:tab w:leader="none" w:pos="2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Sellers under this Agreement and the Ancillary Agreements; (g) the Debtors’ directors and officers liability insurance policies and all rights and benefits of any nature with respect thereto, including all insurance recoveries thereunder and rights to assert claims with respect to such insurance recoveries (the “</w:t>
      </w:r>
      <w:r>
        <w:rPr>
          <w:rFonts w:ascii="Times New Roman" w:cs="Times New Roman" w:eastAsia="Times New Roman" w:hAnsi="Times New Roman"/>
          <w:sz w:val="18"/>
          <w:szCs w:val="18"/>
          <w:b w:val="1"/>
          <w:bCs w:val="1"/>
          <w:color w:val="auto"/>
        </w:rPr>
        <w:t>D&amp;O Policies</w:t>
      </w:r>
      <w:r>
        <w:rPr>
          <w:rFonts w:ascii="Times New Roman" w:cs="Times New Roman" w:eastAsia="Times New Roman" w:hAnsi="Times New Roman"/>
          <w:sz w:val="18"/>
          <w:szCs w:val="18"/>
          <w:color w:val="auto"/>
        </w:rPr>
        <w:t>”); (h) all Claims against current and former directors and officers of Sellers; (i) any insurance policy that is not transferable to Buyer, and any claim, right to proceeds, recovery or benefit under any insurance policy (whether or not transferred to Buyer) to the extent relating to or arising from any other Excluded Asset or any Excluded Liability, together with all rights of Sellers to assert, prosecute and settle any such claim and to receive and retain any proceeds or recoveries in respect thereof; (j) the Retained Actions; (k) the sponsorship and assets of all Plans and any other benefit or compensation plan, program, policy, contract, agreement, or arrangement of any kind at any time sponsored, maintained, contributed to or required to be contributed to by any Seller or under or with respect to which any Seller has (or has had) any Liability and all right, title and interest in any asset thereof or relating thereto; (l) all Tax assets of Sellers, including any net operating loss carryforwards, Tax credits, Tax refunds, and similar attributes (and any foreign equivalents thereof); (m) any retainers or advances paid or promised by any Seller to any of its third party service providers or professionals, including attorneys, accountants, financial advisors, investment bankers or other consultants, and any rights of any Seller with respect thereto; and (n) any and all documents, communications, records, work product or other information that is subject to the attorney-client privilege, the work product doctrine or any other applicable privilege or protection from disclosure, including any such materials relating to the negotiation, documentation or consummation of the Transactions, in each case to the extent related to an Excluded Asset or Excluded Liability (and not related to the Purchased Assets or the Assumed Liabilities), and any rights therein (collectively, the “</w:t>
      </w:r>
      <w:r>
        <w:rPr>
          <w:rFonts w:ascii="Times New Roman" w:cs="Times New Roman" w:eastAsia="Times New Roman" w:hAnsi="Times New Roman"/>
          <w:sz w:val="18"/>
          <w:szCs w:val="18"/>
          <w:b w:val="1"/>
          <w:bCs w:val="1"/>
          <w:color w:val="auto"/>
        </w:rPr>
        <w:t>Retained Privileged Materials</w:t>
      </w:r>
      <w:r>
        <w:rPr>
          <w:rFonts w:ascii="Times New Roman" w:cs="Times New Roman" w:eastAsia="Times New Roman" w:hAnsi="Times New Roman"/>
          <w:sz w:val="18"/>
          <w:szCs w:val="18"/>
          <w:color w:val="auto"/>
        </w:rPr>
        <w:t>”); it being understood and agreed that none of the Retained Privileged Materials shall be transferred to, or deemed transferred to, Buyer, and Sellers shall retain all such Retained Privileged Materials and all rights, title and interest thereto and thereunder.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Items</w:t>
      </w:r>
      <w:r>
        <w:rPr>
          <w:rFonts w:ascii="Times New Roman" w:cs="Times New Roman" w:eastAsia="Times New Roman" w:hAnsi="Times New Roman"/>
          <w:sz w:val="18"/>
          <w:szCs w:val="18"/>
          <w:color w:val="auto"/>
        </w:rPr>
        <w:t>” means (a) any and all books, documents, records, files and other items prepared in connection with or relating to the negotiation and consummation of the Transactions or the transactions contemplated by the Ancillary Agreements or otherwise prepared in connection with the divestiture of the Purchased Assets or the Business, including all (i) bids received from Third Parties (and related analyses) relating to the Business other than confidentiality agreements, (ii) strategic, financial or Tax analyses relating to the divestiture of the Purchased Assets, the Assumed Liabilities or the Business, (iii) presentations or minutes relating to any of the meetings of Debtors’ board of directors or committees thereof, including materials relating to strategic alternatives, including the Transactions and (iv) presentations or other materials relating to discussion with any Seller’s lenders or key constituents or counterparties and (b) personnel records of Business Employees.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means any (i) Liabilities of, or with respect to, any Seller of whatever nature, whether presently in existence or arising or asserted hereafter, in each case, other than the Assumed Liabilities and (ii) to the extent not included in clause (i), Excluded Taxes.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means, without duplication, (a) all Taxes of Sellers or any of their respective direct or indirect owners or Affiliates, or any consolidated, combined, unitary or similar group of which any of the foregoing is or was a member, for any taxable period (including any such Taxes for which Buyer or any of its Affiliates may be liable as a transferee or successor, by operation of Law, contract assumption (other than any Taxes assumed by Buyer pursuant to Section 5.3.2), successor liability, transferee liability, or tax clearance law); (b) all Taxes relating to the Purchased Assets, the Business or the Assumed Liabilities for any taxable period (or portion of any tax period that begins before the Closing Date and ends on or prior to the Closing Date) ending on or prior to the Closing Date; (c) all Taxes, Tax claims, Tax liens, Tax assessments, and any related costs, expenses, penalties, interest or related expenses imposed on Buyer or any of its Affiliates as a result of non-compliance with applicable bulk transfer or sale law or similar provisions, including as described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(d) any Transfer Taxes payable by Sellers pursuant to </w:t>
      </w:r>
      <w:r>
        <w:rPr>
          <w:rFonts w:ascii="Times New Roman" w:cs="Times New Roman" w:eastAsia="Times New Roman" w:hAnsi="Times New Roman"/>
          <w:sz w:val="18"/>
          <w:szCs w:val="18"/>
          <w:u w:val="single" w:color="auto"/>
          <w:color w:val="auto"/>
        </w:rPr>
        <w:t>Section 5.3.2(a)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Contract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 Reimbursement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Exploited</w:t>
      </w:r>
      <w:r>
        <w:rPr>
          <w:rFonts w:ascii="Times New Roman" w:cs="Times New Roman" w:eastAsia="Times New Roman" w:hAnsi="Times New Roman"/>
          <w:sz w:val="18"/>
          <w:szCs w:val="18"/>
          <w:color w:val="auto"/>
        </w:rPr>
        <w:t>” means the exercise of any and all rights in respect of any Product, including to Manufacture, make, have made, import, export, use, have used, sell, offer for sale, have sold, license, research, develop, Commercialize, register, hold or keep (whether for disposal or otherwise), transport, treat, store, distribute, promote, market, sell or otherwise dispose of or exploit, and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actions taken to Exploit.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Control Laws</w:t>
      </w:r>
      <w:r>
        <w:rPr>
          <w:rFonts w:ascii="Times New Roman" w:cs="Times New Roman" w:eastAsia="Times New Roman" w:hAnsi="Times New Roman"/>
          <w:sz w:val="18"/>
          <w:szCs w:val="18"/>
          <w:color w:val="auto"/>
        </w:rPr>
        <w:t>” means all applicable U.S. export and re-export laws and regulations, including the Export Control Reform Act of 2018 and, where applicable, the Export Administration Act of 1979, including but not limited to: the Export Administration Regulations, the Office of Foreign Asset Control Regulations and the International Traffic in Arms Regulations.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successor agency thereto.</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shall mean an Order or judgment of the Bankruptcy Court entered by the clerk of the Bankruptcy Court or such other court on the docket in the Chapter 11 Cases or the docket of such other court, which has not been modified, amended, reversed, vacated or stayed and as to which</w:t>
      </w:r>
    </w:p>
    <w:p>
      <w:pPr>
        <w:spacing w:after="0" w:line="1" w:lineRule="exact"/>
        <w:rPr>
          <w:sz w:val="20"/>
          <w:szCs w:val="20"/>
          <w:color w:val="auto"/>
        </w:rPr>
      </w:pPr>
    </w:p>
    <w:p>
      <w:pPr>
        <w:jc w:val="both"/>
        <w:ind w:firstLine="8"/>
        <w:spacing w:after="0" w:line="251" w:lineRule="auto"/>
        <w:tabs>
          <w:tab w:leader="none" w:pos="2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to appeal, petition for certiorari, or move for a new trial, reargument or rehearing has expired and as to which no appeal, petition for certiorari or motion for new trial, reargument or rehearing shall then be pending or (b) if an appeal, writ of certiorari new trial, reargument or rehearing thereof has been sought, such order or judgment of the applicable Bankruptcy Court, or other court of competent jurisdiction shall have been affirmed by the highest court to which such Order was appealed, or certiorari shall have been denied, or a new trial, reargument or rehearing shall have been denied or resulted in no modification of such order, and the time to take any further appeal, petition for certiorari or move for a new trial, reargument or rehearing shall have expired, as a result of which such order shall have become final in accordance with Rule 8002 of the Federal Rules of Bankruptcy Procedure or a similar rule of such other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Bankruptcy Court, the possibility that a motion under Rule 60 of the Federal Rules of Civil Procedure, or any analogous rule under the Bankruptcy Rules, may be filed relating to such order, shall not cause such order not to be a Final Order.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Finished Goods Inventory</w:t>
      </w:r>
      <w:r>
        <w:rPr>
          <w:rFonts w:ascii="Times New Roman" w:cs="Times New Roman" w:eastAsia="Times New Roman" w:hAnsi="Times New Roman"/>
          <w:sz w:val="18"/>
          <w:szCs w:val="18"/>
          <w:color w:val="auto"/>
        </w:rPr>
        <w:t>” means all Products (including samples and demonstration films) in finished form packaged and ready to be shipped to customers or other parties by the Company and/or its Subsidiaries (or designees thereof).</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xml:space="preserve">” means a Person’s knowing and intentional fraud under Delaware law in making the representations and warranties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then-current ethical, scientific, and quality standards applicable to the design, conduct, performance, oversight, monitoring, auditing, recording, analysis, and reporting of clinical trials involving human participants, including, as applicable, the requirements of 21 C.F.R. Parts 11, 50, 54, 56 and 312, other applicable FDA regulations; ICH E6, Guideline for Good Clinical Practice, including applicable annexes, in each case to the extent adopted or implemented by the relevant Governmental Authority; and comparable Laws and binding regulatory requirements of relevant jurisdictions concerning clinical trials and the rights, safety, and well-being of trial participants.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means the then-current quality standards applicable to the planning, performance, monitoring, recording, archiving, and reporting of nonclinical laboratory studies that are required to be conducted under GLP or are intended to support an application for a research or marketing authorization, including, as applicable, 21 C.F.R. Part 58, applicable OECD Principles of Good Laboratory Practice, and comparable Laws and binding regulatory requirements of relevant jurisdictions.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means the then-current quality standards and requirements applicable to the manufacture, processing, testing, packaging, labeling, release, storage, importation, distribution, or holding of a drug, investigational medicinal product, comparator, or placebo, including, as applicable, 21 C.F.R. Parts 210 and 211, other applicable FDA regulations, and comparable Laws, regulations, and binding regulatory requirements of relevant jurisdictions.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(i) any governmental or public department, central bank, court, minister, governor-in-council, cabinet, commission, tribunal, board, bureau, agency, commissioner or instrumentality or other regulatory or administrative authority, whether international, multinational, national, federal, provincial, state, municipal, local, or other; (ii) any subdivision or authority of any of the above; (iii) any stock exchange;</w:t>
      </w:r>
    </w:p>
    <w:p>
      <w:pPr>
        <w:jc w:val="both"/>
        <w:ind w:firstLine="8"/>
        <w:spacing w:after="0" w:line="253" w:lineRule="auto"/>
        <w:tabs>
          <w:tab w:leader="none" w:pos="3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arbitral body (public or private); or (v) any quasi-governmental or private body exercising any regulatory, expropriation or taxing authority under or for the account of any of the above, which, for the avoidance of doubt, includes the FDA and CMS, any corresponding foreign agency and any other federal, state, provincial, local or foreign Governmental Authority with jurisdiction over the Research, Manufacture, Exploitation and Commercialization of any Product.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Program</w:t>
      </w:r>
      <w:r>
        <w:rPr>
          <w:rFonts w:ascii="Times New Roman" w:cs="Times New Roman" w:eastAsia="Times New Roman" w:hAnsi="Times New Roman"/>
          <w:sz w:val="18"/>
          <w:szCs w:val="18"/>
          <w:color w:val="auto"/>
        </w:rPr>
        <w:t>” means any federal health program as defined in 42 U.S.C. § 1320a-7b(f), including but not limited to Medicare (Title XVIII of the Social Security Act, 42 U.S.C. 1395 et seq.), Medicaid (Title XIX of the Social Security Act, 42 U.S.C. 1396 et seq.), TRICARE, and any similar or successor programs administered or financed in whole or in part by a Governmental Authority.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materials, substances or wastes for which Liability or binding standards of conduct may be imposed pursuant to any Environmental Laws, including any petroleum products or byproducts, asbestos or asbestos-containing materials, polychlorinated biphenyls, per-and polyfluoroalkyl substances, lead, toxic mold or radioactive materials.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any Law relating to the Research, Manufacture, Exploitation and Commercialization of pharmaceutical products (including the Products), including: (a) the United States Federal Food, Drug and Cosmetic Act, 21 U.S.C. § 301 et seq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(b) the rules, regulations, and guidance promulgated, enforced, and issued by FDA, including those relating to Good Clinical Practices, Good Laboratory Practices, Good Manufacturing Practices, labeling, advertising, record-keeping, and adverse event reporting; (c) all federal, state, and local fraud and abuse and patient inducement laws relating to the solicitation or acceptance of improper incentives involving Persons operating in the healthcare industry, including the Federal Health Care Program Anti-Kickback Statute, 42 U.S.C. § 1320a-7b(b); the False Claims Act, 31 U.S.C. §§ 3729-3733; the Program Fraud Civil Remedies Act, 31 U.S.C. §§ 3801-3812; the Anti-Kickback Act of 1986, 41 U.S.C. §§ 51-58; the Civil Monetary Penalties Law, 42 U.S.C. §§ 1320a-7a and 1320a-7b; the Federal Health Care Program Exclusion Laws, 42 U.S.C. § 1320a-7; the Eliminating Kickbacks in Recovery Act of 2018, 18 U.S.C. § 220; the Federal Health Care Fraud Law, 18 U.S.C. § 1347; the Open Payments provisions of the Affordable Care Act, 42 U.S.C. § 1320a-7h; and the regulations promulgated pursuant to such statutes and all other applicable Laws regarding financial relationships with referral sources, the submission of false claims, billing and coding, patient brokering, co-pay assistance programs, free drug and other patient support programs, and patient or program charges; (d) Medicare (Title XVIII of the Social Security Act) and Medicaid (Title XIX of the Social Security Act) and any other federal and state Law imposed in connection with any health care program for which reimbursement is provided by a Governmental Authority; (e) the Patient Protection and Affordability Care Act of 2010, as amended by the Health Care and Education Reconciliation Act of 2010, 42 U.S.C. § 18001 et seq.; the Drug Sample Reporting provisions of the Affordable Care Act, 42 U.S.C. § 1320a-7i; (f) all Laws governing government pricing or price reporting programs and regulations promulgated thereunder, and any other similar Laws, including the collection, reporting, and processing of any drug pricing or product attributable data or any applicable rebate, discount, chargeback, adjustment or restatement, under applicable rules and regulations relating to the Medicaid Drug Rebate Program, 42 U.S.C. § 1396r-8, and any state supplemental rebate program; Medicare Part B average sales price reporting (42 U.S.C. § 1395w–3a); the federal TRICARE statute, 10 U.S.C. § 1071 et seq.; the Veterans Health Care Act of 1992, 38 U.S.C. § 8126, or any Laws relating to any state pharmaceutical assistance program; (g) Section 340B of the Federal Public Health Service Act, 42 U.S.C. § 256B and any successor government programs; (h) HIPAA; (i) any criminal Laws relating to healthcare, including, but not limited to, those specified in 18 U.S.C. § 24 and 18 U.S.C. § 286;</w:t>
      </w:r>
    </w:p>
    <w:p>
      <w:pPr>
        <w:spacing w:after="0" w:line="12" w:lineRule="exact"/>
        <w:rPr>
          <w:sz w:val="20"/>
          <w:szCs w:val="20"/>
          <w:color w:val="auto"/>
        </w:rPr>
      </w:pPr>
    </w:p>
    <w:p>
      <w:pPr>
        <w:jc w:val="both"/>
        <w:ind w:firstLine="8"/>
        <w:spacing w:after="0" w:line="250" w:lineRule="auto"/>
        <w:tabs>
          <w:tab w:leader="none" w:pos="2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Medicare as Secondary Payer provisions of the Social Security Act, 42 U.S.C. § 1395y(b); (k) the Physician Payment Sunshine Act (42 U.S.C. § 1320a–7h) and the implementing regulations set forth at 42 C.F.R. §§ 403.900-403.914, as well as all applicable state Laws governing marketing, labeling, regulating, or requiring reporting of interactions between pharmaceutical manufacturers and health care professionals and other members of the healthcare industry; (l) the Public Health Service Act, 42 U.S.C. § 201 et seq; (m) the PhRMA Code and other applicable, generally accepted trade association codes of conduct; (n) federal and state consumer protection laws; (o) applicable fee splitting and reimbursement Laws; (p) all Laws regarding the manufacture, wholesale, distribution, marketing, labeling, promotion, sale, advertising, dispensing, or communication regarding pharmaceutical products or any Laws governing the licensure or regulation of entities conducting and overseeing clinical trials, including state licensing laws or regulations promulgated by state professional boards, as well as state transparency laws; (q) the International Conference on Harmonisation (ICH) Guidelines, including Good Clinical Practice E6(R2) and all applicable requirements relating to protection of human research subjects including without limitation those contained in the Federal Policy for the Protection of Human Subjects codified at 45 C.F.R. Part 46, (the “</w:t>
      </w:r>
      <w:r>
        <w:rPr>
          <w:rFonts w:ascii="Times New Roman" w:cs="Times New Roman" w:eastAsia="Times New Roman" w:hAnsi="Times New Roman"/>
          <w:sz w:val="18"/>
          <w:szCs w:val="18"/>
          <w:b w:val="1"/>
          <w:bCs w:val="1"/>
          <w:color w:val="auto"/>
        </w:rPr>
        <w:t>Common Rule</w:t>
      </w:r>
      <w:r>
        <w:rPr>
          <w:rFonts w:ascii="Times New Roman" w:cs="Times New Roman" w:eastAsia="Times New Roman" w:hAnsi="Times New Roman"/>
          <w:sz w:val="18"/>
          <w:szCs w:val="18"/>
          <w:color w:val="auto"/>
        </w:rPr>
        <w:t>”), 21 C.F.R. Parts 11, 50, 54, 56, 312, and 812;</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Laboratory Improvement Amendments of 1988, 42 U.S.C. § 263a as contained in 42 CFR Part 493 and any comparable state laws governing the licensure of clinical laboratories; (s) the Federal Controlled Substances Act, 21 U.S.C. § 801 et seq., all applicable rules and regulations of the DEA, and similar state controlled substance Law; (t) all equivalent applicable Laws of other Governmental Authorities; and (u) any rules, regulations, and legally binding directives, policy statements, or guidance promulgated or issued pursuant to such Laws, as each of the foregoing may be amended from time to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collectively, the Health Insurance Portability and Accountability Act of 1996, Public Law 104-191, as amended by the Health Information Technology for Economic and Clinical Health Act, and all implementing regulations promulgated thereunder, including the HIPAA Privacy Rule (45 C.F.R. Parts 160 and 164), the HIPAA Transactions and Code Sets Rule (45 C.F.R. Parts 160 and 162), the HIPAA Security Rule (45 C.F.R. Parts 160 and 164), and the HIPAA Breach Notification Rule (45 C.F.R. Parts 160 and 164 Part D), as each may be amended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intellectual property rights, however denominated, throughout the world and all rights associated therewith, including all (i) issued patents and patent applications (e.g., provisional, non-provisional and PCT applications), all divisionals, continuations, continuations in-part, or any other patent application directly or indirectly claiming priority to such patents or patent applications and all patents issuing from any of the foregoing anywhere in the world, together with all registrations, reissues, re-examinations, patents of addition, utility model or design rights or other industrial property rights, renewals, supplemental protection certificates, inventor’s certificates, restorations, patent term adjustments, or extensions of any of the foregoing and counterparts thereof anywhere in the world, including all rights to claim priority therefrom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0"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designs, trade dress, logos, slogans, trade names, Internet domain names (including all intellectual property addresses identified via a name format and generic top-level domains (gTLDs) and country code top-level domains (ccTLDs)), domain names, uniform resource locators, corporate names, doing business designations and all other indicia of origin, together with all translations, adaptations, derivations and combinations thereof, and all social media, including accounts and handles associated therewith and all applications for registration, registrations and renewals of any of the foregoing and all goodwill associated therewith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(iii) all inventions (and disclosures thereof), discoveries, commercial, technical, scientific and other know-how and information, proprietary rights in clinical, technical, scientific, manufacturing, regulatory and other information, knowledge, technology, methods, processes, practices, formulae, formulations, instructions, skills, techniques, procedures, experiences, data, including test data, database results, data collections, plans, recipes, reports, ideas, technical assistance, designs, drawings, assembly procedures, computer programs, apparatuses, assays and biological methodology, compositions, specifications, data and results (including biological, chemical, pharmacological, toxicological, pharmaceutical, physical and analytical, laboratory, preclinical, clinical, safety, manufacturing and quality control data and know-how, marketing, pricing, distribution, cost and sales information, including regulatory data, study designs, protocols, laboratory notes and notebooks), in all cases, whether or not confidential, proprietary, patented or patentable, in written, electronic or any other form now known or hereafter developed, including all intellectual property rights therein, (iv) copyrights in copyrightable subject matter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(v) computer programs or software, including source code, object code, algorithms, compilations, machine learning, executable code, systems, network tools, data, databases, applications and firmware and technology supporting the foregoing, and all documentation, including user manuals and training materials, related to any of the foregoing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and all related documentation, including all intellectual property rights therein, (vi) trade secrets or rights in confidential information or know-how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(vii) all applications and registrations for any of the foregoing, (viii) all other intellectual property and proprietary rights and all rights associated therewith in any jurisdiction in the world (including all rights to collect royalties, products and proceeds in connection with any of the foregoing, and to sue and bring other claims for past, present or future infringement, misappropriation or other violation of any of the foregoing, and to recover damages (including attorneys’ fees and expenses) and lost profits in connection therewith) and (ix) all copies and tangible embodiments of any of the foregoing (in whatever form or medium).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means the period between the close of business on the Execution Date and the earlier of (x) Closing and (y) the termination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Internal Revenue Service or any successor Governmental Authority.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(i) applicable national, supranational, domestic or foreign, federal, state, provincial or local statute, law (including the common law), act, treaty, code, constitution, ordinance, Order, decree, rule, administrative interpretation, regulation, or by-law, and (ii) any other policy, guideline, notice, protocol or requirement having the force of law of any Governmental Authority, in each case as in effect from time to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any and all (a) Acquired IP owned by a third party and exclusively licensed to, or purported to be exclusively licensed to, any Seller or (b) Acquired IP owned by a third party, non-exclusively licensed to any Seller and material to the Business.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debt, loss, liability, obligation, commitment, claim, damage, demand, fine, judgment, deficiency, fee, charge or penalty, whether absolute or contingent, accrued or unaccrued, asserted or unasserted, known or unknown, fixed or contingent, matured or unmatured, direct or indirect, determined or determinable or otherwise (including all adverse reactions, recalls, product and packaging complaints or other liabilities), whether arising under any Law, Order, Contract or otherwise and without regard to when sustained, incurred or asserted or when the relevant events occurred or circumstances existed.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means any claim, action, charge, complaint, audit, investigation, demand, petition, inquiry, arbitration, mediation, hearing, proceeding, suit (whether civil, criminal, administrative, or investigative or appellate proceeding), warning letter, or notice of violation.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Date</w:t>
      </w:r>
      <w:r>
        <w:rPr>
          <w:rFonts w:ascii="Times New Roman" w:cs="Times New Roman" w:eastAsia="Times New Roman" w:hAnsi="Times New Roman"/>
          <w:sz w:val="18"/>
          <w:szCs w:val="18"/>
          <w:color w:val="auto"/>
        </w:rPr>
        <w:t>” means January 1, 2023.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Manufactured</w:t>
      </w:r>
      <w:r>
        <w:rPr>
          <w:rFonts w:ascii="Times New Roman" w:cs="Times New Roman" w:eastAsia="Times New Roman" w:hAnsi="Times New Roman"/>
          <w:sz w:val="18"/>
          <w:szCs w:val="18"/>
          <w:color w:val="auto"/>
        </w:rPr>
        <w:t>” mean all activities related to the production, manufacture, processing, filling, finishing, testing, releasing, packaging, labeling, storage, shipping, handling, holding, quality assurance and quality control of any Product, or any intermediate.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Approval</w:t>
      </w:r>
      <w:r>
        <w:rPr>
          <w:rFonts w:ascii="Times New Roman" w:cs="Times New Roman" w:eastAsia="Times New Roman" w:hAnsi="Times New Roman"/>
          <w:sz w:val="18"/>
          <w:szCs w:val="18"/>
          <w:color w:val="auto"/>
        </w:rPr>
        <w:t>” means approval of a Marketing Approval Application by the applicable Governmental Authority. Marketing Approvals shall not include accelerated approval by the FDA, conditional approval by the European Commission, approval under exceptional circumstances, or analogous forms of marketing approval granted by other applicable Governmental Authorities.</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Approval Application</w:t>
      </w:r>
      <w:r>
        <w:rPr>
          <w:rFonts w:ascii="Times New Roman" w:cs="Times New Roman" w:eastAsia="Times New Roman" w:hAnsi="Times New Roman"/>
          <w:sz w:val="18"/>
          <w:szCs w:val="18"/>
          <w:color w:val="auto"/>
        </w:rPr>
        <w:t>” means: (a) a New Drug Application (as more fully defined in 21 CFR Part 314) filed with the FDA, or any successor application thereto in the U.S.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(b) an application for authorization to market or sell a pharmaceutical product submitted to a Governmental Authority in any country or jurisdiction other than the U.S., including, with respect to the European Union, a marketing authorization application filed with the European Medicines Agency pursuant to the Centralized Approval Procedure or with the applicable Governmental Authority of a country in the European Economic Area with respect to the decentralized procedure, mutual recognition or any national approval procedure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3" w:lineRule="auto"/>
        <w:tabs>
          <w:tab w:leader="none" w:pos="2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product for which an NDA or MAA has been approved by the applicable Governmental Authority, an application to supplement or amend such NDA or MAA to expand the approved label for such pharmaceutical product to include use of such pharmaceutical product for an additional indication or condition of use; or (d) any application with Governmental Authorities outside of the U.S. and European Union or European Economic Area that corresponds to any of the applications described in (a)-(c) above; and in each case including supplements and amendments to any of the applications described in (a)-(d) above.</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effect, occurrence, fact, circumstance, development or change (each, an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xml:space="preserve">”), that, individually or in the aggregate, is material and adverse to, or would reasonably be expected to become material and adverse to the business, results of operations, assets, liabilities or financial condition of the Business or the Purchased Assets and the Assumed Liabilities, taken as a whole;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none of the following, and no event, fact, occurrence, change, development, circumstance or effect to the extent resulting from the following, shall be deemed (individually or in combination) to constitute, or shall be taken into account in determining whether there has been, a “Material Adverse Effect”: (i) general political or economic conditions or conditions affecting the capital or financial markets generally, including the worsening of any existing conditions or changes affecting the availability or cost of financing; (ii) conditions generally affecting any industry or industry sector in which the Sellers operate or compete or any conditions generally affecting the pharmaceutical industry; (iii) any change in accounting requirements, applicable Laws or the enforcement, implementation or interpretation thereof; (iv) any hostility, act of war, sabotage, terrorism or military actions, or any escalation of any of the foregoing or any other geopolitical conditions or events, including any imposition, change, or escalation of tariffs, trade restrictions, trade wars, sanctions, embargoes, export or import controls, or other changes in trade policy; (v) any hurricane, flood, tornado, earthquake, pandemic or other natural disaster or force majeure event; (vi) the failure of Sellers to achieve any financial projections, predictions, forecasts or estimates of revenues or distributions for any period (provided that the underlying causes of such failure shall not be excluded unless otherwise excluded pursuant to this definition); (vii) any act or omission of Sellers taken with the prior written consent of or at the written request of Buyer; (viii) actions taken by Buyer or its Affiliates that constitute a breach of this Agreement by Buyer; (ix) (A) the commencement or pendency of this Agreement or of the Chapter 11 Cases, (B) any objections in the Bankruptcy Court to (1) this Agreement, any Ancillary Agreement or the Transactions, (2) the reorganization of Sellers, (3) the Bidding Procedures Order or (4) the assumption or rejection of any Purchased Contract otherwise in compliance with this Agreement, (C) any Order of the Bankruptcy Court or any actions or omission of Sellers required to be taken (or not taken) to comply therewith, or (D) any public announcement relating to subsections (ix)(A)–</w:t>
      </w:r>
    </w:p>
    <w:p>
      <w:pPr>
        <w:spacing w:after="0" w:line="14" w:lineRule="exact"/>
        <w:rPr>
          <w:sz w:val="20"/>
          <w:szCs w:val="20"/>
          <w:color w:val="auto"/>
        </w:rPr>
      </w:pPr>
    </w:p>
    <w:p>
      <w:pPr>
        <w:jc w:val="both"/>
        <w:ind w:firstLine="8"/>
        <w:spacing w:after="0" w:line="251"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hereof or the impact of such announcement or pendency on the relationship of any Seller with any supplier, distributor, customer, partner or similar relationship or any loss of employees resulting therefrom; (x) any act or omission by Sellers required to be taken pursuant to the terms of the DIP Financing Order; (xi) any materially unfavorable notification or response to the sNDA or investigational new drug applications referred to therein from the FDA prior to Closing, including but not limited to issuance of a complete response letter, a notice of significant deficiencies, or other materially unfavorable action with respect to the sNDA or any material adverse results of any human factors study with respect to the packaging of the Milestone Product,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Effect referred to in the foregoing clause (xi) may be taken into account in determining whether there is, or would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a Material Adverse Effect to the extent such Effect involves: (A) any wrongdoing by the Company or any of its Affiliates or Representatives, (B) any action taken (or the failure to take any action) by or at the express direction of the Company constituting fraud or violation of applicable Law by the Company or (C) any willful and material failure on the part of the Company, unless Buyer shall have consented in writing to the taking or failure to take any such action; and (xii) any change in the listing, market price, credit rating or trading volume of the Sellers’ stock or other securities or any change affecting the ratings or the ratings outlook for the Sellers (provided that the underlying factors contributing to any such change shall not be excluded unless such underlying factors would otherwise be excluded from the definition of Material Adverse Effect); except, in the case of clauses (i) through (v), to the extent that any such Effect has a disproportionate effect on the Purchased Assets and Assumed Liabilities, taken as a whole, relative to other Persons operating businesses similar to the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Covenant Dispute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Events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Payment Covenant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Product</w:t>
      </w:r>
      <w:r>
        <w:rPr>
          <w:rFonts w:ascii="Times New Roman" w:cs="Times New Roman" w:eastAsia="Times New Roman" w:hAnsi="Times New Roman"/>
          <w:sz w:val="18"/>
          <w:szCs w:val="18"/>
          <w:color w:val="auto"/>
        </w:rPr>
        <w:t>” means the drug product IGALMI® (dexmedetomidine) sublingual film for at home use which, as of the date hereof, is pending FDA approval pursuant to the sNDA; for the avoidance of doubt, “Milestone Product” shall not include the Approved Hospital Product.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with respect to the Milestone Product, the aggregate gross sales amount of the Milestone Product less applicable shipping costs, invoiced by Buyer, its Affiliates or its sublicensees (in their capacity as Buyer’s sublicensee) during the applicable measurement period on an arms’-length basis to unaffiliated Third Parties, less each of the following deductions, all of which deductions shall be determined in accordance with GAAP:</w:t>
      </w:r>
    </w:p>
    <w:p>
      <w:pPr>
        <w:jc w:val="both"/>
        <w:ind w:firstLine="8"/>
        <w:spacing w:after="0" w:line="251" w:lineRule="auto"/>
        <w:tabs>
          <w:tab w:leader="none" w:pos="2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percent (2%) of gross sales, on account of cash discounts, (b) reasonable estimates for any adjustments on account of price adjustments, billing adjustments, bid defaults, shelf stock adjustments, promotional payments, or other similar allowances affecting the Milestone Product, (c) reasonable estimates for chargebacks, rebates, administrative fee arrangements, reimbursements, and similar payments to wholesalers and other distributors, buying groups, health care insurance carriers, pharmacy benefit management companies, health maintenance organizations, other institutions or healthcare organizations or other customers or patients, (d) reasonable estimates for amounts due to unaffiliated third parties on account of rebate payments, including Medicaid rebates, or other price reductions provided, based on sales to any Governmental Authority in respect of state or federal Medicare, Medicaid, Veterans Administration, purchasers of the federal supply schedule or similar programs in any applicable jurisdiction, (e) allowances and credits to unaffiliated third parties on account of rejected, damaged, returned or recalled Milestone Product, (f) sales taxes, excise taxes, value-added taxes, and other Taxes (other than income taxes) levied on the invoiced amount, (g) any manufacturing Tax, including the brand manufacturer’s Tax imposed pursuant to the Patient Protection and Affordable Care Act (Pub. L. No. 111-148), (h) co-pay assistance, co-insurance assistance or other coupons directly related to the sale of the Milestone Product, accrued, paid or deducted pursuant to any obligation under any Contract, and (i) any other specifically identifiable amounts that have been credited against or deducted from the Product’s gross sales of Milestone Product and are substantially similar to those credits and deductions identified in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Net Sales exclude (a) transfers of Milestone Product to third parties as bona fide samples, as donations, for promotional or advertising purposes, for the performance of clinical trials or in accordance with applicable Law pertaining to any expanded access program, any compassionate sales or use program (including named patient program or single patient program) or any indigent program, in each case where the Milestone Product is transferred at or below cost, (b) intercompany transfer to an Affiliate of Buyer or between such entities and a sublicensee;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subsequent sale to an unaffiliated third party by such Affiliate or sublicensee is not considered an intercompany transfer, and (c) similar non-commercial sales for nominal or no consideration.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judicial, arbitral, administrative, ministerial, departmental or regulatory writ, judgment, edict, directive, adjudication, decree, injunction, ruling, order, decision, award or other binding obligation, pronouncement, determination or similar action taken by, or applied by, any Governmental Authority (in each case, whether temporary, preliminary or permanent).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w:t>
      </w:r>
      <w:r>
        <w:rPr>
          <w:rFonts w:ascii="Times New Roman" w:cs="Times New Roman" w:eastAsia="Times New Roman" w:hAnsi="Times New Roman"/>
          <w:sz w:val="18"/>
          <w:szCs w:val="18"/>
          <w:color w:val="auto"/>
        </w:rPr>
        <w:t>” means, with respect to an action taken by a Person, that such action is (i) substantially consistent with the past practices of the Person, (ii) taken in the ordinary course of the normal day-to-day operations of the Person and (iii) not prohibited by applicable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IP</w:t>
      </w:r>
      <w:r>
        <w:rPr>
          <w:rFonts w:ascii="Times New Roman" w:cs="Times New Roman" w:eastAsia="Times New Roman" w:hAnsi="Times New Roman"/>
          <w:sz w:val="18"/>
          <w:szCs w:val="18"/>
          <w:color w:val="auto"/>
        </w:rPr>
        <w:t>” means all Intellectual Property owned, or purported to be owned, by any Seller.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Technology</w:t>
      </w:r>
      <w:r>
        <w:rPr>
          <w:rFonts w:ascii="Times New Roman" w:cs="Times New Roman" w:eastAsia="Times New Roman" w:hAnsi="Times New Roman"/>
          <w:sz w:val="18"/>
          <w:szCs w:val="18"/>
          <w:color w:val="auto"/>
        </w:rPr>
        <w:t>” means any tangible embodiments of Intellectual Property (including Technology and Trade Secrets), in each case owned, or purported to be owned, by any Seller.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October 30,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Parent’s 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Party(ies)</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Assignment Agreement</w:t>
      </w:r>
      <w:r>
        <w:rPr>
          <w:rFonts w:ascii="Times New Roman" w:cs="Times New Roman" w:eastAsia="Times New Roman" w:hAnsi="Times New Roman"/>
          <w:sz w:val="18"/>
          <w:szCs w:val="18"/>
          <w:color w:val="auto"/>
        </w:rPr>
        <w:t xml:space="preserve">” means the Patent Assignment Agreement, in substantially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PDUFA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with respect to any Person, any permit, license, grant, authorization, consent, clearance, franchise, listing, permission, qualification, registration, certificate, franchise, certification, variance, exemption, Order or approval or similar authorization issued, granted, given or otherwise made available by or under the authority of any Governmental Authority having jurisdiction over the Person or pursuant to any Law.</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w:t>
      </w:r>
      <w:r>
        <w:rPr>
          <w:rFonts w:ascii="Times New Roman" w:cs="Times New Roman" w:eastAsia="Times New Roman" w:hAnsi="Times New Roman"/>
          <w:sz w:val="18"/>
          <w:szCs w:val="18"/>
          <w:color w:val="auto"/>
        </w:rPr>
        <w:t xml:space="preserve">” means any (a) Encumbrance for Taxes not yet due or payable; (b) Encumbrance imposed by Law that does not or would not be reasonably expected to materially detract from the current value of, or materially interfere with, the present use and enjoyment of any Purchased Asset subject thereto or affected thereby in the Ordinary Course; (c) Encumbrance incurred or deposit made to a Governmental Authority in connection with any Permit; (d) non-exclusive licenses of Intellectual Property granted in the Ordinary Course that are not material to the Business or the Exploitation of the Products and disclosed on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of the Seller Disclosure Schedules; (e) mechanics’, materialmen’s, carriers’, workmen’s, warehouseman’s, repairmen’s, landlords’ and similar Encumbrances granted or which arise in the Ordinary Course for amounts which are not due and payable; (f) Encumbrances expressly contemplated by the Sale Order; and (g) Encumbrances disclosed on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of the Seller Disclosure Schedules.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limited partnership, limited liability partnership, limited liability company, unlimited liability company, joint stock company, joint venture, syndicate, sole proprietorship, corporation, unincorporated association, trust, trustee, executor, administrator or other legal personal Representative, or any other legal entity, including a Governmental Authority, and pronouns have a similarly extended meaning.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any data or information in any media that, alone or in combination with other information, is capable of identifying a Person, browser, device or household, or any other data or information that is defined as or constitutes “personal data,” “protected health information,” “personal information,” “personally identifiable information,” or a similar term, under any applicable Law relating to data protection, data privacy, and data security.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PhRMA Code</w:t>
      </w:r>
      <w:r>
        <w:rPr>
          <w:rFonts w:ascii="Times New Roman" w:cs="Times New Roman" w:eastAsia="Times New Roman" w:hAnsi="Times New Roman"/>
          <w:sz w:val="18"/>
          <w:szCs w:val="18"/>
          <w:color w:val="auto"/>
        </w:rPr>
        <w:t>” means the Pharmaceutical Research and Manufacturers of America Code on Interactions with Healthcare Professionals and Principles on Conduct of Clinical Trials.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each “employee benefit plan” within the meaning of Section 3(3) of ERISA (whether or not subject thereto) and all other stock purchase, stock option, restricted stock, equity, equity-based, severance, termination, retention, employment, individual consulting, change-of-control, collective bargaining, bonus, incentive, deferred compensation, retirement, medical, prescription drug, dental, vision, disability, life insurance, health reimbursement, health savings account, flexible spending account, wellness, employee assistance, tuition reimbursement, educational assistance, adoption assistance, dependent care, transportation, automobile, home office, internet reimbursement, and other fringe benefit arrangements, supplemental retirement, nonqualified deferred compensation, executive benefit, excess benefit and split-dollar arrangements, vacation, paid time off, sick leave and other paid leave programs, and each other benefit or compensation plan, program, policy, contract, agreement or arrangement, in each case, to which any Seller is a party, which is maintained, sponsored or contributed to by any Seller, or under or with respect to which any Seller has any Liability, whether in the United States or any foreign jurisdiction.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with respect to a Product, the approval, agreement, determination or decision of any Governmental Authority establishing the price or level of reimbursement for such Product, in a given country or jurisdiction where Governmental Authorities approve or determine pricing for products for reimbursement or otherwise.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means any drug product, preparation, formulation, salt, or dosage form that is owned or otherwise controlled by any Seller as of the date hereof, including, BXCL501, BXCL502, BXCL503, BXCL504, BXCL701, BXCL702, the Approved Hospital Product, the Milestone Product and all investigational uses of any of the foregoing.</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Information</w:t>
      </w:r>
      <w:r>
        <w:rPr>
          <w:rFonts w:ascii="Times New Roman" w:cs="Times New Roman" w:eastAsia="Times New Roman" w:hAnsi="Times New Roman"/>
          <w:sz w:val="18"/>
          <w:szCs w:val="18"/>
          <w:color w:val="auto"/>
        </w:rPr>
        <w:t>” means records, reports (internal and external), data, datasets, source documents, files, marketing materials, specifications, shipping and storage records, Manufacturing documentation and quality assurance information associated with the Products, or Research, Manufacturing or Commercialization thereof, including but not limited to vendor lists, customer lists, pricing lists, advertising, marketing, sales, patient education and training materials and presentations, and promotional materials (including, to the extent available, samples and demonstration materials), quality control records, quality and inspection instructions and documents, biocompatibility, sterilization and packaging documentation, market research, competitive intelligence, brand and launch plans and forecasts, medical and scientific communications materials (including medical information response documents, standard response letters and field medical materials), digital and social media assets and customer relationship management data, promotional review committee and other approval records and training completion records, chemistry, manufacturing, and controls development reports and development history (including process development, formulation development, and analytical method development and validation information), process characterization reports, validation documentation (including validation master plans and method validation packages), stability data, technology transfer documentation and packages, quality system records, supplier qualification records, development laboratory notebooks and electronic laboratory records, statistical programming assets and human factors documentation, and all associated raw data and know-how (including any of the foregoing retained by or at any contract manufacturing organization), required for or useful to the Research, Manufacture, Exploitation and Commercialization of the Products, in each case, whether created, generated or maintained prior to, on or after the date of this Agreement, including all such records, reports, data and materials relating to any Product in its current or in prior 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Prohibited 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Avoidance 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Product Records</w:t>
      </w:r>
      <w:r>
        <w:rPr>
          <w:rFonts w:ascii="Times New Roman" w:cs="Times New Roman" w:eastAsia="Times New Roman" w:hAnsi="Times New Roman"/>
          <w:sz w:val="18"/>
          <w:szCs w:val="18"/>
          <w:color w:val="auto"/>
        </w:rPr>
        <w:t>” means all Regulatory Approvals, Regulatory Documentation, Product Information, books and records (including records of call center activity) relating to the Business or the Products to the extent owned, maintained or in the possession or control of any Seller, including all books of account, invoices, files, instruments, data (including research, development, financial, sales, purchasing, clinical, regulatory and operating data), marketing plans, marketing surveys, market share statistics, customer lists, supplier lists, distributor lists, but excluding, in all cases, the Excluded Items and any Intellectual Property included therein.</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Regulatory Approvals</w:t>
      </w:r>
      <w:r>
        <w:rPr>
          <w:rFonts w:ascii="Times New Roman" w:cs="Times New Roman" w:eastAsia="Times New Roman" w:hAnsi="Times New Roman"/>
          <w:sz w:val="18"/>
          <w:szCs w:val="18"/>
          <w:color w:val="auto"/>
        </w:rPr>
        <w:t xml:space="preserve">” means the Regulatory Approvals set forth on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of the Seller Disclosure Schedules or relating to the Business or the Products.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Technology</w:t>
      </w:r>
      <w:r>
        <w:rPr>
          <w:rFonts w:ascii="Times New Roman" w:cs="Times New Roman" w:eastAsia="Times New Roman" w:hAnsi="Times New Roman"/>
          <w:sz w:val="18"/>
          <w:szCs w:val="18"/>
          <w:color w:val="auto"/>
        </w:rPr>
        <w:t>” means all tangible embodiments of Intellectual Property (including Technology and Trade Secrets), in each case licensed to, or purported to be licensed to, any Seller, and all Owned Technology, in each case, relating to the Business or the Products.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means, collectively, any and all approvals (including supplements, amendments, pre- and post-approvals, pricing and reimbursement approvals), licenses, registrations, Permits, notifications, regulatory dossiers and authorizations or waivers of any Governmental Authority that are necessary or reasonably useful for the Exploitation of a product (including any Product) in any country or jurisdiction and that are necessary or reasonably useful to initiate Commercialization of a Product in a country or jurisdiction, including Marketing Approval and as applicable, Pricing Approval.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 Transfer Documentation</w:t>
      </w:r>
      <w:r>
        <w:rPr>
          <w:rFonts w:ascii="Times New Roman" w:cs="Times New Roman" w:eastAsia="Times New Roman" w:hAnsi="Times New Roman"/>
          <w:sz w:val="18"/>
          <w:szCs w:val="18"/>
          <w:color w:val="auto"/>
        </w:rPr>
        <w:t>” means the Seller Transfer Letters and Buyer Transfer Letters.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Documentation</w:t>
      </w:r>
      <w:r>
        <w:rPr>
          <w:rFonts w:ascii="Times New Roman" w:cs="Times New Roman" w:eastAsia="Times New Roman" w:hAnsi="Times New Roman"/>
          <w:sz w:val="18"/>
          <w:szCs w:val="18"/>
          <w:color w:val="auto"/>
        </w:rPr>
        <w:t>” means all applications, filings, submissions, approvals, licenses, registrations, permits, notifications, and authorizations (including marketing and labeling authorizations), waivers, data, or reports (and all supplements and amendments thereto) with respect to the Research, Manufacture, and Commercialization of the Products made to or received from any Governmental Authority in a given country, and all correspondence with Governmental Authorities related to the Products, including all regulatory filings, underlying data, datasets and supporting documents (including all nonclinical and clinical data, datasets, source documents and all supporting materials and information), Manufacturing data and documentation, current approved labeling and packaging and any other existing files and dossiers, annual reports and periodic safety reports, drug master files, FDA warning or untitled letters, FDA notices of inspectional observations (including any responses to such reports), complaint, adverse event and medical inquiry files and pharmacovigilance records, and any other information, documents and records required to be maintained under Healthcare Laws or otherwise maintained for the purpose of compliance with applicable Healthcare Laws, in each case with respect to the Products.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a Party’s officers, directors, employees, agents, attorneys, accountants, consultants, advisors, financing sources and other representatives.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means all activities related to the nonclinical and clinical research, development, identification, screening and testing of a Product, including toxicology tests, analytical method development, stability testing, process development and improvement, process validation, formulation development, human factors testing, delivery system development, quality assurance and quality control development, statistical analysis, pre- and post-approval clinical studies or trials, and regulatory activities in support thereof.</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Actions</w:t>
      </w:r>
      <w:r>
        <w:rPr>
          <w:rFonts w:ascii="Times New Roman" w:cs="Times New Roman" w:eastAsia="Times New Roman" w:hAnsi="Times New Roman"/>
          <w:sz w:val="18"/>
          <w:szCs w:val="18"/>
          <w:color w:val="auto"/>
        </w:rPr>
        <w:t xml:space="preserve">” means any action, cause of action, claim, demand, litigation, suit, summons, subpoena, inquiry, investigation, audit, hearing, originating application to a tribunal, arbitration or other legal proceeding of any nature, civil, criminal, regulatory, administrative or otherwise, whether in equity or at law, in contract, in tort or otherwise, whether asserted, unasserted, contingent, or otherwise, identified on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of the Seller Disclosure Schedules.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Hearing</w:t>
      </w:r>
      <w:r>
        <w:rPr>
          <w:rFonts w:ascii="Times New Roman" w:cs="Times New Roman" w:eastAsia="Times New Roman" w:hAnsi="Times New Roman"/>
          <w:sz w:val="18"/>
          <w:szCs w:val="18"/>
          <w:color w:val="auto"/>
        </w:rPr>
        <w:t>” means the hearing conducted by the Bankruptcy Court to approve the Transactions.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Order</w:t>
      </w:r>
      <w:r>
        <w:rPr>
          <w:rFonts w:ascii="Times New Roman" w:cs="Times New Roman" w:eastAsia="Times New Roman" w:hAnsi="Times New Roman"/>
          <w:sz w:val="18"/>
          <w:szCs w:val="18"/>
          <w:color w:val="auto"/>
        </w:rPr>
        <w:t xml:space="preserve">” means an order entered by the Bankruptcy Court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attached hereto, subject to (a) immaterial modifications or clarifications or (b) such other changes to which Buyer, in its sole discretion, consents in writing.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all Laws relating to economic or trade sanctions, including the Laws administered or enforced by the United States (including by OFAC or the U.S. Department of State), Canada, Israel, the United Nations Security Council, His Majesty’s Treasury of the United Kingdom, and the European Union.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any country or territory that is the subject of Sanctions, including, without limitation, Cuba, Iran, Lebanon, Syria, North Korea, and the Crimea, Donetsk People’s Republic, Sevastopol, Zaporizhzhia, or Luhansk People’s Republic regions of Ukraine.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Person with whom dealings are restricted or prohibited under any Sanctions, including any Person that is:</w:t>
      </w:r>
    </w:p>
    <w:p>
      <w:pPr>
        <w:spacing w:after="0" w:line="31" w:lineRule="exact"/>
        <w:rPr>
          <w:sz w:val="20"/>
          <w:szCs w:val="20"/>
          <w:color w:val="auto"/>
        </w:rPr>
      </w:pPr>
    </w:p>
    <w:p>
      <w:pPr>
        <w:jc w:val="both"/>
        <w:ind w:firstLine="8"/>
        <w:spacing w:after="0" w:line="255"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under the laws of, ordinarily resident in, or located in a country or territory that is a Sanctioned Country; (ii) 50% or more owned or controlled by the government of a Sanctioned Country; or (iii) (A) a Designated Party; or (B) 50% or more owned or, where relevant under applicable Sanctions, controlled, individually or in the aggregate, by one or more Designated Party.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 and any successor agency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means any unauthorized access, acquisition, use, disclosure, destruction, modification, or loss of Personal Data, or unauthorized access to or disruption of any information technology systems used in the operation of the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Disclosure Schedules</w:t>
      </w:r>
      <w:r>
        <w:rPr>
          <w:rFonts w:ascii="Times New Roman" w:cs="Times New Roman" w:eastAsia="Times New Roman" w:hAnsi="Times New Roman"/>
          <w:sz w:val="18"/>
          <w:szCs w:val="18"/>
          <w:color w:val="auto"/>
        </w:rPr>
        <w:t>” means the disclosure schedules of Sellers delivered by Sellers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Financial Advisor</w:t>
      </w:r>
      <w:r>
        <w:rPr>
          <w:rFonts w:ascii="Times New Roman" w:cs="Times New Roman" w:eastAsia="Times New Roman" w:hAnsi="Times New Roman"/>
          <w:sz w:val="18"/>
          <w:szCs w:val="18"/>
          <w:color w:val="auto"/>
        </w:rPr>
        <w:t>” means MTS Health Partners,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Transfer Letters</w:t>
      </w:r>
      <w:r>
        <w:rPr>
          <w:rFonts w:ascii="Times New Roman" w:cs="Times New Roman" w:eastAsia="Times New Roman" w:hAnsi="Times New Roman"/>
          <w:sz w:val="18"/>
          <w:szCs w:val="18"/>
          <w:color w:val="auto"/>
        </w:rPr>
        <w:t>” means letters notifying the FDA of the transfer or assignment of the Purchased Regulatory Approvals, including NDA #215390 and all INDs for the Products, to Buyer or its designated Affiliate, as well as any similar letters to any other applicable Governmental Authorities, in each case delivered to Buyer in the form to be reasonably agreed to by Buyer and such Seller.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Knowledge of Sellers</w:t>
      </w:r>
      <w:r>
        <w:rPr>
          <w:rFonts w:ascii="Times New Roman" w:cs="Times New Roman" w:eastAsia="Times New Roman" w:hAnsi="Times New Roman"/>
          <w:sz w:val="18"/>
          <w:szCs w:val="18"/>
          <w:color w:val="auto"/>
        </w:rPr>
        <w:t>” and similar formulations mean the actual knowledge of any one of Vimal Mehta, the Chief Executive Officer of the Company, Richard I. Steinhart, the Chief Financial Officer of the Company, Frank D. Yocca, the Chief Scientific Officer of the Company and Javier Rodriguez, the Chief Legal Officer of the Company, and the knowledge obtained by each such individuals after reasonable inquiry of any employee or agent of Sellers who has principal responsibility for the subject matter to which such knowledge relates.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sNDA</w:t>
      </w:r>
      <w:r>
        <w:rPr>
          <w:rFonts w:ascii="Times New Roman" w:cs="Times New Roman" w:eastAsia="Times New Roman" w:hAnsi="Times New Roman"/>
          <w:sz w:val="18"/>
          <w:szCs w:val="18"/>
          <w:color w:val="auto"/>
        </w:rPr>
        <w:t>” means Supplement 0003 to NDA #215390 received by FDA on January 14, 2026, seeking to expand the FDA-approved labeling of IGALMI® (dexmedetomidine) sublingual film to include at-home use, as amended or modified.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entity in which such Person directly or indirectly owns or purports to own, beneficially or of record, (a) an amount of securities or ownership interests having by their terms voting power to elect a majority of the board of directors or other Persons performing similar functions or (b) at least 50% of the outstanding equity or financial interests of such entity. The term “Subsidiary” shall include all Subsidiaries of such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Sunset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Successful Bidder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election, notice, filing, claim for refund, information return or statement relating to Taxes, including any schedule, attachment, amendment or supplement thereto, filed or maintained, or required to be filed or maintained, in connection with the calculation, determination, assessment or collection of any Taxes and includes any amended returns required as a result of examination adjustments made by the IRS or other Taxing Authority.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taxes of any kind, and all charges, fees, customs, levies, duties, excises, premiums, imposts, required deposits or other assessments, including all federal, state, local or foreign net income, capital gains, gross income, gross receipt, property, franchise, sales, use, excise, value added, goods and services, withholding, payroll, employment, social security, worker’s compensation, unemployment, occupation, capital stock, transfer, stamp, documentary, registration, gains, windfall profits, net worth, asset, transaction and other taxes, and any interest, penalties, fines or additions to tax with respect thereto, imposed by any Taxing Authority or other Governmental Authority under applicable Law, and including any liability for the Taxes of any other Person under Treasury Regulations Section 1.1502-6 (or any similar provision of state, local or non-U.S. Law), as a transferee, successor, responsible person, withholding agent, by contract (other than any contract entered into in the Ordinary Course the principal purpose of which does not relate to Taxes), or otherwise by operation of Law.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any Governmental Authority or any quasi-governmental body exercising tax regulatory authority.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Teva R&amp;D</w:t>
      </w:r>
      <w:r>
        <w:rPr>
          <w:rFonts w:ascii="Times New Roman" w:cs="Times New Roman" w:eastAsia="Times New Roman" w:hAnsi="Times New Roman"/>
          <w:sz w:val="18"/>
          <w:szCs w:val="18"/>
          <w:color w:val="auto"/>
        </w:rPr>
        <w:t>” means Teva Branded Pharmaceutical Products R&amp;D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Sellers, Buyer and their respective Affiliates and permitted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Third-Party Payor Program</w:t>
      </w:r>
      <w:r>
        <w:rPr>
          <w:rFonts w:ascii="Times New Roman" w:cs="Times New Roman" w:eastAsia="Times New Roman" w:hAnsi="Times New Roman"/>
          <w:sz w:val="18"/>
          <w:szCs w:val="18"/>
          <w:color w:val="auto"/>
        </w:rPr>
        <w:t>” means any third-party payors or programs, including Governmental Programs and private payors.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Top Customer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Top Supplier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 Assignment Agreement</w:t>
      </w:r>
      <w:r>
        <w:rPr>
          <w:rFonts w:ascii="Times New Roman" w:cs="Times New Roman" w:eastAsia="Times New Roman" w:hAnsi="Times New Roman"/>
          <w:sz w:val="18"/>
          <w:szCs w:val="18"/>
          <w:color w:val="auto"/>
        </w:rPr>
        <w:t xml:space="preserve">” means the Trademark Assignment Agreement, in substantially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Pleadings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transactions contemplated by this Agreement and the Ancillary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Undisclosed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 Instructions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 Except where the context otherwise requires, wherever used, the singular includes the plural, the plural the singular, the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gender shall be applicable to all genders and the word “or” is used in the inclusive sense (and/or). The captions of this Agreement are for convenience of reference only and in no way define, describe, extend or limit the scope or intent of this Agreement or the intent of any provision contained in this Agreement. The terms “include,” “includes” and “including” mean “include, without limitation,” “includes, without limitation” and “including, without limitation,” respectively, and do not limit the generality of any description preceding such term. The language of this Agreement shall be deemed to be the language mutually chosen by the Parties and no rule of strict construction shall be applied against either Party. Unless otherwise specified or where the context otherwise requires, (a) references in this Agreement to any Article, Section, Schedule or Exhibit are references to such Article, Section, Schedule or Exhibit of this Agreement; (b) references in any Section to any clause are references to such clause of such Section; (c) “hereof,” “hereto,” “hereby,” “herein” and “hereunder” and words of similar import when used in this Agreement refer to this Agreement as a whole and not to any particular provision of this Agreement; (d) references to a Person are also to its successors and permitted assigns; (e) references to a Law include any amendment or modification to such Law and any rules or regulations issued thereunder, in each case, as in effect at the relevant time of reference thereto; (f)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 (g) “extent” in the phrase “to the extent” means the degree to which a subject or other thing extends, and such phrase does not mean simply “if”; (h) all references to “made available” means, when used with respect to any document or other item of information, that such document or other item of information was provided or made available to Buyer in the “virtual data room” prepared by the Sellers to which Buyer has been provided access prior to the date hereof; and (i) references to monetary amounts are denominated in United States Dollars and all references to “$” shall be deemed to refer to United States dollars. The Parties have participated jointly in the negotiation and drafting of this Agreement and in the event an ambiguity or question of intent or interpretation arises, this Agreement shall be construed as if drafted jointly by the Parties and no presumption or burden of proof shall arise favoring or disfavoring any Party (or any Affiliate thereof) by virtue of the authorship of any of the provisions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SALE AND PURCHASE OF ASSETS; LIABILITIES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         Sale of Purchased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Purchase and Sale of Purchased Assets</w:t>
      </w:r>
      <w:r>
        <w:rPr>
          <w:rFonts w:ascii="Times New Roman" w:cs="Times New Roman" w:eastAsia="Times New Roman" w:hAnsi="Times New Roman"/>
          <w:sz w:val="18"/>
          <w:szCs w:val="18"/>
          <w:color w:val="auto"/>
        </w:rPr>
        <w:t>. Upon the terms and subject to the conditions of this Agreement and the Ancillary Agreements, at and effective as of the Closing, Sellers shall sell, transfer, convey, assign and deliver to Buyer, and Buyer shall purchase and accept from Sellers, all rights, title and interests of Sellers in and to all of the assets, properties, interests, rights and claims of Sellers, other than the Excluded Assets, including the following (collectively, the “</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 in each case free and clear of any Encumbrances (other than Permitted Encumbrances):</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 (a)          all rights and interests of Sellers under the Contracts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of the Seller Disclosure Schedules, which Section of the Seller Disclosure Schedules may be modified by Buyer (unless otherwise indicated in the Seller Disclosure Schedules) from the date hereof through three (3) Business Days prior to the Closing Date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including all manufacturing and chemistry, manufacturing, and controls-related Contracts, know-how, and documentation (the “</w:t>
      </w:r>
      <w:r>
        <w:rPr>
          <w:rFonts w:ascii="Times New Roman" w:cs="Times New Roman" w:eastAsia="Times New Roman" w:hAnsi="Times New Roman"/>
          <w:sz w:val="18"/>
          <w:szCs w:val="18"/>
          <w:b w:val="1"/>
          <w:bCs w:val="1"/>
          <w:color w:val="auto"/>
        </w:rPr>
        <w:t>Purchased Contracts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(b)          the Purchased Product Records;</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(c)          the Acquired IP and Purchased Technology, including all rights to sue for past, present, and future infringement, misappropriation, or violation thereof including all intellectual property rights related to the Products, including patents, patent applications, trademarks, and trade secrets;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(d)          all regulatory filings, approvals, and correspondence with the FDA related to the Products, including the sNDA;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1960"/>
        <w:spacing w:after="0"/>
        <w:rPr>
          <w:sz w:val="20"/>
          <w:szCs w:val="20"/>
          <w:color w:val="auto"/>
        </w:rPr>
      </w:pPr>
      <w:r>
        <w:rPr>
          <w:rFonts w:ascii="Times New Roman" w:cs="Times New Roman" w:eastAsia="Times New Roman" w:hAnsi="Times New Roman"/>
          <w:sz w:val="18"/>
          <w:szCs w:val="18"/>
          <w:color w:val="auto"/>
        </w:rPr>
        <w:t> (e)          all clinical data, preclinical data, and research materials related to the Products;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(f)          [Reserved];</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 (g)          all Permits that are listed on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of the Seller Disclosure Schedules or relating to the Business or the Products, to the extent assignable or transferable (the “</w:t>
      </w:r>
      <w:r>
        <w:rPr>
          <w:rFonts w:ascii="Times New Roman" w:cs="Times New Roman" w:eastAsia="Times New Roman" w:hAnsi="Times New Roman"/>
          <w:sz w:val="18"/>
          <w:szCs w:val="18"/>
          <w:b w:val="1"/>
          <w:bCs w:val="1"/>
          <w:color w:val="auto"/>
        </w:rPr>
        <w:t>Purchased Permits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(h)          all Finished Goods Inventory owned by and in the possession or custody of Sellers;</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(i)          all drug substance, active pharmaceutical ingredients, excipients, raw materials, in-process materials, work-in-process, demonstration equipment, components (including packaging components), packaging material or similar items that are (i) used by any Seller or any third-party contract manufacturer, supplier or vendor of any Seller, in each case, in the production or distribution of any Product or (ii) held in any such Person’s inventory for any use related to any Product, in each case (i) and (ii), and in the possession, control or custody of any such Person;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(j)           all advertising, marketing, sales and promotional materials relating to the Products;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(k)          all URLs, websites, social media accounts, website content, fax numbers and telephone numbers relating to the Products;</w:t>
      </w: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(l)          all pre-paid expenses and security deposits;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          all Purchased Regulatory Approvals to the extent transferable under law;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(n)         [Reserved];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(o)          all Employee Equipment;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(p)          confidentiality, joint defense or similar agreements with prospective purchasers of the Products or the Business,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(q)          all Accounts Receivable;</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  (r)          all insurance policies of Sellers (other than the D&amp;O Policies and those funding a Plan), to the extent transferable, including all insurance recoveries thereunder and all rights to assert claims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insurance policy that is not transferable, or to the extent any claim thereunder relates to or arises from any Excluded Asset or Excluded Liability, Sellers shall retain the right to assert, prosecute and settle such claim and to receive and retain any proceeds or recoveries in respect thereof, and Buyer shall, and shall cause its Affiliates to, reasonably cooperate with Sellers (at Sellers' sole cost and expense) in asserting and pursuing any such claim, including by providing reasonable access to relevant books, records and personnel to the extent necessary to assert and pursue such claim, during normal business hours upon reasonable advance notice, subject to any applicable privileges or confidentiality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notwithstanding the non-transferability of any such insurance policy, Buyer shall be entitled to all rights, benefits, claims, causes of action, proceeds and recoveries under such policy to the extent relating to the Purchased Assets or Assumed Liabilities, and Sellers shall, and shall cause their respective Affiliates to, reasonably cooperate with Buyer (at Buyer’s sole cost and expense) in asserting, prosecuting and recovering under such policies;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(s)          all goodwill related to the Business, the Purchased Assets and/or the Assumed Liabilities;</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(t)          all rights of Sellers under any non-disclosure or confidentiality, non-compete, non-interference, non-solicitation or similar agreements with current and former employees and agents of Sellers or with third parties, in each case, related to the Purchased Assets or the Business (or any portion thereof), including any RCAs;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(u)          all Avoidance Actions, and the proceeds thereof, against any of Sellers’ vendors, suppliers, customers or trade creditors with whom Buyer continues to conduct business in regard to the Purchased Assets after the Closing and any of their Affiliates (the “</w:t>
      </w:r>
      <w:r>
        <w:rPr>
          <w:rFonts w:ascii="Times New Roman" w:cs="Times New Roman" w:eastAsia="Times New Roman" w:hAnsi="Times New Roman"/>
          <w:sz w:val="18"/>
          <w:szCs w:val="18"/>
          <w:b w:val="1"/>
          <w:bCs w:val="1"/>
          <w:color w:val="auto"/>
        </w:rPr>
        <w:t>Purchased Avoidance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[Reserved]; and</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(w)          to the extent transferable under applicable Law and subject to the terms of this Agreement, any security deposits held by counterparties to the Purchased Contracts.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Excluded Assets</w:t>
      </w:r>
      <w:r>
        <w:rPr>
          <w:rFonts w:ascii="Times New Roman" w:cs="Times New Roman" w:eastAsia="Times New Roman" w:hAnsi="Times New Roman"/>
          <w:sz w:val="18"/>
          <w:szCs w:val="18"/>
          <w:color w:val="auto"/>
        </w:rPr>
        <w:t xml:space="preserve">. Notwithstanding anything to the contrary in this Agreement or in any Ancillary Agreement, (a) Buyer shall not acquire the Excluded Assets, including any Contract set forth on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of the Seller Disclosure Schedules (each such contract an “</w:t>
      </w:r>
      <w:r>
        <w:rPr>
          <w:rFonts w:ascii="Times New Roman" w:cs="Times New Roman" w:eastAsia="Times New Roman" w:hAnsi="Times New Roman"/>
          <w:sz w:val="18"/>
          <w:szCs w:val="18"/>
          <w:b w:val="1"/>
          <w:bCs w:val="1"/>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and any other assets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Schedules, which Section of the Seller Disclosure Schedules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modified (unless otherwise indicated in the Seller Disclosure Schedules or to change an Excluded Asset into a Purchased Asset) from the Execution Date through two (2) Business Days prior to the Closing Date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and (b) Sellers shall retain the Excluded Assets following the Closing.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Assumption/Rejection of Certain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  Assumption and Assignment of Executory Contracts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2592"/>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Section 2.1.3(a)</w:t>
      </w:r>
      <w:r>
        <w:rPr>
          <w:rFonts w:ascii="Times New Roman" w:cs="Times New Roman" w:eastAsia="Times New Roman" w:hAnsi="Times New Roman"/>
          <w:sz w:val="18"/>
          <w:szCs w:val="18"/>
          <w:color w:val="auto"/>
        </w:rPr>
        <w:t xml:space="preserve"> of Seller Disclosure Schedules (the “</w:t>
      </w:r>
      <w:r>
        <w:rPr>
          <w:rFonts w:ascii="Times New Roman" w:cs="Times New Roman" w:eastAsia="Times New Roman" w:hAnsi="Times New Roman"/>
          <w:sz w:val="18"/>
          <w:szCs w:val="18"/>
          <w:b w:val="1"/>
          <w:bCs w:val="1"/>
          <w:color w:val="auto"/>
        </w:rPr>
        <w:t>Available Contracts Schedule</w:t>
      </w:r>
      <w:r>
        <w:rPr>
          <w:rFonts w:ascii="Times New Roman" w:cs="Times New Roman" w:eastAsia="Times New Roman" w:hAnsi="Times New Roman"/>
          <w:sz w:val="18"/>
          <w:szCs w:val="18"/>
          <w:color w:val="auto"/>
        </w:rPr>
        <w:t>”) sets forth a list of all Contracts to which any Seller is a party that is subject to assumption or rejection pursuant to Section 365 of the Bankruptcy Code (the “</w:t>
      </w:r>
      <w:r>
        <w:rPr>
          <w:rFonts w:ascii="Times New Roman" w:cs="Times New Roman" w:eastAsia="Times New Roman" w:hAnsi="Times New Roman"/>
          <w:sz w:val="18"/>
          <w:szCs w:val="18"/>
          <w:b w:val="1"/>
          <w:bCs w:val="1"/>
          <w:color w:val="auto"/>
        </w:rPr>
        <w:t>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and the estimated Cure Costs for each Available Contract. No later than two (2) Business Days prior to Closing, Buyer shall designate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 “</w:t>
      </w:r>
      <w:r>
        <w:rPr>
          <w:rFonts w:ascii="Times New Roman" w:cs="Times New Roman" w:eastAsia="Times New Roman" w:hAnsi="Times New Roman"/>
          <w:sz w:val="18"/>
          <w:szCs w:val="18"/>
          <w:b w:val="1"/>
          <w:bCs w:val="1"/>
          <w:color w:val="auto"/>
        </w:rPr>
        <w:t>Designation Notice</w:t>
      </w:r>
      <w:r>
        <w:rPr>
          <w:rFonts w:ascii="Times New Roman" w:cs="Times New Roman" w:eastAsia="Times New Roman" w:hAnsi="Times New Roman"/>
          <w:sz w:val="18"/>
          <w:szCs w:val="18"/>
          <w:color w:val="auto"/>
        </w:rPr>
        <w:t xml:space="preserve">”) the Purchased Contracts. All Available Contracts that Buyer does not designate as Purchased Contracts pursuant to this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shall not constitute Purchased Contracts or Purchased Assets and shall automatically be deemed Excluded Contracts;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there is a Cure Cost dispute with respect to an Available Contract or any other dispute as to the assumption or assignment of such Available Contract (such Available Contract, a “</w:t>
      </w:r>
      <w:r>
        <w:rPr>
          <w:rFonts w:ascii="Times New Roman" w:cs="Times New Roman" w:eastAsia="Times New Roman" w:hAnsi="Times New Roman"/>
          <w:sz w:val="18"/>
          <w:szCs w:val="18"/>
          <w:b w:val="1"/>
          <w:bCs w:val="1"/>
          <w:color w:val="auto"/>
        </w:rPr>
        <w:t>Disputed Contract</w:t>
      </w:r>
      <w:r>
        <w:rPr>
          <w:rFonts w:ascii="Times New Roman" w:cs="Times New Roman" w:eastAsia="Times New Roman" w:hAnsi="Times New Roman"/>
          <w:sz w:val="18"/>
          <w:szCs w:val="18"/>
          <w:color w:val="auto"/>
        </w:rPr>
        <w:t>”) that has not been resolved to the satisfaction of Buyer prior to two (2) Business Day prior to Closing (the “</w:t>
      </w:r>
      <w:r>
        <w:rPr>
          <w:rFonts w:ascii="Times New Roman" w:cs="Times New Roman" w:eastAsia="Times New Roman" w:hAnsi="Times New Roman"/>
          <w:sz w:val="18"/>
          <w:szCs w:val="18"/>
          <w:b w:val="1"/>
          <w:bCs w:val="1"/>
          <w:color w:val="auto"/>
        </w:rPr>
        <w:t>Designation Deadline</w:t>
      </w:r>
      <w:r>
        <w:rPr>
          <w:rFonts w:ascii="Times New Roman" w:cs="Times New Roman" w:eastAsia="Times New Roman" w:hAnsi="Times New Roman"/>
          <w:sz w:val="18"/>
          <w:szCs w:val="18"/>
          <w:color w:val="auto"/>
        </w:rPr>
        <w:t>”), then the Designation Deadline shall be extended (but only with respect to such Disputed Contract) to no later than the earlier of (A) the date on which such Available Contract is deemed rejected by operation of Section 365 of the Bankruptcy Code, and (B) the date upon which such dispute is finally determined by the Bankruptcy Court or mutually resolved by the Sellers and any counterparty to such Disputed Contract, which resolution shall be approved by Buyer in its sole discretion (the “</w:t>
      </w:r>
      <w:r>
        <w:rPr>
          <w:rFonts w:ascii="Times New Roman" w:cs="Times New Roman" w:eastAsia="Times New Roman" w:hAnsi="Times New Roman"/>
          <w:sz w:val="18"/>
          <w:szCs w:val="18"/>
          <w:b w:val="1"/>
          <w:bCs w:val="1"/>
          <w:color w:val="auto"/>
        </w:rPr>
        <w:t>Extended Contract Period</w:t>
      </w:r>
      <w:r>
        <w:rPr>
          <w:rFonts w:ascii="Times New Roman" w:cs="Times New Roman" w:eastAsia="Times New Roman" w:hAnsi="Times New Roman"/>
          <w:sz w:val="18"/>
          <w:szCs w:val="18"/>
          <w:color w:val="auto"/>
        </w:rPr>
        <w:t>”). If a Designation Notice with respect to a Disputed Contract is not delivered by Buyer in writing by the date which is ten (10) Business Days following the expiration of such Extended Contract Period, such Disputed Contract shall not constitute a Purchased Contract or Purchased Asset.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(ii)            Sellers shall cause a timely and proper written notice, in any event, no later than three (3) Business Days following entry of the Bidding Procedures Order to all counterparties (the “</w:t>
      </w:r>
      <w:r>
        <w:rPr>
          <w:rFonts w:ascii="Times New Roman" w:cs="Times New Roman" w:eastAsia="Times New Roman" w:hAnsi="Times New Roman"/>
          <w:sz w:val="18"/>
          <w:szCs w:val="18"/>
          <w:b w:val="1"/>
          <w:bCs w:val="1"/>
          <w:color w:val="auto"/>
        </w:rPr>
        <w:t>Counterparties</w:t>
      </w:r>
      <w:r>
        <w:rPr>
          <w:rFonts w:ascii="Times New Roman" w:cs="Times New Roman" w:eastAsia="Times New Roman" w:hAnsi="Times New Roman"/>
          <w:sz w:val="18"/>
          <w:szCs w:val="18"/>
          <w:color w:val="auto"/>
        </w:rPr>
        <w:t>”) and procedures for objection thereto in accordance with the Bidding Procedures Order, to all Available Contracts in accordance with the procedures set forth in the Bidding Procedures Order. Such notice shall identify each Available Contract by the name or appropriate description and date (if available), the Counterparty, and the address of such Counterparty for notice purposes. Such notice shall also (A) set forth Sellers’ good faith estimate of the applicable Cure Costs for each Available Contract as determined by Sellers based on their books and records, (B) set forth procedures for objecting to the proposed Cure Costs and proposed assignment of the Available Contract, and (C) be filed with the Bankruptcy Court (the “</w:t>
      </w:r>
      <w:r>
        <w:rPr>
          <w:rFonts w:ascii="Times New Roman" w:cs="Times New Roman" w:eastAsia="Times New Roman" w:hAnsi="Times New Roman"/>
          <w:sz w:val="18"/>
          <w:szCs w:val="18"/>
          <w:b w:val="1"/>
          <w:bCs w:val="1"/>
          <w:color w:val="auto"/>
        </w:rPr>
        <w:t>Cure Costs Notice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Undisclosed Contracts</w:t>
      </w:r>
      <w:r>
        <w:rPr>
          <w:rFonts w:ascii="Times New Roman" w:cs="Times New Roman" w:eastAsia="Times New Roman" w:hAnsi="Times New Roman"/>
          <w:sz w:val="18"/>
          <w:szCs w:val="18"/>
          <w:color w:val="auto"/>
        </w:rPr>
        <w:t>. If, at any time prior to the date that is one (1) calendar day prior to the Designation Deadline, any Seller becomes aware that it is a party to a Contract that is not listed on the Available Contracts Schedule (each, an “</w:t>
      </w:r>
      <w:r>
        <w:rPr>
          <w:rFonts w:ascii="Times New Roman" w:cs="Times New Roman" w:eastAsia="Times New Roman" w:hAnsi="Times New Roman"/>
          <w:sz w:val="18"/>
          <w:szCs w:val="18"/>
          <w:b w:val="1"/>
          <w:bCs w:val="1"/>
          <w:color w:val="auto"/>
        </w:rPr>
        <w:t>Undisclosed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Seller shall update the Available Contracts Schedule with respect to such Undisclosed Contract, provide the Buyer with a correct and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such Contract, and (i) file with the Bankruptcy Court such updated schedule, and (ii) serve a Cure Costs Notice, which notice shall include such updated schedule, to the Counterparty to such Undisclosed Contract.</w:t>
      </w:r>
    </w:p>
    <w:p>
      <w:pPr>
        <w:spacing w:after="0" w:line="183" w:lineRule="exact"/>
        <w:rPr>
          <w:sz w:val="20"/>
          <w:szCs w:val="20"/>
          <w:color w:val="auto"/>
        </w:rPr>
      </w:pPr>
    </w:p>
    <w:p>
      <w:pPr>
        <w:jc w:val="both"/>
        <w:ind w:firstLine="2592"/>
        <w:spacing w:after="0" w:line="254" w:lineRule="auto"/>
        <w:rPr>
          <w:sz w:val="20"/>
          <w:szCs w:val="20"/>
          <w:color w:val="auto"/>
        </w:rPr>
      </w:pPr>
      <w:r>
        <w:rPr>
          <w:rFonts w:ascii="Times New Roman" w:cs="Times New Roman" w:eastAsia="Times New Roman" w:hAnsi="Times New Roman"/>
          <w:sz w:val="18"/>
          <w:szCs w:val="18"/>
          <w:color w:val="auto"/>
        </w:rPr>
        <w:t xml:space="preserve">(iv)          Buyer shall have the right, in its sole discretion, to notify Sellers in writing up to the Designation Deadline, of any Available Contract that it does not wish to assume or any Excluded Contract that Buyer wishes to designate as a Purchased Contract, and (A) any such Available Contract that Buyer no longer wishes to assume shall be automatically deemed an Excluded Contract, in each case, without any adjustment to the Purchase Price, and (B) any such previously Excluded Contract shall automatically become a Purchased Contract, in each case, without any adjustment to the Purchase Price. If, in accordance with the Bidding Procedures, any Counterparties object, in writing, to the proposed Cure Costs or the assumption of its Contract within ten (10) Business Days of the Cure Costs Notice delivered to such Counterparty pursuant to </w:t>
      </w:r>
      <w:r>
        <w:rPr>
          <w:rFonts w:ascii="Times New Roman" w:cs="Times New Roman" w:eastAsia="Times New Roman" w:hAnsi="Times New Roman"/>
          <w:sz w:val="18"/>
          <w:szCs w:val="18"/>
          <w:u w:val="single" w:color="auto"/>
          <w:color w:val="auto"/>
        </w:rPr>
        <w:t>Section 2.1.3(a)(ii)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applicable, and the Counterparty, Sellers, and Buyer are unable to reach a consensual resolution with respect to such objection, Sellers shall seek an expedited hearing before the Bankruptcy Court to determine the Cure Costs and approve the assumption and assignment.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2592"/>
        <w:spacing w:after="0" w:line="254" w:lineRule="auto"/>
        <w:rPr>
          <w:sz w:val="20"/>
          <w:szCs w:val="20"/>
          <w:color w:val="auto"/>
        </w:rPr>
      </w:pPr>
      <w:r>
        <w:rPr>
          <w:rFonts w:ascii="Times New Roman" w:cs="Times New Roman" w:eastAsia="Times New Roman" w:hAnsi="Times New Roman"/>
          <w:sz w:val="18"/>
          <w:szCs w:val="18"/>
          <w:color w:val="auto"/>
        </w:rPr>
        <w:t>(v)            In the event of any objection by a counterparty to a Purchased Contract to (A) the Cure Costs asserted by a Seller, (B) the adequate assurance of future performance to be provided by Buyer, or (C) any other aspect of the proposed assumption and assignment of such Purchased Contract (each, a “</w:t>
      </w:r>
      <w:r>
        <w:rPr>
          <w:rFonts w:ascii="Times New Roman" w:cs="Times New Roman" w:eastAsia="Times New Roman" w:hAnsi="Times New Roman"/>
          <w:sz w:val="18"/>
          <w:szCs w:val="18"/>
          <w:b w:val="1"/>
          <w:bCs w:val="1"/>
          <w:color w:val="auto"/>
        </w:rPr>
        <w:t>Cure/Assumption Objection</w:t>
      </w:r>
      <w:r>
        <w:rPr>
          <w:rFonts w:ascii="Times New Roman" w:cs="Times New Roman" w:eastAsia="Times New Roman" w:hAnsi="Times New Roman"/>
          <w:sz w:val="18"/>
          <w:szCs w:val="18"/>
          <w:color w:val="auto"/>
        </w:rPr>
        <w:t xml:space="preserve">”), Sellers shall use their best efforts to resolve any such Cure/Assumption Objection (with the prior written consent of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Seller shall be solely responsible for resolving any Cure Cost objection and any objection other than an objection based solely on Buyer’s adequate assurance of future performance, (y) Buyer shall reasonably cooperate with Seller in connection with any objection relating to adequate assurance of future performance, and (z) if requested by Buyer, Seller shall prosecute to conclusion any Cure/Assumption Objection interposed by a Counterparty. In no event shall Seller settle any Cure/Assumption Objection without the express prior written consent of Buyer. Sellers shall litigate before the Bankruptcy Court any Cure/Assumption Objection that cannot be settled with the prior written consent of Buyer and shall request that the Bankruptcy Court hear and determine such objection on an expedited basis.</w:t>
      </w:r>
    </w:p>
    <w:p>
      <w:pPr>
        <w:spacing w:after="0" w:line="188" w:lineRule="exact"/>
        <w:rPr>
          <w:sz w:val="20"/>
          <w:szCs w:val="20"/>
          <w:color w:val="auto"/>
        </w:rPr>
      </w:pPr>
    </w:p>
    <w:p>
      <w:pPr>
        <w:jc w:val="both"/>
        <w:ind w:firstLine="2592"/>
        <w:spacing w:after="0" w:line="254" w:lineRule="auto"/>
        <w:rPr>
          <w:sz w:val="20"/>
          <w:szCs w:val="20"/>
          <w:color w:val="auto"/>
        </w:rPr>
      </w:pPr>
      <w:r>
        <w:rPr>
          <w:rFonts w:ascii="Times New Roman" w:cs="Times New Roman" w:eastAsia="Times New Roman" w:hAnsi="Times New Roman"/>
          <w:sz w:val="18"/>
          <w:szCs w:val="18"/>
          <w:color w:val="auto"/>
        </w:rPr>
        <w:t xml:space="preserve">(vi)           If any Cure/Assumption Objection with respect to any Purchased Contract has not been resolved prior to the Closing (whether by order of the Bankruptcy Court or by agreement with the applicable Counterparty), (i) Buyer may, in its sole discretion, elect to remove such Contract as a Purchased Contract, in which case such Contract shall be an Excluded Asset for all purposes of this Agreement and no Liabilities arising thereunder shall be assumed or borne by Buyer, or (ii) Buyer may elect to temporarily treat such Contract as a Disputed Contract and proceed to Closing without any modification to Purchase Price, without the assignment of such Disputed Contract, and determine within ten (10) Business Days after resolution of such objection (whether by order of the Bankruptcy Court or by agreement with the applicable counterparty) whether to treat such Disputed Contract as a Purchased Contract or an Excluded Asset. Upon resolution of any Cure/Assumption Objection following the Closing, Seller shall promptly assume and assign such Contract to Buyer in accordance with Section 365 of the Bankruptcy Code, and Buyer shall satisfy the applicable Cure Costs for such Contract pursuant to </w:t>
      </w:r>
      <w:r>
        <w:rPr>
          <w:rFonts w:ascii="Times New Roman" w:cs="Times New Roman" w:eastAsia="Times New Roman" w:hAnsi="Times New Roman"/>
          <w:sz w:val="18"/>
          <w:szCs w:val="18"/>
          <w:u w:val="single" w:color="auto"/>
          <w:color w:val="auto"/>
        </w:rPr>
        <w:t>Section 2.1.3(a)(vii)</w:t>
      </w:r>
      <w:r>
        <w:rPr>
          <w:rFonts w:ascii="Times New Roman" w:cs="Times New Roman" w:eastAsia="Times New Roman" w:hAnsi="Times New Roman"/>
          <w:sz w:val="18"/>
          <w:szCs w:val="18"/>
          <w:color w:val="auto"/>
        </w:rPr>
        <w:t>, subject to the Cure Costs Cap.</w:t>
      </w:r>
    </w:p>
    <w:p>
      <w:pPr>
        <w:spacing w:after="0" w:line="188" w:lineRule="exact"/>
        <w:rPr>
          <w:sz w:val="20"/>
          <w:szCs w:val="20"/>
          <w:color w:val="auto"/>
        </w:rPr>
      </w:pPr>
    </w:p>
    <w:p>
      <w:pPr>
        <w:jc w:val="both"/>
        <w:ind w:firstLine="2592"/>
        <w:spacing w:after="0" w:line="254" w:lineRule="auto"/>
        <w:rPr>
          <w:sz w:val="20"/>
          <w:szCs w:val="20"/>
          <w:color w:val="auto"/>
        </w:rPr>
      </w:pPr>
      <w:r>
        <w:rPr>
          <w:rFonts w:ascii="Times New Roman" w:cs="Times New Roman" w:eastAsia="Times New Roman" w:hAnsi="Times New Roman"/>
          <w:sz w:val="18"/>
          <w:szCs w:val="18"/>
          <w:color w:val="auto"/>
        </w:rPr>
        <w:t xml:space="preserve">(vii)         At the Closing (or, with respect to any Available Contract that remains a Disputed Contract, at such later date when all disputes with respect to such Available Contract have been resolved to the mutual satisfaction of Buyer), the applicable Sellers shall, subject to Buyer’s payment of the applicable Cure Costs, subject to the Cure Costs Cap, assign to Buyer all Purchased Contracts that may be assigned by Seller to Buyer pursuant to sections 363 and 365 of the Bankruptcy Code, and Buyer shall assume such Purchased Contracts. Buyer shall have the right, in its sole discretion and upon written notice to Sellers delivered no later than two (2) Business Days prior to the Closing Date, to elect to satisfy its obligation to pay the Cure Costs, subject to the Cure Costs Cap, by either (i) paying such Cure Costs directly to the applicable Counterparties or (ii) providing such funds to Sellers for disbursement by Sellers to the applicable Counterparties on Buyer’s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(ii), Sellers shall disburse such funds to the applicable Counterparties within two (2) Business Days following receipt thereof and shall provide Buyer with reasonable evidence of such disbursement.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Designation of Assets</w:t>
      </w:r>
      <w:r>
        <w:rPr>
          <w:rFonts w:ascii="Times New Roman" w:cs="Times New Roman" w:eastAsia="Times New Roman" w:hAnsi="Times New Roman"/>
          <w:sz w:val="18"/>
          <w:szCs w:val="18"/>
          <w:color w:val="auto"/>
        </w:rPr>
        <w:t xml:space="preserve">. At any time prior to the date that is two (2) Business Days prior to the Closing, Buyer shall be entitled to, in Buyer’s sole discretion, designate (by delivery of (a) written notice to Sellers of such designation and (b) an updated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of the Seller Disclosure Schedules reflecting such designation) additional assets to exclude, which assets will thereinafter constitute “Excluded Assets” hereunder without an adjustment to the Purchase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Retention of Rights</w:t>
      </w:r>
      <w:r>
        <w:rPr>
          <w:rFonts w:ascii="Times New Roman" w:cs="Times New Roman" w:eastAsia="Times New Roman" w:hAnsi="Times New Roman"/>
          <w:sz w:val="18"/>
          <w:szCs w:val="18"/>
          <w:color w:val="auto"/>
        </w:rPr>
        <w:t>. Notwithstanding anything to the contrary in this Agreement or any Ancillary Agreement, each Seller retains, on behalf of itself and its Affiliates, a right to retain copies of all or any part of all documentation that such Seller delivers to Buyer pursuant to this Agreement as may be reasonably necessary to exercise its or its Affiliates’ respective rights or perform its or its Affiliates’ respective obligations under this Agreement or any Ancillary Agreement, for purposes of (i) administering the Chapter 11 Cases and (ii) complying with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  Assumed Liabilities</w:t>
      </w:r>
      <w:r>
        <w:rPr>
          <w:rFonts w:ascii="Times New Roman" w:cs="Times New Roman" w:eastAsia="Times New Roman" w:hAnsi="Times New Roman"/>
          <w:sz w:val="18"/>
          <w:szCs w:val="18"/>
          <w:color w:val="auto"/>
        </w:rPr>
        <w:t>. Upon the terms and subject to the conditions of this Agreement, at the Closing, Sellers shall assign to Buyer and Buyer shall assume from Sellers and agree to pay and discharge when due, only the following Liabilities of Sellers (collectively, the “</w:t>
      </w:r>
      <w:r>
        <w:rPr>
          <w:rFonts w:ascii="Times New Roman" w:cs="Times New Roman" w:eastAsia="Times New Roman" w:hAnsi="Times New Roman"/>
          <w:sz w:val="18"/>
          <w:szCs w:val="18"/>
          <w:b w:val="1"/>
          <w:bCs w:val="1"/>
          <w:color w:val="auto"/>
        </w:rPr>
        <w:t>Assumed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(a)           all Liabilities arising under the Purchased Contracts required to be paid or otherwise satisfied in connection with the assumption and assignment thereof pursuant to Section 365 of the Bankruptcy Code, including the Cure Costs, subject to the Cure Costs Cap, or that arise and become due from and after the Closing Date (excluding any Liabilities that arise from or relate to any breaches under such Purchased Contracts, or any facts, circumstances, conditions or events that are in existence, on or prior to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term Assumed Liabilities shall not include any Taxes except to the extent included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(b)           any Transfer Taxes payable by Buyer pursuant to </w:t>
      </w:r>
      <w:r>
        <w:rPr>
          <w:rFonts w:ascii="Times New Roman" w:cs="Times New Roman" w:eastAsia="Times New Roman" w:hAnsi="Times New Roman"/>
          <w:sz w:val="18"/>
          <w:szCs w:val="18"/>
          <w:u w:val="single" w:color="auto"/>
          <w:color w:val="auto"/>
        </w:rPr>
        <w:t>Section 5.3.2(a)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  Excluded Liabilities</w:t>
      </w:r>
      <w:r>
        <w:rPr>
          <w:rFonts w:ascii="Times New Roman" w:cs="Times New Roman" w:eastAsia="Times New Roman" w:hAnsi="Times New Roman"/>
          <w:sz w:val="18"/>
          <w:szCs w:val="18"/>
          <w:color w:val="auto"/>
        </w:rPr>
        <w:t>. Notwithstanding anything to the contrary in this Agreement or any Ancillary Agreement, neither Buyer nor any of its Affiliates shall assume, nor shall they be or become responsible for, any Excluded Liabilities, including in respect of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  Buyer Acknowledgement</w:t>
      </w:r>
      <w:r>
        <w:rPr>
          <w:rFonts w:ascii="Times New Roman" w:cs="Times New Roman" w:eastAsia="Times New Roman" w:hAnsi="Times New Roman"/>
          <w:sz w:val="18"/>
          <w:szCs w:val="18"/>
          <w:color w:val="auto"/>
        </w:rPr>
        <w:t>. Buyer acknowledges that from and after the Closing, as between Buyer and Sellers, Buyer will have responsibility for all Liabilities arising out of the operation of the Business and exploitation of the Purchased Assets after the Closing.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  Upfront Payment and Deposit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(a)          In partial consideration for the Transactions, and subject to the terms and conditions hereof, at the Closing, Buyer shall pay to Sellers $57,500,000 in cash (the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Deposit,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excess, if any, of Cure Costs over the Cure Costs Cap, by wire transfer of immediately available funds to the account designated by Sellers by written Notice to Buyer, such written Notice to be provided at least five (5) Business Days prior to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 (b)          If Buyer’s bid is selected as the highest or otherwise best bid and Buyer is deemed the winning bidder (the “</w:t>
      </w:r>
      <w:r>
        <w:rPr>
          <w:rFonts w:ascii="Times New Roman" w:cs="Times New Roman" w:eastAsia="Times New Roman" w:hAnsi="Times New Roman"/>
          <w:sz w:val="18"/>
          <w:szCs w:val="18"/>
          <w:b w:val="1"/>
          <w:bCs w:val="1"/>
          <w:color w:val="auto"/>
        </w:rPr>
        <w:t>Successful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Bidder</w:t>
      </w:r>
      <w:r>
        <w:rPr>
          <w:rFonts w:ascii="Times New Roman" w:cs="Times New Roman" w:eastAsia="Times New Roman" w:hAnsi="Times New Roman"/>
          <w:sz w:val="18"/>
          <w:szCs w:val="18"/>
          <w:color w:val="auto"/>
        </w:rPr>
        <w:t>”), at the Closing, Sellers shall direct the Escrow Agent by written instructions (“</w:t>
      </w:r>
      <w:r>
        <w:rPr>
          <w:rFonts w:ascii="Times New Roman" w:cs="Times New Roman" w:eastAsia="Times New Roman" w:hAnsi="Times New Roman"/>
          <w:sz w:val="18"/>
          <w:szCs w:val="18"/>
          <w:b w:val="1"/>
          <w:bCs w:val="1"/>
          <w:color w:val="auto"/>
        </w:rPr>
        <w:t>Written Instructions</w:t>
      </w:r>
      <w:r>
        <w:rPr>
          <w:rFonts w:ascii="Times New Roman" w:cs="Times New Roman" w:eastAsia="Times New Roman" w:hAnsi="Times New Roman"/>
          <w:sz w:val="18"/>
          <w:szCs w:val="18"/>
          <w:color w:val="auto"/>
        </w:rPr>
        <w:t>”) with Buyer’s prior written consent, not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unreasonably withheld, to deliver the Deposit to Sellers and such Deposit shall automatically be deemed to be credited toward payment of the Upfront Payment in accordance with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 Any Written Instructions submitted to the Escrow Agent shall require Buyer’s prior written consent; provided that, notwithstanding anything to the contrary herein, Buyer shall provide, and shall not unreasonably withhold, such written consent consistent with the terms of this Agreement.</w:t>
      </w:r>
    </w:p>
    <w:p>
      <w:pPr>
        <w:spacing w:after="0" w:line="18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 (c)          In the event Buyer is not the Successful Bidder or the Backup Bidder (as defined in the Bidding Procedures Order) and this Agreement is not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(other than as set forth in </w:t>
      </w:r>
      <w:r>
        <w:rPr>
          <w:rFonts w:ascii="Times New Roman" w:cs="Times New Roman" w:eastAsia="Times New Roman" w:hAnsi="Times New Roman"/>
          <w:sz w:val="18"/>
          <w:szCs w:val="18"/>
          <w:u w:val="single" w:color="auto"/>
          <w:color w:val="auto"/>
        </w:rPr>
        <w:t>Section 8.2.6</w:t>
      </w:r>
      <w:r>
        <w:rPr>
          <w:rFonts w:ascii="Times New Roman" w:cs="Times New Roman" w:eastAsia="Times New Roman" w:hAnsi="Times New Roman"/>
          <w:sz w:val="18"/>
          <w:szCs w:val="18"/>
          <w:color w:val="auto"/>
        </w:rPr>
        <w:t>), Sellers shall direct the Escrow Agent by Written Instructions (with Buyer’s prior written consent) to disburse (and the Escrow Agent shall disburse) the Deposit to Buyer without set-off or deduction, within three (3) Business Days of the Escrow Agent’s receipt of such direction, and to be retained for Buyer’s own account; provided that, notwithstanding anything to the contrary herein, Buyer shall provide, and shall not unreasonably withhold, its written consent to Written Instructions consistent with the terms of this Agreement. In the event Buyer is the Backup Bidder, upon the Backup Bid Expiration Date, Sellers shall direct the Escrow Agent by Written Instructions (with Buyer’s written consent) to disburse (and the Escrow Agent shall disburse) the Deposit to Buyer without set-off or deduction, within three (3) Business Days of Escrow Agent’s receipt of such direction, and to be retained by Buyer for Buyer’s own account; provided that, notwithstanding anything to the contrary herein, Buyer shall provide, and shall not unreasonably withhold, its written consent to Written Instructions consistent with the terms of this Agreement.</w:t>
      </w:r>
    </w:p>
    <w:p>
      <w:pPr>
        <w:spacing w:after="0" w:line="194"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(d)          In the event that Buyer is the Backup Bidder and the sale transaction with the applicable Successful Bidder is terminated prior to the Backup Bid Expiration Date, Buyer shall be deemed the new Successful Bidder for the Purchased Assets and shall be obligated, subject to the terms hereof, to consummate the Backup Bid as if it were the Successful Bidder at the Auction pursuant to the terms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  Contingent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(a)          In partial consideration for the Transactions, and subject to the terms and conditions of this Agreement, within ten</w:t>
      </w:r>
    </w:p>
    <w:p>
      <w:pPr>
        <w:spacing w:after="0" w:line="27" w:lineRule="exact"/>
        <w:rPr>
          <w:sz w:val="20"/>
          <w:szCs w:val="20"/>
          <w:color w:val="auto"/>
        </w:rPr>
      </w:pPr>
    </w:p>
    <w:p>
      <w:pPr>
        <w:jc w:val="both"/>
        <w:ind w:firstLine="8"/>
        <w:spacing w:after="0" w:line="251" w:lineRule="auto"/>
        <w:tabs>
          <w:tab w:leader="none" w:pos="3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Buyer becoming aware of receipt of FDA approval giving rise to the earliest achieved milestone event set forth below in this </w:t>
      </w:r>
      <w:r>
        <w:rPr>
          <w:rFonts w:ascii="Times New Roman" w:cs="Times New Roman" w:eastAsia="Times New Roman" w:hAnsi="Times New Roman"/>
          <w:sz w:val="18"/>
          <w:szCs w:val="18"/>
          <w:u w:val="single" w:color="auto"/>
          <w:color w:val="auto"/>
        </w:rPr>
        <w:t>Section 2.3.2(a)</w:t>
      </w:r>
      <w:r>
        <w:rPr>
          <w:rFonts w:ascii="Times New Roman" w:cs="Times New Roman" w:eastAsia="Times New Roman" w:hAnsi="Times New Roman"/>
          <w:sz w:val="18"/>
          <w:szCs w:val="18"/>
          <w:color w:val="auto"/>
        </w:rPr>
        <w:t xml:space="preserve"> by Buyer or any of its Affiliates or sublicensees (in their capacity as a sublicensee of Buyer) (each, a “</w:t>
      </w:r>
      <w:r>
        <w:rPr>
          <w:rFonts w:ascii="Times New Roman" w:cs="Times New Roman" w:eastAsia="Times New Roman" w:hAnsi="Times New Roman"/>
          <w:sz w:val="18"/>
          <w:szCs w:val="18"/>
          <w:b w:val="1"/>
          <w:bCs w:val="1"/>
          <w:color w:val="auto"/>
        </w:rPr>
        <w:t>Development Milestone Event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Development Milestone Events</w:t>
      </w:r>
      <w:r>
        <w:rPr>
          <w:rFonts w:ascii="Times New Roman" w:cs="Times New Roman" w:eastAsia="Times New Roman" w:hAnsi="Times New Roman"/>
          <w:sz w:val="18"/>
          <w:szCs w:val="18"/>
          <w:color w:val="auto"/>
        </w:rPr>
        <w:t>”), Buyer shall notify Sellers in writing of such achievement of such Development Milestone Event. After receipt of such notice, Sellers shall submit an invoice to Buyer with respect to the corresponding milestone payment (each, a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Buyer shall make the applicable Development Milestone Payment to Sellers within thirty (30) Business Days after the achievement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applicable Development Milestone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Sellers shall not send such an invoice earlier than the occurrence of a Development Milestone Event and Buyer will not have any obligation to make any payment with respect to any such invoice. If a Development Milestone Event occurs prior to the Closing, an invoice may be submitted by Sellers prior to the Closing, and such Development Milestone Payment shall be made by Buyer to Sellers on the later of (x) ten (10) Business Days following achievement of such Development Milestone Event and (y) the Closing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Milestone</w:t>
            </w:r>
          </w:p>
        </w:tc>
      </w:t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88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Development Milestone Event</w:t>
            </w:r>
          </w:p>
        </w:tc>
        <w:tc>
          <w:tcPr>
            <w:tcW w:w="2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23"/>
        </w:trPr>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Approval by the FDA of the sNDA for the Milestone Product on or prior to November 21, 2026</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67,500,000</w:t>
            </w:r>
          </w:p>
        </w:tc>
        <w:tc>
          <w:tcPr>
            <w:tcW w:w="100" w:type="dxa"/>
            <w:vAlign w:val="bottom"/>
            <w:tcBorders>
              <w:top w:val="single" w:sz="8" w:color="CCEEFF"/>
            </w:tcBorders>
            <w:shd w:val="clear" w:color="auto" w:fill="CCEEFF"/>
          </w:tcPr>
          <w:p>
            <w:pPr>
              <w:spacing w:after="0"/>
              <w:rPr>
                <w:sz w:val="19"/>
                <w:szCs w:val="19"/>
                <w:color w:val="auto"/>
              </w:rPr>
            </w:pPr>
          </w:p>
        </w:tc>
      </w:tr>
    </w:tbl>
    <w:p>
      <w:pPr>
        <w:ind w:left="580" w:hanging="572"/>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by the FDA of the sNDA for the Milestone Product after November 21, 2026 but on or prior to</w:t>
      </w:r>
    </w:p>
    <w:p>
      <w:pPr>
        <w:spacing w:after="0" w:line="207" w:lineRule="exact"/>
        <w:rPr>
          <w:sz w:val="20"/>
          <w:szCs w:val="20"/>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by the FDA of the sNDA for the Milestone Product after February 28, 2027 but on or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by the FDA of the sNDA for the Milestone Product after May 31, 2027 but on or prior to</w:t>
      </w:r>
    </w:p>
    <w:p>
      <w:pPr>
        <w:spacing w:after="0" w:line="16" w:lineRule="exact"/>
        <w:rPr>
          <w:sz w:val="20"/>
          <w:szCs w:val="20"/>
          <w:color w:val="auto"/>
        </w:rPr>
      </w:pPr>
    </w:p>
    <w:p>
      <w:pPr>
        <w:ind w:left="580"/>
        <w:spacing w:after="0"/>
        <w:tabs>
          <w:tab w:leader="none" w:pos="9340" w:val="left"/>
          <w:tab w:leader="none" w:pos="10400" w:val="left"/>
        </w:tabs>
        <w:rPr>
          <w:sz w:val="20"/>
          <w:szCs w:val="20"/>
          <w:color w:val="auto"/>
        </w:rPr>
      </w:pPr>
      <w:r>
        <w:rPr>
          <w:rFonts w:ascii="Times New Roman" w:cs="Times New Roman" w:eastAsia="Times New Roman" w:hAnsi="Times New Roman"/>
          <w:sz w:val="18"/>
          <w:szCs w:val="18"/>
          <w:color w:val="auto"/>
        </w:rPr>
        <w:t>November 30, 2027</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5,000,000</w:t>
      </w:r>
    </w:p>
    <w:p>
      <w:pPr>
        <w:spacing w:after="0" w:line="219" w:lineRule="exact"/>
        <w:rPr>
          <w:sz w:val="20"/>
          <w:szCs w:val="20"/>
          <w:color w:val="auto"/>
        </w:rPr>
      </w:pPr>
    </w:p>
    <w:p>
      <w:pPr>
        <w:jc w:val="both"/>
        <w:ind w:right="20" w:firstLine="2592"/>
        <w:spacing w:after="0" w:line="282" w:lineRule="auto"/>
        <w:rPr>
          <w:sz w:val="20"/>
          <w:szCs w:val="20"/>
          <w:color w:val="auto"/>
        </w:rPr>
      </w:pPr>
      <w:r>
        <w:rPr>
          <w:rFonts w:ascii="Times New Roman" w:cs="Times New Roman" w:eastAsia="Times New Roman" w:hAnsi="Times New Roman"/>
          <w:sz w:val="18"/>
          <w:szCs w:val="18"/>
          <w:color w:val="auto"/>
        </w:rPr>
        <w:t>(i)             Notwithstanding anything to the contrary in this Agreement, (i) only one Development Milestone Payment shall in any event be payable and (ii) no Development Milestone Payment shall be payable unless and until the Closing has occurred.</w:t>
      </w:r>
    </w:p>
    <w:p>
      <w:pPr>
        <w:spacing w:after="0" w:line="16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(b)          Buyer shall have the right to deduct from any unpaid Milestone Payment fifty percent (50%) of any payments that Buyer or any of its Affiliates reasonably makes or is obligated to make in exchange for any license to, or other right to use or practice, any Intellectual Property that is acquired by Buyer from a Third Party after the Closing and that is necessary to exploit a Milestone Product (provided, that no Milestone Payment shall be reduced (x) by more than fifty percent (50%) of the amount of such Milestone Payment otherwise payable on account of this clause (b) or (y) for the payment of (i) any Ordinary Course Owned IP maintenance fees of Buyer following the Closing, (ii) any amounts to a patent authority or outside counsel for the filing, prosecution or maintenance of any Intellectual Property following the Closing, or (iii) any amounts paid to a Governmental Authority in connection with seeking approval of the Milestone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 (c)          In partial consideration for the Transactions, and subject to the terms and conditions of this Agreement, unless Development Milestone Event #1 or Development Milestone Event #2 is achieved, within forty-five (45) Business Days after the Calendar Quarter in which any milestone event set forth below in this </w:t>
      </w:r>
      <w:r>
        <w:rPr>
          <w:rFonts w:ascii="Times New Roman" w:cs="Times New Roman" w:eastAsia="Times New Roman" w:hAnsi="Times New Roman"/>
          <w:sz w:val="18"/>
          <w:szCs w:val="18"/>
          <w:u w:val="single" w:color="auto"/>
          <w:color w:val="auto"/>
        </w:rPr>
        <w:t>Section 2.3.2(c)</w:t>
      </w:r>
      <w:r>
        <w:rPr>
          <w:rFonts w:ascii="Times New Roman" w:cs="Times New Roman" w:eastAsia="Times New Roman" w:hAnsi="Times New Roman"/>
          <w:sz w:val="18"/>
          <w:szCs w:val="18"/>
          <w:color w:val="auto"/>
        </w:rPr>
        <w:t>, is first achieved by Buyer or any of its Affiliates or sublicensees (in their capacity as a sublicensee of Buyer) (each, a “</w:t>
      </w:r>
      <w:r>
        <w:rPr>
          <w:rFonts w:ascii="Times New Roman" w:cs="Times New Roman" w:eastAsia="Times New Roman" w:hAnsi="Times New Roman"/>
          <w:sz w:val="18"/>
          <w:szCs w:val="18"/>
          <w:b w:val="1"/>
          <w:bCs w:val="1"/>
          <w:color w:val="auto"/>
        </w:rPr>
        <w:t>Commercial Milestone Event</w:t>
      </w:r>
      <w:r>
        <w:rPr>
          <w:rFonts w:ascii="Times New Roman" w:cs="Times New Roman" w:eastAsia="Times New Roman" w:hAnsi="Times New Roman"/>
          <w:sz w:val="18"/>
          <w:szCs w:val="18"/>
          <w:color w:val="auto"/>
        </w:rPr>
        <w:t>” and collectively with the Development Milestone Events, the “</w:t>
      </w:r>
      <w:r>
        <w:rPr>
          <w:rFonts w:ascii="Times New Roman" w:cs="Times New Roman" w:eastAsia="Times New Roman" w:hAnsi="Times New Roman"/>
          <w:sz w:val="18"/>
          <w:szCs w:val="18"/>
          <w:b w:val="1"/>
          <w:bCs w:val="1"/>
          <w:color w:val="auto"/>
        </w:rPr>
        <w:t>Milestone Events</w:t>
      </w:r>
      <w:r>
        <w:rPr>
          <w:rFonts w:ascii="Times New Roman" w:cs="Times New Roman" w:eastAsia="Times New Roman" w:hAnsi="Times New Roman"/>
          <w:sz w:val="18"/>
          <w:szCs w:val="18"/>
          <w:color w:val="auto"/>
        </w:rPr>
        <w:t>”), Buyer shall notify Sellers in writing following such first achievement of such Commercial Milestone Event. After receipt of such notice, Sellers shall submit an invoice to Buyer with respect to the corresponding milestone payment (each, a “</w:t>
      </w:r>
      <w:r>
        <w:rPr>
          <w:rFonts w:ascii="Times New Roman" w:cs="Times New Roman" w:eastAsia="Times New Roman" w:hAnsi="Times New Roman"/>
          <w:sz w:val="18"/>
          <w:szCs w:val="18"/>
          <w:b w:val="1"/>
          <w:bCs w:val="1"/>
          <w:color w:val="auto"/>
        </w:rPr>
        <w:t>Commercial Milestone Payment</w:t>
      </w:r>
      <w:r>
        <w:rPr>
          <w:rFonts w:ascii="Times New Roman" w:cs="Times New Roman" w:eastAsia="Times New Roman" w:hAnsi="Times New Roman"/>
          <w:sz w:val="18"/>
          <w:szCs w:val="18"/>
          <w:color w:val="auto"/>
        </w:rPr>
        <w:t>” and collectively with the Development Milestone Payments, the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and, together with the Upfront Payment and the Assumed Liabilities,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Buyer shall make the applicable Commercial Milestone Payment to Sellers within forty-five (45) Business Days after an invoice has been received by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Sellers shall not send such an invoice earlier than the occurrence of the applicable Commercial Milestone Event and Buyer will not have any obligation to make any payment with respect to any such invoice. For the avoidance of doubt, no Milestone Payment, or the Upfront Payment, shall become due and payable and neither Party will be obligated to reimburse the other Party for any costs incurred by the other Party under or in connection with this Agreement unless and until this Agreement becomes effective. Notwithstanding anything herein to the contrary, if (i) either Development Milestone Event #1 or Development Milestone Event #2 is achieved, then in no event will any Commercial Milestone Payment be due or payable and Buyer will not be required to submit any notification with respect to the achievement of any Commercial Milestone Event or (ii) a Commercial Milestone Event has not been achieved on or by the end of December 31, 2035, Buyer will not be required to provide notice of the achievement of such Commercial Milestone Event nor make any corresponding Commercial Milestone Payment. For each calendar year following the Closing and prior to the Sunset Date, Buyer shall, within forty-five (45) Business Days after the end of each such calendar year, provide Sellers with a written report setting forth the Net Sales of the Milestone Product for such calendar year, together with a reasonably detailed calculation of Net Sales, including deductions taken in calculating Net Sales pursuant to the definition thereof. For purposes of this </w:t>
      </w:r>
      <w:r>
        <w:rPr>
          <w:rFonts w:ascii="Times New Roman" w:cs="Times New Roman" w:eastAsia="Times New Roman" w:hAnsi="Times New Roman"/>
          <w:sz w:val="18"/>
          <w:szCs w:val="18"/>
          <w:u w:val="single" w:color="auto"/>
          <w:color w:val="auto"/>
        </w:rPr>
        <w:t>Section 2.3.2(c)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Sunset Date</w:t>
      </w:r>
      <w:r>
        <w:rPr>
          <w:rFonts w:ascii="Times New Roman" w:cs="Times New Roman" w:eastAsia="Times New Roman" w:hAnsi="Times New Roman"/>
          <w:sz w:val="18"/>
          <w:szCs w:val="18"/>
          <w:color w:val="auto"/>
        </w:rPr>
        <w:t>” means the earliest to occur of (i) the calendar year in which Development Milestone Event #1 or Development Milestone Event #2 is achieved, (ii) the calendar year in which the last Commercial Milestone Event has been achieved and (iii) the calendar year ending on December 31, 2035.</w:t>
      </w:r>
    </w:p>
    <w:p>
      <w:pPr>
        <w:sectPr>
          <w:pgSz w:w="11900" w:h="16838" w:orient="portrait"/>
          <w:cols w:equalWidth="0" w:num="1">
            <w:col w:w="11240"/>
          </w:cols>
          <w:pgMar w:left="320" w:top="904" w:right="339" w:bottom="1440" w:gutter="0" w:footer="0" w:header="0"/>
        </w:sectPr>
      </w:pPr>
    </w:p>
    <w:p>
      <w:pPr>
        <w:spacing w:after="0" w:line="4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Commercial Milestone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Commercial Milestone</w:t>
      </w:r>
    </w:p>
    <w:p>
      <w:pPr>
        <w:spacing w:after="0" w:line="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9" w:lineRule="exact"/>
        <w:rPr>
          <w:sz w:val="20"/>
          <w:szCs w:val="20"/>
          <w:color w:val="auto"/>
        </w:rPr>
      </w:pPr>
    </w:p>
    <w:p>
      <w:pPr>
        <w:sectPr>
          <w:pgSz w:w="11900" w:h="16838" w:orient="portrait"/>
          <w:cols w:equalWidth="0" w:num="2">
            <w:col w:w="8660" w:space="720"/>
            <w:col w:w="1860"/>
          </w:cols>
          <w:pgMar w:left="320" w:top="904" w:right="339" w:bottom="1440" w:gutter="0" w:footer="0" w:header="0"/>
          <w:type w:val="continuous"/>
        </w:sectPr>
      </w:pPr>
    </w:p>
    <w:p>
      <w:pPr>
        <w:ind w:left="580" w:hanging="572"/>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Achievement of Net Sales of the Milestone Product during a single calendar year on or prior to December 31,</w:t>
      </w:r>
    </w:p>
    <w:p>
      <w:pPr>
        <w:spacing w:after="0" w:line="11" w:lineRule="exact"/>
        <w:rPr>
          <w:sz w:val="20"/>
          <w:szCs w:val="20"/>
          <w:color w:val="auto"/>
        </w:rPr>
      </w:pPr>
    </w:p>
    <w:p>
      <w:pPr>
        <w:ind w:left="580"/>
        <w:spacing w:after="0"/>
        <w:tabs>
          <w:tab w:leader="none" w:pos="9340" w:val="left"/>
          <w:tab w:leader="none" w:pos="10300" w:val="left"/>
        </w:tabs>
        <w:rPr>
          <w:sz w:val="20"/>
          <w:szCs w:val="20"/>
          <w:color w:val="auto"/>
        </w:rPr>
      </w:pPr>
      <w:r>
        <w:rPr>
          <w:rFonts w:ascii="Times New Roman" w:cs="Times New Roman" w:eastAsia="Times New Roman" w:hAnsi="Times New Roman"/>
          <w:sz w:val="18"/>
          <w:szCs w:val="18"/>
          <w:color w:val="auto"/>
        </w:rPr>
        <w:t>2035 of $250,000,000 or more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10,000,000</w:t>
      </w:r>
    </w:p>
    <w:p>
      <w:pPr>
        <w:spacing w:after="0" w:line="18" w:lineRule="exact"/>
        <w:rPr>
          <w:sz w:val="20"/>
          <w:szCs w:val="20"/>
          <w:color w:val="auto"/>
        </w:rPr>
      </w:pPr>
    </w:p>
    <w:p>
      <w:pPr>
        <w:ind w:left="580" w:hanging="572"/>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Achievement of Net Sales of the Milestone Product during a single calendar year on or prior to December 31,</w:t>
      </w:r>
    </w:p>
    <w:p>
      <w:pPr>
        <w:ind w:left="580"/>
        <w:spacing w:after="0"/>
        <w:tabs>
          <w:tab w:leader="none" w:pos="9340" w:val="left"/>
          <w:tab w:leader="none" w:pos="10300" w:val="left"/>
        </w:tabs>
        <w:rPr>
          <w:sz w:val="20"/>
          <w:szCs w:val="20"/>
          <w:color w:val="auto"/>
        </w:rPr>
      </w:pPr>
      <w:r>
        <w:rPr>
          <w:rFonts w:ascii="Times New Roman" w:cs="Times New Roman" w:eastAsia="Times New Roman" w:hAnsi="Times New Roman"/>
          <w:sz w:val="18"/>
          <w:szCs w:val="18"/>
          <w:color w:val="auto"/>
        </w:rPr>
        <w:t>2035 of $500,000,000 or more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10,000,000</w:t>
      </w:r>
    </w:p>
    <w:p>
      <w:pPr>
        <w:spacing w:after="0" w:line="219" w:lineRule="exact"/>
        <w:rPr>
          <w:sz w:val="20"/>
          <w:szCs w:val="20"/>
          <w:color w:val="auto"/>
        </w:rPr>
      </w:pPr>
    </w:p>
    <w:p>
      <w:pPr>
        <w:ind w:firstLine="2592"/>
        <w:spacing w:after="0" w:line="261" w:lineRule="auto"/>
        <w:rPr>
          <w:sz w:val="20"/>
          <w:szCs w:val="20"/>
          <w:color w:val="auto"/>
        </w:rPr>
      </w:pPr>
      <w:r>
        <w:rPr>
          <w:rFonts w:ascii="Times New Roman" w:cs="Times New Roman" w:eastAsia="Times New Roman" w:hAnsi="Times New Roman"/>
          <w:sz w:val="18"/>
          <w:szCs w:val="18"/>
          <w:color w:val="auto"/>
        </w:rPr>
        <w:t>(i)             Notwithstanding anything to the contrary in this Agreement, (i) only one Commercial Milestone Payment shall be payable for the achievement of any Commercial Milestone Event, regardless of the number of times such Commercial Milestone Event is achieved and</w:t>
      </w:r>
    </w:p>
    <w:p>
      <w:pPr>
        <w:ind w:left="5540" w:right="4160" w:hanging="5532"/>
        <w:spacing w:after="0" w:line="761" w:lineRule="auto"/>
        <w:tabs>
          <w:tab w:leader="none" w:pos="2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Commercial Milestone Payment shall be payable unless and until the Closing has occurred.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1" w:name="page42"/>
    <w:bookmarkEnd w:id="41"/>
    <w:p>
      <w:pPr>
        <w:jc w:val="both"/>
        <w:ind w:firstLine="1944"/>
        <w:spacing w:after="0" w:line="273" w:lineRule="auto"/>
        <w:rPr>
          <w:sz w:val="20"/>
          <w:szCs w:val="20"/>
          <w:color w:val="auto"/>
        </w:rPr>
      </w:pPr>
      <w:r>
        <w:rPr>
          <w:rFonts w:ascii="Times New Roman" w:cs="Times New Roman" w:eastAsia="Times New Roman" w:hAnsi="Times New Roman"/>
          <w:sz w:val="17"/>
          <w:szCs w:val="17"/>
          <w:color w:val="auto"/>
        </w:rPr>
        <w:t> (d)        </w:t>
      </w:r>
      <w:r>
        <w:rPr>
          <w:rFonts w:ascii="Times New Roman" w:cs="Times New Roman" w:eastAsia="Times New Roman" w:hAnsi="Times New Roman"/>
          <w:sz w:val="17"/>
          <w:szCs w:val="17"/>
          <w:u w:val="single" w:color="auto"/>
          <w:color w:val="auto"/>
        </w:rPr>
        <w:t>  Interest on Late Milestone Payments</w:t>
      </w:r>
      <w:r>
        <w:rPr>
          <w:rFonts w:ascii="Times New Roman" w:cs="Times New Roman" w:eastAsia="Times New Roman" w:hAnsi="Times New Roman"/>
          <w:sz w:val="17"/>
          <w:szCs w:val="17"/>
          <w:color w:val="auto"/>
        </w:rPr>
        <w:t xml:space="preserve">. If Buyer fails to pay any Development Milestone Payment or Commercial Milestone Payment in full by the date such payment is due pursuant to </w:t>
      </w:r>
      <w:r>
        <w:rPr>
          <w:rFonts w:ascii="Times New Roman" w:cs="Times New Roman" w:eastAsia="Times New Roman" w:hAnsi="Times New Roman"/>
          <w:sz w:val="17"/>
          <w:szCs w:val="17"/>
          <w:u w:val="single" w:color="auto"/>
          <w:color w:val="auto"/>
        </w:rPr>
        <w:t>Section 2.3.2(a)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2.3.2(c)</w:t>
      </w:r>
      <w:r>
        <w:rPr>
          <w:rFonts w:ascii="Times New Roman" w:cs="Times New Roman" w:eastAsia="Times New Roman" w:hAnsi="Times New Roman"/>
          <w:sz w:val="17"/>
          <w:szCs w:val="17"/>
          <w:color w:val="auto"/>
        </w:rPr>
        <w:t>, as applicable (the “</w:t>
      </w:r>
      <w:r>
        <w:rPr>
          <w:rFonts w:ascii="Times New Roman" w:cs="Times New Roman" w:eastAsia="Times New Roman" w:hAnsi="Times New Roman"/>
          <w:sz w:val="17"/>
          <w:szCs w:val="17"/>
          <w:b w:val="1"/>
          <w:bCs w:val="1"/>
          <w:color w:val="auto"/>
        </w:rPr>
        <w:t>Milestone Due Date</w:t>
      </w:r>
      <w:r>
        <w:rPr>
          <w:rFonts w:ascii="Times New Roman" w:cs="Times New Roman" w:eastAsia="Times New Roman" w:hAnsi="Times New Roman"/>
          <w:sz w:val="17"/>
          <w:szCs w:val="17"/>
          <w:color w:val="auto"/>
        </w:rPr>
        <w:t xml:space="preserve">”), then interest shall accrue on the unpaid amount of such Development Milestone Payment or Commercial Milestone Payment, as applicable, following the applicable Milestone Due Date to, but excluding, the date such payment is paid in full, at a rate at Prime plus three percent (3%) per annum. Such interest shall be due and payable by Buyer to Sellers together with, and in addition to, the corresponding Development Milestone Payment or Commercial Milestone Payment. The accrual and payment of interest pursuant to this </w:t>
      </w:r>
      <w:r>
        <w:rPr>
          <w:rFonts w:ascii="Times New Roman" w:cs="Times New Roman" w:eastAsia="Times New Roman" w:hAnsi="Times New Roman"/>
          <w:sz w:val="17"/>
          <w:szCs w:val="17"/>
          <w:u w:val="single" w:color="auto"/>
          <w:color w:val="auto"/>
        </w:rPr>
        <w:t>Section 2.3.2(d)</w:t>
      </w:r>
      <w:r>
        <w:rPr>
          <w:rFonts w:ascii="Times New Roman" w:cs="Times New Roman" w:eastAsia="Times New Roman" w:hAnsi="Times New Roman"/>
          <w:sz w:val="17"/>
          <w:szCs w:val="17"/>
          <w:color w:val="auto"/>
        </w:rPr>
        <w:t xml:space="preserve"> shall not limit or affect any other right or remedy available to Sellers under this Agreement or applicable Law on account of Buyer's failure to timely pay any Development Milestone Payment or Commercial Milestone Payment.</w:t>
      </w:r>
    </w:p>
    <w:p>
      <w:pPr>
        <w:spacing w:after="0" w:line="171"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 (e)          Except as otherwise set forth in this </w:t>
      </w:r>
      <w:r>
        <w:rPr>
          <w:rFonts w:ascii="Times New Roman" w:cs="Times New Roman" w:eastAsia="Times New Roman" w:hAnsi="Times New Roman"/>
          <w:sz w:val="18"/>
          <w:szCs w:val="18"/>
          <w:u w:val="single" w:color="auto"/>
          <w:color w:val="auto"/>
        </w:rPr>
        <w:t>Section 2.3.2(g),</w:t>
      </w:r>
      <w:r>
        <w:rPr>
          <w:rFonts w:ascii="Times New Roman" w:cs="Times New Roman" w:eastAsia="Times New Roman" w:hAnsi="Times New Roman"/>
          <w:sz w:val="18"/>
          <w:szCs w:val="18"/>
          <w:color w:val="auto"/>
        </w:rPr>
        <w:t xml:space="preserve"> Sellers acknowledge and agree that (i) Buyer makes (A) no guarantees or promises that any Milestone Event will be achieved at all or by a specific date or is achievable and (B) no assessments or predictions regarding the likelihood of any Milestone Event being achieved, (ii) there is no assurance that Sellers will receive any payments described in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unless any Milestone Event is achieved, (iii) Buyer has not, prior to or after the date hereof, promised or shared any projections of any amounts to be received by Sellers in respect of any payments described in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(iv) Sellers are not relying on and have not relied on any promises, projections, representations or warranties of any kind or other information, documents or materials (or absence thereof) in respect of any payments described in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including with respect to the operation of any business, including the Business, following the Closing, (v) Buyer and its Affiliates may now or in the future engage in (I) research, development or commercialization activities that utilize technologies similar to or involve products competitive with those contemplated by any Milestone Event, (II) any transaction (including a purchase of assets, properties or businesses, merger, purchase of stock or other equity interests, or otherwise) pursuant to which Buyer or any of its Affiliates directly or indirectly acquires technologies or products similar to or competitive with those contemplated by any Milestone Event or the Milestone Product, or (III) any licensing transaction pursuant to which Buyer or any of its Affiliates directly or indirectly licenses any Intellectual Property, technologies or products, or the development and/or commercialization of any of the foregoing, similar to or competitive with those contemplated by any Milestone Event or the Milestone Product, (vi) Buyer and its Affiliates shall have the right to, or not to, own, operate, use, license, research, develop and otherwise commercialize, or otherwise practice, use or exploit, the Purchased Assets and other assets owned or controlled by Buyer or any of its Affiliates in a way that Buyer deems appropriate, in its sole business judgment, (vii) Buyer shall not have any obligation to make any level of efforts or engage in any particular or specific activities in connection with any Milestone Event or Milestone Product, including in connection with achieving any Milestone Event, and (viii) Buyer shall not have any duty, as a fiduciary or otherwise, to Sellers or any other Person in connection with its operation of any business, including the Business, following the Closing, or any obligation, whether expressed or implied, to own, operate, use, license, research, develop or otherwise commercialize, or otherwise practice, use or exploit, any Milestone Product, Purchased Asset or other asset in any manner, including in order to make or expedite the Milestone Payment. Sellers hereby</w:t>
      </w:r>
    </w:p>
    <w:p>
      <w:pPr>
        <w:spacing w:after="0" w:line="9"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reliance on any such promises, projections, representations, warranties or other information, documents or materials (or absence thereof),</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understand and agree that any such promises, representations, warranties, projections and other information, documents and materials (or absence thereof) are specifically disclaimed by Buyer and (z) waive any right they may otherwise have with respect to any such promises, projections, representations, warranties or other information, documents or materials (or absence thereof). Buyer shall have the right (at its sole cost and expense) to manage and control its actions in fulfillment of the obligations, if any, of Buyer or any other Person with respect to the achievement of any Milestone Event in Buyer’s sole business judgment. The parties hereto intend the express provisions of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to govern their contractual relationship and to supersede any standard of efforts or implied covenant of good faith and fair dealing that might otherwise be imposed by any court or other Governmental Authority or otherwise. All payments under this Agreement shall be made in U.S. Dollars. Any sales incurred in a currency other than U.S. Dollars shall be converted to the U.S. Dollar equivalent using Buyer’s then-current standard exchange rate methodology as applied in its external reporting for the conversion of foreign currency sales into U.S. Dollars. All payments owed under this Agreement shall be made by wire transfer of immediately available funds to a bank account or accounts designated in writing by Sellers.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(f)         </w:t>
      </w:r>
      <w:r>
        <w:rPr>
          <w:rFonts w:ascii="Times New Roman" w:cs="Times New Roman" w:eastAsia="Times New Roman" w:hAnsi="Times New Roman"/>
          <w:sz w:val="18"/>
          <w:szCs w:val="18"/>
          <w:u w:val="single" w:color="auto"/>
          <w:color w:val="auto"/>
        </w:rPr>
        <w:t>  Acknowledgement</w:t>
      </w:r>
      <w:r>
        <w:rPr>
          <w:rFonts w:ascii="Times New Roman" w:cs="Times New Roman" w:eastAsia="Times New Roman" w:hAnsi="Times New Roman"/>
          <w:sz w:val="18"/>
          <w:szCs w:val="18"/>
          <w:color w:val="auto"/>
        </w:rPr>
        <w:t>. SELLERS ACKNOWLEDGE AND AGREE THAT NEITHER BUYER NOR ANY OTHER PERSON, DIRECTLY OR INDIRECTLY, HAS MADE, AND SELLERS HAVE NOT RELIED ON, ANY REPRESENTATION OR WARRANTY AS TO (I) THE PROSPECTS OF ANY PRODUCT, INCLUDING WHETHER ANY PRODUCT CAN OR WILL BE SUCCESSFULLY DEVELOPED, GRANTED REGULATORY APPROVAL, OR COMMERCIALIZED, OR REGARDING THE CLINICAL EFFECTIVENESS, SAFETY PROFILE, OR PROFITABILITY OF ANY PRODUCT; (II) BUYER’S OR ANY OTHER PERSON’S EFFORTS, INTENTIONS, OR EXPECTATIONS WITH RESPECT TO ANY PRODUCT, INCLUDING EFFORTS, INTENTIONS OR EXPECTATIONS IN ANY WAY RELATED TO THE DEVELOPMENT OR COMMERCIALIZATION OF ANY PRODUCT OR THE ACHIEVEMENT OF ANY MILESTONE EVENT; OR (III) ANY OTHER FORWARD-LOOKING STATEMENTS. SELLERS AND ANY OTHER PERSON ACTING ON THEIR BEHALF WILL NOT MAKE ANY CLAIM WITH RESPECT TO ANY OF THE MATTERS DISCLAIMED IN THIS PARAGRAPH.</w:t>
      </w:r>
    </w:p>
    <w:p>
      <w:pPr>
        <w:spacing w:after="0" w:line="18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(g)        </w:t>
      </w:r>
      <w:r>
        <w:rPr>
          <w:rFonts w:ascii="Times New Roman" w:cs="Times New Roman" w:eastAsia="Times New Roman" w:hAnsi="Times New Roman"/>
          <w:sz w:val="18"/>
          <w:szCs w:val="18"/>
          <w:u w:val="single" w:color="auto"/>
          <w:color w:val="auto"/>
        </w:rPr>
        <w:t>  Milestone Payment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 xml:space="preserve">(i)             Notwithstanding anything to the contrary in </w:t>
      </w:r>
      <w:r>
        <w:rPr>
          <w:rFonts w:ascii="Times New Roman" w:cs="Times New Roman" w:eastAsia="Times New Roman" w:hAnsi="Times New Roman"/>
          <w:sz w:val="18"/>
          <w:szCs w:val="18"/>
          <w:u w:val="single" w:color="auto"/>
          <w:color w:val="auto"/>
        </w:rPr>
        <w:t>Section 2.3.2(e)</w:t>
      </w:r>
      <w:r>
        <w:rPr>
          <w:rFonts w:ascii="Times New Roman" w:cs="Times New Roman" w:eastAsia="Times New Roman" w:hAnsi="Times New Roman"/>
          <w:sz w:val="18"/>
          <w:szCs w:val="18"/>
          <w:color w:val="auto"/>
        </w:rPr>
        <w:t xml:space="preserve">, Buyer covenants and agrees that it shall not take any material action or omit to take any action that is primarily intended to delay or avoid payment of any Milestone Payment that would otherwise become due and payable under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Milestone Payment Covenant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(ii)           Any dispute arising out of or relating to Buyer’s compliance with the Milestone Payment Covenant (a “</w:t>
      </w:r>
      <w:r>
        <w:rPr>
          <w:rFonts w:ascii="Times New Roman" w:cs="Times New Roman" w:eastAsia="Times New Roman" w:hAnsi="Times New Roman"/>
          <w:sz w:val="18"/>
          <w:szCs w:val="18"/>
          <w:b w:val="1"/>
          <w:bCs w:val="1"/>
          <w:color w:val="auto"/>
        </w:rPr>
        <w:t>Milestone Covenant Dispute</w:t>
      </w:r>
      <w:r>
        <w:rPr>
          <w:rFonts w:ascii="Times New Roman" w:cs="Times New Roman" w:eastAsia="Times New Roman" w:hAnsi="Times New Roman"/>
          <w:sz w:val="18"/>
          <w:szCs w:val="18"/>
          <w:color w:val="auto"/>
        </w:rPr>
        <w:t xml:space="preserve">”) shall be resolved exclusively by binding arbitration. Such arbitration shall be conducted by a single arbitrator mutually agreed upon by the parties, or, if the parties are unable to agree within thirty (30) days after a party delivers written notice of a Milestone Covenant Dispute, appointed in accordance with the rules of JAMS. The arbitration shall be conducted in New York, New York in accordance with the then-current JAMS Comprehensive Arbitration Rules &amp; Procedures, except as modified by this </w:t>
      </w:r>
      <w:r>
        <w:rPr>
          <w:rFonts w:ascii="Times New Roman" w:cs="Times New Roman" w:eastAsia="Times New Roman" w:hAnsi="Times New Roman"/>
          <w:sz w:val="18"/>
          <w:szCs w:val="18"/>
          <w:u w:val="single" w:color="auto"/>
          <w:color w:val="auto"/>
        </w:rPr>
        <w:t>Section 2.3.2(g)</w:t>
      </w:r>
      <w:r>
        <w:rPr>
          <w:rFonts w:ascii="Times New Roman" w:cs="Times New Roman" w:eastAsia="Times New Roman" w:hAnsi="Times New Roman"/>
          <w:sz w:val="18"/>
          <w:szCs w:val="18"/>
          <w:color w:val="auto"/>
        </w:rPr>
        <w:t>. The arbitrator shall have the authority to award damages, injunctive relief, or any other remedy available at law or in equity.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(iii)           The arbitrator shall determine the prevailing party in any Milestone Covenant Dispute. The non-prevailing party (as determined by the arbitrator) shall be obligated to pay (A) all costs of the arbitration, including the arbitrator’s fees and expenses, and (B) the prevailing party’s reasonable attorneys’ fees and expenses; provided, that such attorneys’ fees shall be calculated solely on an hourly basis and shall not include any contingency fee arrangement or any enhancement or multiplier of such fees (the “</w:t>
      </w:r>
      <w:r>
        <w:rPr>
          <w:rFonts w:ascii="Times New Roman" w:cs="Times New Roman" w:eastAsia="Times New Roman" w:hAnsi="Times New Roman"/>
          <w:sz w:val="18"/>
          <w:szCs w:val="18"/>
          <w:b w:val="1"/>
          <w:bCs w:val="1"/>
          <w:color w:val="auto"/>
        </w:rPr>
        <w:t>Arbitration Fee Obligation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  Allocation of Consideration</w:t>
      </w:r>
      <w:r>
        <w:rPr>
          <w:rFonts w:ascii="Times New Roman" w:cs="Times New Roman" w:eastAsia="Times New Roman" w:hAnsi="Times New Roman"/>
          <w:sz w:val="18"/>
          <w:szCs w:val="18"/>
          <w:color w:val="auto"/>
        </w:rPr>
        <w:t>. Buyer shall allocate the Purchase Price (and the Assumed Liabilities, to the extent properly taken into account under applicable tax laws, the “</w:t>
      </w:r>
      <w:r>
        <w:rPr>
          <w:rFonts w:ascii="Times New Roman" w:cs="Times New Roman" w:eastAsia="Times New Roman" w:hAnsi="Times New Roman"/>
          <w:sz w:val="18"/>
          <w:szCs w:val="18"/>
          <w:b w:val="1"/>
          <w:bCs w:val="1"/>
          <w:color w:val="auto"/>
        </w:rPr>
        <w:t>Tax Laws</w:t>
      </w:r>
      <w:r>
        <w:rPr>
          <w:rFonts w:ascii="Times New Roman" w:cs="Times New Roman" w:eastAsia="Times New Roman" w:hAnsi="Times New Roman"/>
          <w:sz w:val="18"/>
          <w:szCs w:val="18"/>
          <w:color w:val="auto"/>
        </w:rPr>
        <w:t>”), among the Purchased Assets in accordance with Section 1060 of the Code and the Treasury Regulations promulgated thereunder, in each case solely to the extent applicable, and otherwise in accordance with applicable Tax Laws, including any applicable non-U.S. Tax Laws (the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within ninety (90) days following the Closing and shall deliver to Sellers a copy of such Allocation promptly after such determination. Sellers shall have the right to review and raise any reasonable objections in writing to the Allocation during the thirty</w:t>
      </w:r>
    </w:p>
    <w:p>
      <w:pPr>
        <w:spacing w:after="0" w:line="3" w:lineRule="exact"/>
        <w:rPr>
          <w:sz w:val="20"/>
          <w:szCs w:val="20"/>
          <w:color w:val="auto"/>
        </w:rPr>
      </w:pPr>
    </w:p>
    <w:p>
      <w:pPr>
        <w:jc w:val="both"/>
        <w:ind w:firstLine="8"/>
        <w:spacing w:after="0" w:line="251" w:lineRule="auto"/>
        <w:tabs>
          <w:tab w:leader="none" w:pos="3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 period after its receipt thereof. If Sellers disagree with respect to any item in the Allocation, the Parties shall negotiate in good faith for fifteen (15) days to attempt to resolve the dispute. To the extent the Parties agree on the Allocation after such good faith negotiation within the 15-day period, the Parties agree to file IRS Form 8594 and any comparable forms or Tax Returns under applicable Tax Laws, in each case solely to the extent required by applicable Law, in a manner consistent with the Allocation (as finally determined in accordance with this </w:t>
      </w:r>
      <w:r>
        <w:rPr>
          <w:rFonts w:ascii="Times New Roman" w:cs="Times New Roman" w:eastAsia="Times New Roman" w:hAnsi="Times New Roman"/>
          <w:sz w:val="18"/>
          <w:szCs w:val="18"/>
          <w:u w:val="single" w:color="auto"/>
          <w:color w:val="auto"/>
        </w:rPr>
        <w:t>Section 2.3.3</w:t>
      </w:r>
      <w:r>
        <w:rPr>
          <w:rFonts w:ascii="Times New Roman" w:cs="Times New Roman" w:eastAsia="Times New Roman" w:hAnsi="Times New Roman"/>
          <w:sz w:val="18"/>
          <w:szCs w:val="18"/>
          <w:color w:val="auto"/>
        </w:rPr>
        <w:t>) and agree not to take any position inconsistent with the Allocation in any Tax Return, in any refund claim, in any litigation or otherwise, except as otherwise required by a “determination” as defined in Section 1313(a) of the Code (or corresponding provision of state or local law) but without regard to any appeal procedures. To the extent Sellers timely object to the Allocation and the Parties cannot reach final agreement in respect of such disputed item despite undertaking good faith efforts to resolve any disagreement, neither Buyer nor the Sellers shall be prevented from filing its applicable Tax Returns in the manner reasonably determined by such Party.</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2.4.         Closing</w:t>
      </w:r>
      <w:r>
        <w:rPr>
          <w:rFonts w:ascii="Times New Roman" w:cs="Times New Roman" w:eastAsia="Times New Roman" w:hAnsi="Times New Roman"/>
          <w:sz w:val="18"/>
          <w:szCs w:val="18"/>
          <w:color w:val="auto"/>
        </w:rPr>
        <w:t>. Pursuant to the terms and subject to the conditions of this Agreement, the closing of the Transactions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place electronically through the execution and exchange, via pdf copies of electronically or originally signed documents or at the New York, New York office of Ropes &amp; Gray LLP, at 8:00 a.m. local time, on the third (3rd) Business Day following satisfaction of all conditions (other than those that by their terms are to be satisfied or taken at the Closing)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to the extent permitted by applicable Law, waived by the Party entitled to the benefits thereof), or such other time and place as the Parties may mutually agree to in writing (such date of the Closing being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3.1.         Representations and Warranties of Sellers</w:t>
      </w:r>
      <w:r>
        <w:rPr>
          <w:rFonts w:ascii="Times New Roman" w:cs="Times New Roman" w:eastAsia="Times New Roman" w:hAnsi="Times New Roman"/>
          <w:sz w:val="18"/>
          <w:szCs w:val="18"/>
          <w:color w:val="auto"/>
        </w:rPr>
        <w:t>. Each Seller represents and warrants to Buyer as follows, with each such representation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warranty subject to (a) such exceptions, if any, as are set forth the Seller Disclosure Schedules and (b) disclosure with respect to the Business and the Products in any reports, schedules, forms, statements and other documents (including exhibits and all other information incorporated therein) required to be filed or furnished by the Company with the SEC (the “</w:t>
      </w:r>
      <w:r>
        <w:rPr>
          <w:rFonts w:ascii="Times New Roman" w:cs="Times New Roman" w:eastAsia="Times New Roman" w:hAnsi="Times New Roman"/>
          <w:sz w:val="18"/>
          <w:szCs w:val="18"/>
          <w:b w:val="1"/>
          <w:bCs w:val="1"/>
          <w:color w:val="auto"/>
        </w:rPr>
        <w:t>Seller SEC Documents</w:t>
      </w:r>
      <w:r>
        <w:rPr>
          <w:rFonts w:ascii="Times New Roman" w:cs="Times New Roman" w:eastAsia="Times New Roman" w:hAnsi="Times New Roman"/>
          <w:sz w:val="18"/>
          <w:szCs w:val="18"/>
          <w:color w:val="auto"/>
        </w:rPr>
        <w:t>”) publicly filed or furnished on or after January 1, 2026 and prior to the date of this Agreement other than any information (other than statements of fact)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Note About Forward-Looking Statements</w:t>
      </w:r>
      <w:r>
        <w:rPr>
          <w:rFonts w:ascii="Times New Roman" w:cs="Times New Roman" w:eastAsia="Times New Roman" w:hAnsi="Times New Roman"/>
          <w:sz w:val="18"/>
          <w:szCs w:val="18"/>
          <w:color w:val="auto"/>
        </w:rPr>
        <w:t xml:space="preserve">” sections of such Seller SEC Documents or other forward-looking or predictive statements in such Seller SEC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disclosed in the Seller SEC Documents filed by the Company prior to the date hereof shall be deemed to modify or qualify any representation or warranty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3.1.12</w:t>
      </w:r>
      <w:r>
        <w:rPr>
          <w:rFonts w:ascii="Times New Roman" w:cs="Times New Roman" w:eastAsia="Times New Roman" w:hAnsi="Times New Roman"/>
          <w:sz w:val="18"/>
          <w:szCs w:val="18"/>
          <w:color w:val="auto"/>
        </w:rPr>
        <w:t>. Disclosures in any section or paragraph of the Seller Disclosure Schedules shall be deemed disclosed with respect to the corresponding section of this Agreement and any other sections or paragraphs of this Agreement to the extent that it is reasonably apparent from such disclosure that such disclosure is applicable to the subject matter of such other sections or paragraphs.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3.1.1            </w:t>
      </w:r>
      <w:r>
        <w:rPr>
          <w:rFonts w:ascii="Times New Roman" w:cs="Times New Roman" w:eastAsia="Times New Roman" w:hAnsi="Times New Roman"/>
          <w:sz w:val="18"/>
          <w:szCs w:val="18"/>
          <w:u w:val="single" w:color="auto"/>
          <w:color w:val="auto"/>
        </w:rPr>
        <w:t>  Organization; Good Standing; Qualification</w:t>
      </w:r>
      <w:r>
        <w:rPr>
          <w:rFonts w:ascii="Times New Roman" w:cs="Times New Roman" w:eastAsia="Times New Roman" w:hAnsi="Times New Roman"/>
          <w:sz w:val="18"/>
          <w:szCs w:val="18"/>
          <w:color w:val="auto"/>
        </w:rPr>
        <w:t>. The Company is a corporation and each of Company Sub 1 and Company Sub 2 is a limited liability company, in each case, duly organized, validly existing and in good standing under the Laws of the State of Delaware. Each Seller is duly qualified or licensed and in good standing to carry on business in each jurisdiction in which the nature or character of the properties and assets owned, leased or operated by it, including for greater certainty, the Purchased Assets, or the nature of its business, ownership or activities, including for greater certainty, the operation of the Business, makes such qualification necessary, except where the failure to be so qualified, licensed or in good standing would not, individually or in the aggregate, be reasonably expected to have a Material Adverse Effect.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3.1.2            </w:t>
      </w:r>
      <w:r>
        <w:rPr>
          <w:rFonts w:ascii="Times New Roman" w:cs="Times New Roman" w:eastAsia="Times New Roman" w:hAnsi="Times New Roman"/>
          <w:sz w:val="18"/>
          <w:szCs w:val="18"/>
          <w:u w:val="single" w:color="auto"/>
          <w:color w:val="auto"/>
        </w:rPr>
        <w:t>  Authority and Enforceability</w:t>
      </w:r>
      <w:r>
        <w:rPr>
          <w:rFonts w:ascii="Times New Roman" w:cs="Times New Roman" w:eastAsia="Times New Roman" w:hAnsi="Times New Roman"/>
          <w:sz w:val="18"/>
          <w:szCs w:val="18"/>
          <w:color w:val="auto"/>
        </w:rPr>
        <w:t>. Each Seller has the requisite power, authority and capacity to enter into this Agreement and the Ancillary Agreements to which it is or will be a party and, subject to the Bidding Procedures Order and Sale Order, to perform its obligations hereunder or thereunder and to complete the Transactions and the transactions contemplated thereby. The execution and delivery of this Agreement and each Ancillary Agreement to which it is or will be a party, the performance of the obligations hereunder or thereunder and the consummation of the Transactions and the transactions contemplated thereby have been, or will be at or prior to Closing, duly authorized by all necessary action on the part of each Seller. This Agreement and each of the Ancillary Agreements to which a Seller is or will be a party, have been, or will be at or prior to Closing, duly executed and delivered by such Seller, and, subject to the Bankruptcy Court’s entry of the Sale Order, constitute or will constitute a legal, valid and binding obligation of such Seller, enforceable against it in accordance with its terms.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3.1.3            </w:t>
      </w:r>
      <w:r>
        <w:rPr>
          <w:rFonts w:ascii="Times New Roman" w:cs="Times New Roman" w:eastAsia="Times New Roman" w:hAnsi="Times New Roman"/>
          <w:sz w:val="18"/>
          <w:szCs w:val="18"/>
          <w:u w:val="single" w:color="auto"/>
          <w:color w:val="auto"/>
        </w:rPr>
        <w:t>  Authorizations and Consents</w:t>
      </w:r>
      <w:r>
        <w:rPr>
          <w:rFonts w:ascii="Times New Roman" w:cs="Times New Roman" w:eastAsia="Times New Roman" w:hAnsi="Times New Roman"/>
          <w:sz w:val="18"/>
          <w:szCs w:val="18"/>
          <w:color w:val="auto"/>
        </w:rPr>
        <w:t xml:space="preserve">. Except for (a) the entry of the Bidding Procedures Order and the Sale Order and, as applicable, the expiration or waiver of the Bankruptcy Court of the applicable period set forth in Bankruptcy Rule 6004(h), (b) the delivery to the applicable Governmental Authority of the Regulatory Approval Transfer Documentation, and (c) items disclosed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 Seller Disclosure Schedules, no material Order, Permit, license, consent, approval, waiver, notification or filing, in each case, with a Governmental Authority, is required on the part of any Seller for the execution and delivery by such Seller of this Agreement, the performance by such Seller of its obligations hereunder or thereunder and the consummation of the Transactions and the transactions contemplated thereby, including the transfer of the Purchased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3.1.4            </w:t>
      </w:r>
      <w:r>
        <w:rPr>
          <w:rFonts w:ascii="Times New Roman" w:cs="Times New Roman" w:eastAsia="Times New Roman" w:hAnsi="Times New Roman"/>
          <w:sz w:val="18"/>
          <w:szCs w:val="18"/>
          <w:u w:val="single" w:color="auto"/>
          <w:color w:val="auto"/>
        </w:rPr>
        <w:t>  No Broker</w:t>
      </w:r>
      <w:r>
        <w:rPr>
          <w:rFonts w:ascii="Times New Roman" w:cs="Times New Roman" w:eastAsia="Times New Roman" w:hAnsi="Times New Roman"/>
          <w:sz w:val="18"/>
          <w:szCs w:val="18"/>
          <w:color w:val="auto"/>
        </w:rPr>
        <w:t>. No Seller has used any broker or finder in connection with the Transactions, except that the Company has engaged the Seller Financial Advisor as its financial advisor, and no other broker, finder, financial advisor or investment banker is entitled to any fee or commission from any Seller in connection with the Transactions.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3.1.5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Seller Disclosure Schedules sets forth a list of all material Litigation to which any Seller is a Party as of the date hereof relating to any of the Purchased Assets, the Assumed Liabilities or the Business as of the Execution Date. Except for the Chapter 11 Cases and the Litigation listed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Seller Disclosure Schedules, there are no, and since the Look-Back Date to the date hereof there has not been any, material Litigation or investigation pending or threatened in writing, or, to Sellers’ Knowledge, orally, against the Purchased Assets or, to the extent involving or related to the operations or conduct of the Business (including with respect to any current or former employees or other individual service providers who provided services to the Business), against any Seller. Except as set forth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Seller Disclosure Schedules, as of the date hereof, there are no Orders of or by a court of competent jurisdiction or other Governmental Authority outstanding against any Seller with respect to the Business or any of the Purchased Assets, except for the Chapter 11 Cases.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3.1.6            </w:t>
      </w:r>
      <w:r>
        <w:rPr>
          <w:rFonts w:ascii="Times New Roman" w:cs="Times New Roman" w:eastAsia="Times New Roman" w:hAnsi="Times New Roman"/>
          <w:sz w:val="18"/>
          <w:szCs w:val="18"/>
          <w:u w:val="single" w:color="auto"/>
          <w:color w:val="auto"/>
        </w:rPr>
        <w:t>  No Violation</w:t>
      </w:r>
      <w:r>
        <w:rPr>
          <w:rFonts w:ascii="Times New Roman" w:cs="Times New Roman" w:eastAsia="Times New Roman" w:hAnsi="Times New Roman"/>
          <w:sz w:val="18"/>
          <w:szCs w:val="18"/>
          <w:color w:val="auto"/>
        </w:rPr>
        <w:t xml:space="preserve">. Subject to (a) the entry of the Bidding Procedures Order and the Sale Order and, as applicable, the expiration or waiver of the Bankruptcy Court of the applicable fourteen (14) day period set forth in Rule 6004(h) of the Bankruptcy Rules, (b) the delivery to the applicable Governmental Authority of the Regulatory Approval Transfer Documentation, and (c) items disclosed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Seller Disclosure Schedules, the execution and delivery by Sellers of this Agreement and each Ancillary Agreement to which any Seller is or will be a party, the performance by Sellers of their obligations hereunder or thereunder and the consummation of the Transactions and the transactions contemplated thereby do not and will not: (i) result in a violation of any Law applicable to any Seller; (ii) result in a breach of, or conflict with, the constituent documents of any Seller;</w:t>
      </w:r>
    </w:p>
    <w:p>
      <w:pPr>
        <w:spacing w:after="0" w:line="5" w:lineRule="exact"/>
        <w:rPr>
          <w:sz w:val="20"/>
          <w:szCs w:val="20"/>
          <w:color w:val="auto"/>
        </w:rPr>
      </w:pPr>
    </w:p>
    <w:p>
      <w:pPr>
        <w:jc w:val="both"/>
        <w:ind w:firstLine="8"/>
        <w:spacing w:after="0" w:line="253" w:lineRule="auto"/>
        <w:tabs>
          <w:tab w:leader="none" w:pos="3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result in the loss of any rights or the imposition of obligations under, any Purchased Contract or Purchased Permit; (iv) result in the creation of any Encumbrance (other than any Permitted Encumbrance) upon the Purchased Assets other than Encumbrances created solely as a result of the acquisition by Buyer of the Purchased Assets and assumption of the Assumed Liabilities; or (v) require any Seller to give notice to, make any filing with or obtain any consent from any Governmental Authority at or prior to the Closing, in each case of clauses (i) and (iii), except as would not have a Material Adverse Effect.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3.1.7            </w:t>
      </w:r>
      <w:r>
        <w:rPr>
          <w:rFonts w:ascii="Times New Roman" w:cs="Times New Roman" w:eastAsia="Times New Roman" w:hAnsi="Times New Roman"/>
          <w:sz w:val="18"/>
          <w:szCs w:val="18"/>
          <w:u w:val="single" w:color="auto"/>
          <w:color w:val="auto"/>
        </w:rPr>
        <w:t>  Purchased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 (a)          Except as set forth in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Seller Disclosure Schedules, Sellers have good and marketable title to (or, in the case of leased real property, a valid leasehold interest in or the right to use) all of the Purchased Assets. Upon the entry and effectiveness of the Sale Order, Sellers will have the power and right to sell, assign, transfer, convey and deliver, as the case may be, to the Buyer the Purchased Assets, free and clear of all Encumbrances other than Permitted Encumbrances and Assumed Liabilities. Other than Encumbrances that will be released upon the entry and effectiveness of the Sale Order, Sellers own or have rights to, and upon delivery to Buyer at the Closing will transfer to Buyer, good title to (or in the case of leased real property, a valid leasehold interest in) all of the Purchased Assets, free and clear of all Encumbrances except for Permitted Encumbrances and Assumed Liabilities.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(b)         The Purchased Assets constitute substantially all of the properties, assets and rights used by, or held for use by, the Sellers in the conduct of the Business and Exploitation of the Products as of the date hereof or that are otherwise reasonably necessary for Buyer to conduct and operate the Business in substantially the same manner as conducted by Sellers before the Closing (other than the Excluded Assets).</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 (c)          Except as set forth in </w:t>
      </w:r>
      <w:r>
        <w:rPr>
          <w:rFonts w:ascii="Times New Roman" w:cs="Times New Roman" w:eastAsia="Times New Roman" w:hAnsi="Times New Roman"/>
          <w:sz w:val="18"/>
          <w:szCs w:val="18"/>
          <w:u w:val="single" w:color="auto"/>
          <w:color w:val="auto"/>
        </w:rPr>
        <w:t>Section 3.1.7(c)</w:t>
      </w:r>
      <w:r>
        <w:rPr>
          <w:rFonts w:ascii="Times New Roman" w:cs="Times New Roman" w:eastAsia="Times New Roman" w:hAnsi="Times New Roman"/>
          <w:sz w:val="18"/>
          <w:szCs w:val="18"/>
          <w:color w:val="auto"/>
        </w:rPr>
        <w:t xml:space="preserve"> of the Seller Disclosure Schedules, no other Person (other than Sellers) owns any assets that are material to operate the Business and Exploit the Products in substantially the same manner as conducted by Sellers before Closing except for personal property leased by Sellers and computer software and programs licensed to Sellers, products sold pursuant to distribution or similar contracts with Sellers, and the Excluded Assets.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3.1.8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  Section 3.1.8(a)</w:t>
      </w:r>
      <w:r>
        <w:rPr>
          <w:rFonts w:ascii="Times New Roman" w:cs="Times New Roman" w:eastAsia="Times New Roman" w:hAnsi="Times New Roman"/>
          <w:sz w:val="18"/>
          <w:szCs w:val="18"/>
          <w:color w:val="auto"/>
        </w:rPr>
        <w:t xml:space="preserve"> of the Seller Disclosure Schedules sets forth a true and complete list of all (i) Patents, (ii) registered Trademarks, and (iii) registered Copyrights, including any pending applications to register any of the foregoing, in each case of (i)-(iii), owned or purported to be owned by any Seller (“</w:t>
      </w:r>
      <w:r>
        <w:rPr>
          <w:rFonts w:ascii="Times New Roman" w:cs="Times New Roman" w:eastAsia="Times New Roman" w:hAnsi="Times New Roman"/>
          <w:sz w:val="18"/>
          <w:szCs w:val="18"/>
          <w:b w:val="1"/>
          <w:bCs w:val="1"/>
          <w:color w:val="auto"/>
        </w:rPr>
        <w:t>Seller Registered IP</w:t>
      </w:r>
      <w:r>
        <w:rPr>
          <w:rFonts w:ascii="Times New Roman" w:cs="Times New Roman" w:eastAsia="Times New Roman" w:hAnsi="Times New Roman"/>
          <w:sz w:val="18"/>
          <w:szCs w:val="18"/>
          <w:color w:val="auto"/>
        </w:rPr>
        <w:t xml:space="preserve">”), indicating for each such item, the name of the current legal owner(s), the jurisdiction of application/registration, the application/registration number and the filing/issuance date.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Seller Disclosure Schedules also sets forth a list of all domain names with respect to which any Seller is the registrant. All issued Patents, registered Trademarks and registered Copyrights included in the Seller Registered IP are subsisting and in full force and effect, and valid and enforceable. Each item of Seller Registered IP is in material compliance with formal legal requirements now or previously due, including, as applicable, filings, payments (including maintenance fees), and other actions required to be made or taken to maintain such item of Seller Registered IP.</w:t>
      </w:r>
    </w:p>
    <w:p>
      <w:pPr>
        <w:spacing w:after="0" w:line="19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(b)         Sellers own all rights, title and interests in and to all Owned IP, and such Owned IP is, subject to the Bankruptcy Court’s entry of the Sale Order, free and clear of all Encumbrances, other than Permitted Encumbrances. Sellers have a valid right to use, under a Purchased Contract that is valid and enforceable, all other Acquired IP. To the Knowledge of Sellers, the Acquired IP and Purchased Technology constitute all material Intellectual Property necessary or reasonably useful for the operation of the Business, and to Exploit the Products, as presently conducted, or Exploited, and as contemplated to be conducted, or Exploited, as of the Execution Date. Except as would not reasonably be expected to be material to the Business or the Exploitation of the Purchased Assets or the Products, Sellers have the right to use, and are in possession of or have access to, all Purchased Technology.</w:t>
      </w:r>
    </w:p>
    <w:p>
      <w:pPr>
        <w:spacing w:after="0" w:line="189"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(c)          Except as would not reasonably be expected to be material to the Business or the Exploitation of the Purchased Assets or the Products, the Sellers have complied with all Laws regarding the duty of disclosure, candor and good faith in connection with each Patent included in the Owned IP. No public disclosure bar by the Sellers has occurred or on sale bar by the Sellers has arisen which has rendered or would reasonably be expected to render any Patent contained in the Acquired IP unenforceable or invalid.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(d)          Except as would not reasonably be expected to be material to the Business or the Exploitation of the Purchased Assets or the Products, (i) to the Knowledge of Sellers, neither the conduct of the Sellers’ businesses nor their respective use, practice or other exploitation of any of its or other products or the Acquired IP has misappropriated, infringed or otherwise violated or is currently infringing, misappropriating or otherwise violating any Intellectual Property of any Person, (ii) there is no pending suit or legal action against any Seller in which such Seller is alleged to have infringed or otherwise violated the Intellectual Property rights of another Person and no Seller is aware of any reasonable basis for such a claim and (iii) no Claims or actions are pending or threatened in writing, challenging the ownership, validity, enforceability or use of any Acquired IP or other Acquired IP to which Sellers have exclusive rights (except, in each case, for non-final office actions).</w:t>
      </w:r>
    </w:p>
    <w:p>
      <w:pPr>
        <w:spacing w:after="0" w:line="189"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(e)          Except as would not reasonably be expected to be material to the Business or the Exploitation of the Purchased Assets or the Products, to the Knowledge of Sellers, no Person has infringed, misappropriated or otherwise violated, or is infringing, misappropriating or otherwise violating, any Acquired IP, and no Seller has filed any claims related to the foregoing. No Seller has given written notice to any other Person of any of the foregoing.</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(f)       </w:t>
      </w:r>
      <w:r>
        <w:rPr>
          <w:rFonts w:ascii="Times New Roman" w:cs="Times New Roman" w:eastAsia="Times New Roman" w:hAnsi="Times New Roman"/>
          <w:sz w:val="18"/>
          <w:szCs w:val="18"/>
          <w:u w:val="single" w:color="auto"/>
          <w:color w:val="auto"/>
        </w:rPr>
        <w:t>  Section 3.1.8(f)</w:t>
      </w:r>
      <w:r>
        <w:rPr>
          <w:rFonts w:ascii="Times New Roman" w:cs="Times New Roman" w:eastAsia="Times New Roman" w:hAnsi="Times New Roman"/>
          <w:sz w:val="18"/>
          <w:szCs w:val="18"/>
          <w:color w:val="auto"/>
        </w:rPr>
        <w:t xml:space="preserve"> of the Seller Disclosure Schedules sets forth a complete and correct list of all Purchased Contracts in effect pursuant to which any Acquired IP that is necessary or reasonably useful to Exploit the Products is licensed, sublicensed, sold, assigned, developed, or otherwise conveyed or provided by a third party to any Seller (including the grant of an option, covenant not to sue or assert, or any similar right) (the “</w:t>
      </w:r>
      <w:r>
        <w:rPr>
          <w:rFonts w:ascii="Times New Roman" w:cs="Times New Roman" w:eastAsia="Times New Roman" w:hAnsi="Times New Roman"/>
          <w:sz w:val="18"/>
          <w:szCs w:val="18"/>
          <w:b w:val="1"/>
          <w:bCs w:val="1"/>
          <w:color w:val="auto"/>
        </w:rPr>
        <w:t>Inbound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Inbound Licenses shall not include any material transfer agreements, clinical trial agreements, nondisclosure agreements, services agreements, commercially available software-as-a-service offerings agreements, off-the-shelf software license agreements, license agreements commonly referred to as “open source,” “public,” or “freeware” software licenses or generally available patent license agreements, in each case, entered into in the Ordinary Course of business and that do not grant any exclusive right or contain any Encumbrance that is not a Permitted Encumbrance;</w:t>
      </w:r>
    </w:p>
    <w:p>
      <w:pPr>
        <w:spacing w:after="0" w:line="19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(g)        </w:t>
      </w:r>
      <w:r>
        <w:rPr>
          <w:rFonts w:ascii="Times New Roman" w:cs="Times New Roman" w:eastAsia="Times New Roman" w:hAnsi="Times New Roman"/>
          <w:sz w:val="18"/>
          <w:szCs w:val="18"/>
          <w:u w:val="single" w:color="auto"/>
          <w:color w:val="auto"/>
        </w:rPr>
        <w:t>  Section 3.1.8(g)</w:t>
      </w:r>
      <w:r>
        <w:rPr>
          <w:rFonts w:ascii="Times New Roman" w:cs="Times New Roman" w:eastAsia="Times New Roman" w:hAnsi="Times New Roman"/>
          <w:sz w:val="18"/>
          <w:szCs w:val="18"/>
          <w:color w:val="auto"/>
        </w:rPr>
        <w:t xml:space="preserve"> of the Seller Disclosure Schedules sets forth a complete and correct list of all Purchased Contracts, pursuant to which any Acquired IP that is necessary or reasonably useful to Exploit the Products is licensed, sublicensed, sold, assigned, developed, or otherwise conveyed or provided by any Seller to a third party (including the grant of an option, covenant not to sue or assert, or any similar right) (the “</w:t>
      </w:r>
      <w:r>
        <w:rPr>
          <w:rFonts w:ascii="Times New Roman" w:cs="Times New Roman" w:eastAsia="Times New Roman" w:hAnsi="Times New Roman"/>
          <w:sz w:val="18"/>
          <w:szCs w:val="18"/>
          <w:b w:val="1"/>
          <w:bCs w:val="1"/>
          <w:color w:val="auto"/>
        </w:rPr>
        <w:t>Outbound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Outbound Licenses shall not include any materials transfer agreements, clinical trial agreements, nondisclosure agreements, services agreements, research agreements, manufacturing agreements or non-exclusive out-bound licenses, in each case, entered into in the Ordinary Course of business and that do not grant any exclusive right or contain any Encumbrance that is not a Permitted Encumbrance;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1960"/>
        <w:spacing w:after="0"/>
        <w:rPr>
          <w:sz w:val="20"/>
          <w:szCs w:val="20"/>
          <w:color w:val="auto"/>
        </w:rPr>
      </w:pPr>
      <w:r>
        <w:rPr>
          <w:rFonts w:ascii="Times New Roman" w:cs="Times New Roman" w:eastAsia="Times New Roman" w:hAnsi="Times New Roman"/>
          <w:sz w:val="18"/>
          <w:szCs w:val="18"/>
          <w:color w:val="auto"/>
        </w:rPr>
        <w:t> (h)          Neither the execution and delivery of this Agreement nor the consummation of any transaction contemplated herein will</w:t>
      </w:r>
    </w:p>
    <w:p>
      <w:pPr>
        <w:spacing w:after="0" w:line="27" w:lineRule="exact"/>
        <w:rPr>
          <w:sz w:val="20"/>
          <w:szCs w:val="20"/>
          <w:color w:val="auto"/>
        </w:rPr>
      </w:pPr>
    </w:p>
    <w:p>
      <w:pPr>
        <w:jc w:val="both"/>
        <w:ind w:firstLine="8"/>
        <w:spacing w:after="0" w:line="253" w:lineRule="auto"/>
        <w:tabs>
          <w:tab w:leader="none" w:pos="21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or require the grant, assignment or transfer to any other Person (other than Buyer or any of its Affiliates) of any license or other right or interest under, to or in any of the Acquired IP or any of the Intellectual Property of Buyer or any of its Affiliates or (ii) cause a material loss or impairment of any Acquired IP. All rights with respect to Acquired IP will continue in full force and effect immediately following the Closing on substantially identical terms and conditions as in effect prior to the Closing, without the payment of any additional consideration in connection therewith.</w:t>
      </w:r>
    </w:p>
    <w:p>
      <w:pPr>
        <w:spacing w:after="0" w:line="18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(i)          Except as would not reasonably be expected to be material to the Business or the Exploitation of the Purchased Assets or the Products, any current and former founder, director, officer, employee, independent contractor or consultant who has been involved in the creation, invention, development, authorship, conception, modification or improvement of any Acquired IP on behalf of any Seller or the Business during the course of their employment or engagement (“</w:t>
      </w:r>
      <w:r>
        <w:rPr>
          <w:rFonts w:ascii="Times New Roman" w:cs="Times New Roman" w:eastAsia="Times New Roman" w:hAnsi="Times New Roman"/>
          <w:sz w:val="18"/>
          <w:szCs w:val="18"/>
          <w:b w:val="1"/>
          <w:bCs w:val="1"/>
          <w:color w:val="auto"/>
        </w:rPr>
        <w:t>Contributors</w:t>
      </w:r>
      <w:r>
        <w:rPr>
          <w:rFonts w:ascii="Times New Roman" w:cs="Times New Roman" w:eastAsia="Times New Roman" w:hAnsi="Times New Roman"/>
          <w:sz w:val="18"/>
          <w:szCs w:val="18"/>
          <w:color w:val="auto"/>
        </w:rPr>
        <w:t>”) have signed and delivered to such Seller written agreements including confidentiality and non-disclosure obligations in favor of Sellers. All Intellectual Property that is necessary or reasonably useful to Exploit the Products and that was created or developed by Contributors has either vested in a Seller by operation of law or such Contributors have signed and delivered to the applicable Seller written agreements assigning such Intellectual Property to such Seller.</w:t>
      </w:r>
    </w:p>
    <w:p>
      <w:pPr>
        <w:spacing w:after="0" w:line="189"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(j)          Sellers have taken commercially reasonable measures to maintain and protect the Owned IP, Licensed IP and Owned Technology (including by timely making all applicable filing, examination, maintenance, or renewal fees), and the secrecy and value of all Trade Secrets in Sellers’ possession and used in connection with the Business. No Trade Secrets included in the Owned IP, Licensed IP or Owned Technology have been disclosed or authorized to be disclosed to any Person, other than in the Ordinary Course pursuant to a written, commercially reasonable non-disclosure agreement.</w:t>
      </w:r>
    </w:p>
    <w:p>
      <w:pPr>
        <w:spacing w:after="0" w:line="183"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 (k)          No funding, facilities or personnel of any Governmental Authority or any university, college, research institute or other educational institution has been or is being used in any material respect to create, in whole or in part, any Owned IP or Licensed IP.</w:t>
      </w:r>
    </w:p>
    <w:p>
      <w:pPr>
        <w:spacing w:after="0" w:line="162"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  (l)          The computer systems, including the software, hardware, networks, interfaces, applications, platforms, servers, endpoints, storage and other related systems, including outsourced and cloud-based systems and services, owned, leased, licensed or otherwise used by the Sellers (collectively, the “</w:t>
      </w:r>
      <w:r>
        <w:rPr>
          <w:rFonts w:ascii="Times New Roman" w:cs="Times New Roman" w:eastAsia="Times New Roman" w:hAnsi="Times New Roman"/>
          <w:sz w:val="18"/>
          <w:szCs w:val="18"/>
          <w:b w:val="1"/>
          <w:bCs w:val="1"/>
          <w:color w:val="auto"/>
        </w:rPr>
        <w:t>Seller Systems</w:t>
      </w:r>
      <w:r>
        <w:rPr>
          <w:rFonts w:ascii="Times New Roman" w:cs="Times New Roman" w:eastAsia="Times New Roman" w:hAnsi="Times New Roman"/>
          <w:sz w:val="18"/>
          <w:szCs w:val="18"/>
          <w:color w:val="auto"/>
        </w:rPr>
        <w:t>”) are sufficient for the conduct of its business and reasonably secure against intrusion. Since the Look-Back Date,</w:t>
      </w:r>
    </w:p>
    <w:p>
      <w:pPr>
        <w:spacing w:after="0" w:line="1" w:lineRule="exact"/>
        <w:rPr>
          <w:sz w:val="20"/>
          <w:szCs w:val="20"/>
          <w:color w:val="auto"/>
        </w:rPr>
      </w:pPr>
    </w:p>
    <w:p>
      <w:pPr>
        <w:jc w:val="both"/>
        <w:ind w:firstLine="8"/>
        <w:spacing w:after="0" w:line="253" w:lineRule="auto"/>
        <w:tabs>
          <w:tab w:leader="none" w:pos="2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failures, breakdowns, continued substandard performance or other adverse events affecting any such Seller Systems that have caused or could reasonably be expected to result in the substantial disruption or interruption in or to the use of such Seller Systems or the conduct of the business of the Sellers, and (ii) there have not been any incidents, known or reasonably suspected, of unauthorized access or other security breaches of the Seller Systems.</w:t>
      </w:r>
    </w:p>
    <w:p>
      <w:pPr>
        <w:spacing w:after="0" w:line="189"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(m)          As of the date hereof, the Seller Systems owned or controlled by the Sellers do not contain any malware, “Trojan horses,” viruses, or other malicious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(n)            As of the date of this Agreement, none of the Acquired IP that is necessary or reasonably useful to Exploit the Products is subject to any pending or outstanding injunction, directive, Order, judgment, or other disposition of a dispute that adversely and materially restricts the use of any such Intellectual Property, other than patent or trademark prosecution activities being conducted before a Governmental Authority in the Ordinary Course of Business.</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(o)            Since the Look-Back Date, Sellers have been in compliance, in all material respects, with all applicable Laws, privacy policies, and Contracts relating to the collection, use, storage, destruction, modification, transfer, and other processing of Personal Data collected or used by Sellers in the conduct of the Business. There has been no material unauthorized access to any information technology systems used in the operation of the Business (or data stored in or processed thereby), nor any unauthorized access, disclosure, destruction, modification, or use of Personal Data that would require notification of individuals, other affected Persons, or any Governmental Authority.</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3.1.9      </w:t>
      </w:r>
      <w:r>
        <w:rPr>
          <w:rFonts w:ascii="Times New Roman" w:cs="Times New Roman" w:eastAsia="Times New Roman" w:hAnsi="Times New Roman"/>
          <w:sz w:val="18"/>
          <w:szCs w:val="18"/>
          <w:u w:val="single" w:color="auto"/>
          <w:color w:val="auto"/>
        </w:rPr>
        <w:t>  No Material Disposals</w:t>
      </w:r>
      <w:r>
        <w:rPr>
          <w:rFonts w:ascii="Times New Roman" w:cs="Times New Roman" w:eastAsia="Times New Roman" w:hAnsi="Times New Roman"/>
          <w:sz w:val="18"/>
          <w:szCs w:val="18"/>
          <w:color w:val="auto"/>
        </w:rPr>
        <w:t>. Since the Look-Back Date, no Seller has sold or otherwise disposed of any assets (including any licenses, assignments, transfers, or abandonments of Intellectual Property or tangible embodiments thereof) that are material to the Business and the Products, other than for sales of inventory of the Products, expiration of any registered or issued Intellectual Property in accordance with its maximum statutory term and non-exclusive licenses granted in the Ordinary Course.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3.1.10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xml:space="preserve"> of the Seller Disclosure Schedules, since the date of the most recent balance sheet included the Seller SEC Documents, (a) no event, result, effect, occurrence, fact, circumstance, development, condition or change has occurred or arisen that has had, or would reasonably be expected to have, individually or in the aggregate, a Material Adverse Effect, (b) no Seller has taken any action that would be prohibited by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if taken during the Interim Period and (c) aside from preparation for bankruptcy and pursuit of strategic alternatives, the Business has been conducted in all material respects in the Ordinary Course.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3.1.11    </w:t>
      </w:r>
      <w:r>
        <w:rPr>
          <w:rFonts w:ascii="Times New Roman" w:cs="Times New Roman" w:eastAsia="Times New Roman" w:hAnsi="Times New Roman"/>
          <w:sz w:val="18"/>
          <w:szCs w:val="18"/>
          <w:u w:val="single" w:color="auto"/>
          <w:color w:val="auto"/>
        </w:rPr>
        <w:t>  Employee and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3.1.11(a)</w:t>
      </w:r>
      <w:r>
        <w:rPr>
          <w:rFonts w:ascii="Times New Roman" w:cs="Times New Roman" w:eastAsia="Times New Roman" w:hAnsi="Times New Roman"/>
          <w:sz w:val="18"/>
          <w:szCs w:val="18"/>
          <w:color w:val="auto"/>
        </w:rPr>
        <w:t xml:space="preserve"> of the Seller Disclosure Schedules lists each material Plan. Sellers have provided to Buyer copies of all job descriptions, resumes, curriculum vitaes, or comparable summaries of qualifications and experience for all Business Employees.</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No Plan is, and no Seller nor any of its Affiliates has any Liability under or with respect to, (i) a multiemployer plan within the meaning of Section 3(37) of ERISA or a plan that has two or more contributing sponsors, at least two of whom are not under common control, within the meaning of Section 4063 of ERISA, (ii) a plan that is or was subject to Section 4063 or 4064 of ERISA, or (iii) a plan that is or was subject to Section 412 of the Code, Section 430 of the Code or Title IV of ERISA.</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(c)            Except as disclosed in </w:t>
      </w:r>
      <w:r>
        <w:rPr>
          <w:rFonts w:ascii="Times New Roman" w:cs="Times New Roman" w:eastAsia="Times New Roman" w:hAnsi="Times New Roman"/>
          <w:sz w:val="18"/>
          <w:szCs w:val="18"/>
          <w:u w:val="single" w:color="auto"/>
          <w:color w:val="auto"/>
        </w:rPr>
        <w:t>Section 3.1.11(c)</w:t>
      </w:r>
      <w:r>
        <w:rPr>
          <w:rFonts w:ascii="Times New Roman" w:cs="Times New Roman" w:eastAsia="Times New Roman" w:hAnsi="Times New Roman"/>
          <w:sz w:val="18"/>
          <w:szCs w:val="18"/>
          <w:color w:val="auto"/>
        </w:rPr>
        <w:t xml:space="preserve"> of the Seller Disclosure Schedules, neither the execution and delivery of this Agreement nor the consummation of the Transactions could, alone or together with any other event, (i) result in or cause the (A) payment or provision,</w:t>
      </w:r>
    </w:p>
    <w:p>
      <w:pPr>
        <w:jc w:val="both"/>
        <w:ind w:firstLine="8"/>
        <w:spacing w:after="0" w:line="253" w:lineRule="auto"/>
        <w:tabs>
          <w:tab w:leader="none" w:pos="29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vesting, funding or delivery of, or (C) increase the amount or value of, any compensation or benefit, including severance, to any Business Employee or other individual service provider of the Business or (ii) result in any payment (whether in cash, property or the vesting of property) that would reasonably be expected to, individually or in combination with any other such payment, constitute a “parachute payment” (within the meaning of Section 280G of the Code).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(d)            There are no pending, or to the Knowledge of Sellers, or threatened (i) investigations or audits by any Governmental Authority involving the employment practices of any Seller, or (ii) Litigation with respect to the employment practices of any Seller.</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(e)            Since the Look-Back Date through the date hereof, there has not been any allegation, or to the Knowledge of Sellers, any threatened allegation, of sexual harassment, sexual abuse or sexual misconduct by or against any current or former director, officer, or employee of any Seller, and no Seller has entered into any settlement agreement related to allegations or threatened allegations of sexual harassment, sexual abuse or sexual misconduct by or against any current or former director, officer, or employee of any Seller.</w:t>
      </w:r>
    </w:p>
    <w:p>
      <w:pPr>
        <w:spacing w:after="0" w:line="180"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 xml:space="preserve">(f)             Sellers have provided to Buyer a complete, current and accurate list of each individual who is a Business Employee as of the date hereof (to be updated after the date hereof in accordance with </w:t>
      </w:r>
      <w:r>
        <w:rPr>
          <w:rFonts w:ascii="Times New Roman" w:cs="Times New Roman" w:eastAsia="Times New Roman" w:hAnsi="Times New Roman"/>
          <w:sz w:val="18"/>
          <w:szCs w:val="18"/>
          <w:u w:val="single" w:color="auto"/>
          <w:color w:val="auto"/>
        </w:rPr>
        <w:t>Section 5.14.1</w:t>
      </w:r>
      <w:r>
        <w:rPr>
          <w:rFonts w:ascii="Times New Roman" w:cs="Times New Roman" w:eastAsia="Times New Roman" w:hAnsi="Times New Roman"/>
          <w:sz w:val="18"/>
          <w:szCs w:val="18"/>
          <w:color w:val="auto"/>
        </w:rPr>
        <w:t>), including for each such individual: (i) name or employee identification number; (ii) job title; (iii) date of hire and, if applicable, adjusted service date; (iv) annual base salary or hourly wage rate, as applicable;</w:t>
      </w:r>
    </w:p>
    <w:p>
      <w:pPr>
        <w:spacing w:after="0" w:line="1" w:lineRule="exact"/>
        <w:rPr>
          <w:sz w:val="20"/>
          <w:szCs w:val="20"/>
          <w:color w:val="auto"/>
        </w:rPr>
      </w:pPr>
    </w:p>
    <w:p>
      <w:pPr>
        <w:jc w:val="both"/>
        <w:ind w:firstLine="8"/>
        <w:spacing w:after="0" w:line="253"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bonus opportunity, commission eligibility; (vi) exempt or non-exempt status; (vii) primary work location; (viii) active or inactive status, including any leave of absence; (ix) employing entity; (x) visa type, status, expiration date and sponsoring entity (if applicable); (xi) whether represented by a union, works council, labor organization or other employee representative; (xii) any individual retention agreement, severance agreement, change-in-control arrangement, or other special compensation or benefit arrangement; and (xiii) and any accrued but unused vacation, paid time off, or other leave balances, to the extent applicable (the “</w:t>
      </w:r>
      <w:r>
        <w:rPr>
          <w:rFonts w:ascii="Times New Roman" w:cs="Times New Roman" w:eastAsia="Times New Roman" w:hAnsi="Times New Roman"/>
          <w:sz w:val="18"/>
          <w:szCs w:val="18"/>
          <w:b w:val="1"/>
          <w:bCs w:val="1"/>
          <w:color w:val="auto"/>
        </w:rPr>
        <w:t>Business Employee List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(g)            No Seller is a party to, nor bound by, any collective bargaining agreement or other labor-related contract with a union, works council, labor organization, or other employee representative (each, a “</w:t>
      </w:r>
      <w:r>
        <w:rPr>
          <w:rFonts w:ascii="Times New Roman" w:cs="Times New Roman" w:eastAsia="Times New Roman" w:hAnsi="Times New Roman"/>
          <w:sz w:val="18"/>
          <w:szCs w:val="18"/>
          <w:b w:val="1"/>
          <w:bCs w:val="1"/>
          <w:color w:val="auto"/>
        </w:rPr>
        <w:t>Collective Bargaining Agreement</w:t>
      </w:r>
      <w:r>
        <w:rPr>
          <w:rFonts w:ascii="Times New Roman" w:cs="Times New Roman" w:eastAsia="Times New Roman" w:hAnsi="Times New Roman"/>
          <w:sz w:val="18"/>
          <w:szCs w:val="18"/>
          <w:color w:val="auto"/>
        </w:rPr>
        <w:t>”), and none are currently being negotiated. No Business Employees are represented by any labor union, labor organization, works council, or employee representative with respect to their employment with any Seller and its Affiliates.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3.1.12    </w:t>
      </w:r>
      <w:r>
        <w:rPr>
          <w:rFonts w:ascii="Times New Roman" w:cs="Times New Roman" w:eastAsia="Times New Roman" w:hAnsi="Times New Roman"/>
          <w:sz w:val="18"/>
          <w:szCs w:val="18"/>
          <w:u w:val="single" w:color="auto"/>
          <w:color w:val="auto"/>
        </w:rPr>
        <w:t>  Compliance with Laws;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(a)            Except as set forth in </w:t>
      </w:r>
      <w:r>
        <w:rPr>
          <w:rFonts w:ascii="Times New Roman" w:cs="Times New Roman" w:eastAsia="Times New Roman" w:hAnsi="Times New Roman"/>
          <w:sz w:val="18"/>
          <w:szCs w:val="18"/>
          <w:u w:val="single" w:color="auto"/>
          <w:color w:val="auto"/>
        </w:rPr>
        <w:t>Section 3.1.12(a)</w:t>
      </w:r>
      <w:r>
        <w:rPr>
          <w:rFonts w:ascii="Times New Roman" w:cs="Times New Roman" w:eastAsia="Times New Roman" w:hAnsi="Times New Roman"/>
          <w:sz w:val="18"/>
          <w:szCs w:val="18"/>
          <w:color w:val="auto"/>
        </w:rPr>
        <w:t xml:space="preserve"> of the Seller Disclosure Schedules, the Business is currently being, and since the Look-Back Date has been, conducted in compliance, in all material respects, with all applicable Laws, including Healthcare Laws. No Seller has received any written or oral notice from any applicable Governmental Authority, Third-Party Payor Program, customer, wholesaler/distributor, payor, or other third party of any actual or alleged material non-compliance or violation of any Laws, including Healthcare Laws, in connection with the ownership of the Purchased Assets or the operation of the Business, and to the Knowledge of the Sellers, there are no facts and circumstances that would reasonably be expected to form the basis for any such notice. Each Seller has established and maintained a health care compliance program that is designed to support performance of their respective contractual and regulatory obligations that: (i) governs all employees and contractors, (ii) is intended to be consistent with the standards and guidance promulgated by the OIG, the DOJ, and the U.S. Federal Sentencing Guidelines for effective compliance programs, and</w:t>
      </w:r>
    </w:p>
    <w:p>
      <w:pPr>
        <w:spacing w:after="0" w:line="1" w:lineRule="exact"/>
        <w:rPr>
          <w:sz w:val="20"/>
          <w:szCs w:val="20"/>
          <w:color w:val="auto"/>
        </w:rPr>
      </w:pPr>
    </w:p>
    <w:p>
      <w:pPr>
        <w:jc w:val="center"/>
        <w:ind w:left="5520" w:right="800" w:hanging="5512"/>
        <w:spacing w:after="0" w:line="761" w:lineRule="auto"/>
        <w:tabs>
          <w:tab w:leader="none" w:pos="3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addresses compliance with Healthcare Laws. Each Seller further operates in material compliance with such health care compliance program.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Each Seller is and has been since the Look-Back Date in possession of all Permits, a complete list of which is set forth on </w:t>
      </w:r>
      <w:r>
        <w:rPr>
          <w:rFonts w:ascii="Times New Roman" w:cs="Times New Roman" w:eastAsia="Times New Roman" w:hAnsi="Times New Roman"/>
          <w:sz w:val="18"/>
          <w:szCs w:val="18"/>
          <w:u w:val="single" w:color="auto"/>
          <w:color w:val="auto"/>
        </w:rPr>
        <w:t>Section 3.1.12(b)</w:t>
      </w:r>
      <w:r>
        <w:rPr>
          <w:rFonts w:ascii="Times New Roman" w:cs="Times New Roman" w:eastAsia="Times New Roman" w:hAnsi="Times New Roman"/>
          <w:sz w:val="18"/>
          <w:szCs w:val="18"/>
          <w:color w:val="auto"/>
        </w:rPr>
        <w:t>, and Regulatory Approvals pursuant to any applicable Law required for the ownership or operation of the Purchased Assets or Assumed Liabilities. All such Permits and Regulatory Approvals are valid and in full force and effect, no material violation of or default (with or without notice, lapse of time or both) has occurred under any such Permit or Regulatory Approval, no Seller has received any written or oral notice from any Governmental Authority threatening to suspend, revoke, materially limit, or withdraw any such Permit or Regulatory Approval, each Seller is in material compliance with the terms and requirements of such Permits and Regulatory Approvals, and there are no facts or circumstances that would be reasonably likely to lead to the revocation, suspension, limitation, or cancellation of any such Permits or Regulatory Approvals. Since the Look-Back Date, all reports, documents, claims, Permits, submissions, applications, supplements, listings, modifications, amendments, filings and notices, and other pricing, Product attribute, or other data, required to be filed with, maintained in connection with, or furnished to a Governmental Authority by Sellers have been so filed, maintained, or furnished, and all such reports, documents, claims, Permits, submissions, applications, supplements, listings, modifications, amendments, filings, and notices, and other pricing, Product attribute, or other data, were true and complete in all material respects on the date filed (or were corrected in or supplemented by a subsequent filing) and were made in good faith upon all information available to Sellers at such time. No material deficiencies have been asserted in writing by any applicable Governmental Authority with respect to any such filings, declarations, listings, registrations, reports, submissions, records, notices, Permits, pricing, product attribute, and other data. Sellers have made available to Buyer complete and accurate copies of</w:t>
      </w:r>
    </w:p>
    <w:p>
      <w:pPr>
        <w:spacing w:after="0" w:line="12" w:lineRule="exact"/>
        <w:rPr>
          <w:sz w:val="20"/>
          <w:szCs w:val="20"/>
          <w:color w:val="auto"/>
        </w:rPr>
      </w:pPr>
    </w:p>
    <w:p>
      <w:pPr>
        <w:jc w:val="both"/>
        <w:ind w:firstLine="8"/>
        <w:spacing w:after="0" w:line="255" w:lineRule="auto"/>
        <w:tabs>
          <w:tab w:leader="none" w:pos="2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documents, claims, Permits, submissions, applications, supplements, listings, modifications, amendments, filings and notices, and other pricing, Product attribute, or other data filed with, maintained in connection with, or furnished to a Governmental Authority, and (ii) all other material data, reports, and information regarding the quality, efficacy and safety of the Products, including all clinical and nonclinical studies.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(c)            Since the Look-Back Date, (i) none of Sellers, their respective employees, officers, and directors, nor any agent, contractor, or supplier acting on behalf of, or providing products or services to, Sellers (A) has made any false, misleading, or untrue statement of material fact, or failed to disclose a material fact required to be disclosed, to any Governmental Authority,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Authority to invoke any similar policy; (B) has been charged with or convicted of any criminal offense relating to the delivery of an item or service under any Governmental Program, (C) has had a civil monetary penalty assessed against it under 42 U.S.C. § 1320a-7a, (D) has been listed on the list of parties excluded from federal procurement programs and non-procurement programs as maintained in the Government Services Administration’s System for Award Management, (E) has been the subject of or the target of any current or potential investigation relating to any Governmental Program-related offense, or (F) has been debarred, excluded, or suspended from participation in any Governmental Program or by any Governmental Authority or engaged in any conduct that would reasonably be expected to result in debarment under 21 U.S.C. § 335a or exclusion under 42 U.S.C. § 1320a-7 or any similar Law; (ii) none of Sellers, nor any person acting on their behalf with respect to the Products, has (A) received any warning letter, untitled letter, Form FDA-483, notice of inspectional observations, or other written correspondence from any Governmental Authority asserting noncompliance with any Healthcare Laws, or (B) been the subject of any Litigation commenced by or on behalf of a Governmental Authority, including the FDA, the DEA, the U.S. Department of Justice (the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the United States Department of Health and Human Services Office of the Inspector General (“</w:t>
      </w:r>
      <w:r>
        <w:rPr>
          <w:rFonts w:ascii="Times New Roman" w:cs="Times New Roman" w:eastAsia="Times New Roman" w:hAnsi="Times New Roman"/>
          <w:sz w:val="18"/>
          <w:szCs w:val="18"/>
          <w:b w:val="1"/>
          <w:bCs w:val="1"/>
          <w:color w:val="auto"/>
        </w:rPr>
        <w:t>OIG</w:t>
      </w:r>
      <w:r>
        <w:rPr>
          <w:rFonts w:ascii="Times New Roman" w:cs="Times New Roman" w:eastAsia="Times New Roman" w:hAnsi="Times New Roman"/>
          <w:sz w:val="18"/>
          <w:szCs w:val="18"/>
          <w:color w:val="auto"/>
        </w:rPr>
        <w:t>”), or any similar foreign Governmental Authority; (iii) no Seller has become, continued to be a party to, or been required to enter into any corporate integrity agreement, deferred prosecution agreement, non-prosecution agreement, monitoring agreement, consent decree, settlement Order, certification of compliance agreement, or other similar written agreement, in each case, with or imposed by any Governmental Authority under applicable Healthcare Laws, including the FDA, the U.S. Drug Enforcement Administration (the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DOJ, the OIG, CMS, or any similar foreign Governmental Authority; (iv) no Seller is authorized to bill, nor has any Seller directly claimed or received reimbursement from, any Governmental Program or from any other Third-Party Payor Program for services reimbursable under such programs; and (v) no Seller has submitted, or caused the submission of, any false or fraudulent claim to any third party in violation of any Healthcare Law, or has retained the proceeds of any such false claim, or has received any notice from any third party for any such violation or any allegation of a billing or coding mistake, overpayment, false claim, or fraud relating to the services of Sellers.</w:t>
      </w:r>
    </w:p>
    <w:p>
      <w:pPr>
        <w:spacing w:after="0" w:line="20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(d)            Since the Look-Back Date, (i) the Research, Manufacture, Exploitation and Commercialization of the Products is being conducted, and at all times has been conducted in material compliance with the terms of all applicable Regulatory Approvals and Healthcare Laws, (ii) the Research and Manufacture of the Products, including any components thereof and any clinical supplies used in any clinical trials, by or on behalf of any Seller has been conducted in compliance in all material respects with the applicable specifications and requirements of Good Manufacturing Practices, and</w:t>
      </w:r>
    </w:p>
    <w:p>
      <w:pPr>
        <w:spacing w:after="0" w:line="3" w:lineRule="exact"/>
        <w:rPr>
          <w:sz w:val="20"/>
          <w:szCs w:val="20"/>
          <w:color w:val="auto"/>
        </w:rPr>
      </w:pPr>
    </w:p>
    <w:p>
      <w:pPr>
        <w:jc w:val="both"/>
        <w:ind w:firstLine="8"/>
        <w:spacing w:after="0" w:line="251" w:lineRule="auto"/>
        <w:tabs>
          <w:tab w:leader="none" w:pos="3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of the Products has been conducted in compliance in all material respects with applicable research protocols, Good Laboratory Practices, Good Clinical Practices, and Laws governing the protection of human subjects or governing the privacy of patient medical records and other personal information and data. No clinical trial conducted or proposed to be conducted by or, on behalf of, any Seller has been placed on clinical hold (including a partial clinical hold) or terminated or suspended by any Governmental Authority. Each Seller has obtained and maintained all material Institutional Review Board, ethics committee or other required approvals of clinical trials and other research studies conducted, supervised or monitored by any Seller with respect to the Products to the extent required by Healthcare Laws or any Contracts and no such approval has been suspended or terminated due to acts or omissions of any Seller, and each Seller has operated in all material respects in accordance with the requirements of, and any limitations imposed by, any such approving body. None of Sellers or any Third Party has received any written notifications or other communications from any Governmental Authority, institutional review board, ethics committee or safety monitoring committee (i) raising any material issues with respect to any ongoing clinical or pre-clinical studies or trials; (ii) threatening, recommending, or requiring the initiation of any action to place a clinical hold, termination, suspension, delay, or material modification order on any such studies or trials, based in whole or in part on any Seller’s acts or omissions; or (iii) claiming that the data from any clinical trial with respect to the Products will not be accepted by the FDA or similar regulatory authorities as a result of any action or failure to act on the part of any Seller, in each case, with respect to a Product. Each Seller has instituted and maintained policies and procedures reasonably designed to ensure the integrity of data generated in Manufacturing the Products and to encourage employees to report any compliance issues related thereto, and Sellers have made available to Buyer copies or written summaries of any such reports.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(e)            Since the Look-Back Date, no Product has (i) been adulterated, misbranded, or prohibited from introduction into interstate commerce under applicable Healthcare Laws, or (ii) been subject to any recall, field notification, market withdrawal or replacement, safety alert, warning, “dear doctor” letter, investigator notice, serious adverse event report, import alert, hold or refusal, or other notice of action relating to an efficacy or safety concern or alleged lack of regulatory compliance and, in each case (i) and (ii), there are no facts or circumstances that would be reasonably likely to result in such action or otherwise require a change in the labeling or the termination or suspension of the Research, Manufacturing, Exploitation or Commercialization of the Products.</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(f)            The Finished Goods Inventory conforms to the applicable specifications therefor, was Manufactured in accordance with Good Manufacturing Practices and other applicable Healthcare Laws, and has appropriate serialization within the meaning of the FDCA or any equivalent Healthcare Law. All Finished Goods Inventory was Manufactured in facilities approved by the FDA, and no Finished Goods Inventory was Manufactured at any facility not so approved. </w:t>
      </w:r>
      <w:r>
        <w:rPr>
          <w:rFonts w:ascii="Times New Roman" w:cs="Times New Roman" w:eastAsia="Times New Roman" w:hAnsi="Times New Roman"/>
          <w:sz w:val="18"/>
          <w:szCs w:val="18"/>
          <w:u w:val="single" w:color="auto"/>
          <w:color w:val="auto"/>
        </w:rPr>
        <w:t>Section 3.1.12(f)</w:t>
      </w:r>
      <w:r>
        <w:rPr>
          <w:rFonts w:ascii="Times New Roman" w:cs="Times New Roman" w:eastAsia="Times New Roman" w:hAnsi="Times New Roman"/>
          <w:sz w:val="18"/>
          <w:szCs w:val="18"/>
          <w:color w:val="auto"/>
        </w:rPr>
        <w:t xml:space="preserve"> of the Seller Disclosure Schedules sets forth the accurate expiry date of each batch of Product included in the Finished Goods Inventory.</w:t>
      </w:r>
    </w:p>
    <w:p>
      <w:pPr>
        <w:spacing w:after="0" w:line="183"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(g)            Each Seller is, and since the Look-Back Date has been, in compliance with all applicable Healthcare Laws relating to product pricing and attribute reporting, price reporting, discounts, and rebates. Sellers have timely submitted all required pricing and other product-related submissions and other material filings pertaining to government pricing and price reporting, including any updates, changes, corrections, amendments, restatements, supplements, or modifications to such filings, and any 340B refunds to covered entities, as required by Governmental Authorities or required pursuant to Healthcare Laws, and such filings have been complete and accurate. No Seller as of the date hereof has filed any restatements or issued any refunds under any Governmental Program pursuant to applicable Healthcare Laws relating to product pricing and attribute reporting, price reporting, discounts, and rebates.</w:t>
      </w:r>
    </w:p>
    <w:p>
      <w:pPr>
        <w:spacing w:after="0" w:line="189" w:lineRule="exact"/>
        <w:rPr>
          <w:sz w:val="20"/>
          <w:szCs w:val="20"/>
          <w:color w:val="auto"/>
        </w:rPr>
      </w:pPr>
    </w:p>
    <w:p>
      <w:pPr>
        <w:jc w:val="both"/>
        <w:ind w:firstLine="1944"/>
        <w:spacing w:after="0" w:line="272" w:lineRule="auto"/>
        <w:rPr>
          <w:sz w:val="20"/>
          <w:szCs w:val="20"/>
          <w:color w:val="auto"/>
        </w:rPr>
      </w:pPr>
      <w:r>
        <w:rPr>
          <w:rFonts w:ascii="Times New Roman" w:cs="Times New Roman" w:eastAsia="Times New Roman" w:hAnsi="Times New Roman"/>
          <w:sz w:val="17"/>
          <w:szCs w:val="17"/>
          <w:color w:val="auto"/>
        </w:rPr>
        <w:t>(h)            No Seller nor any of their respective officers, employees, or agents have offered or paid any remuneration (including any kickback, bribe, rebate, payoff, influence payment or inducement) directly or indirectly, overtly or covertly, in cash or in kind, to any Person to induce such Person (i) to refer an individual to a Person for the furnishing or arranging for the furnishing of any item or service in violation of any Healthcare Law or</w:t>
      </w:r>
    </w:p>
    <w:p>
      <w:pPr>
        <w:spacing w:after="0" w:line="2" w:lineRule="exact"/>
        <w:rPr>
          <w:sz w:val="20"/>
          <w:szCs w:val="20"/>
          <w:color w:val="auto"/>
        </w:rPr>
      </w:pPr>
    </w:p>
    <w:p>
      <w:pPr>
        <w:ind w:firstLine="8"/>
        <w:spacing w:after="0" w:line="260" w:lineRule="auto"/>
        <w:tabs>
          <w:tab w:leader="none" w:pos="28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lease, order, arrange for, or recommend purchasing, leasing, ordering any good, facility, service, or item in violation of any Healthcare Law.</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             No Seller nor any of its officers or employees, or any of its Representatives or third party contract manufacturers or contract research organizations (in each case, acting in the capacity of a Representative or agent of Seller) has engaged in any conduct that is not compliant in any material respect with applicable Healthcare Laws relating to the integrity of data generated or used in any clinical trials or other studies related to the Products and there have been no allegations of, or investigations into, research misconduct (i.e., falsification or fabrication of data or plagiarism) or violations of any human subjects protections requirements with respect to any nonclinical studies, tests, clinical trials, or pharmacovigilance activities conducted by or on behalf of any Seller.</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(j)             To the extent required, Sellers (i) hold, and have held for all periods in which required, valid Medicaid Drug Rebate Program National Drug Rebate Agreements, 340B Pharmaceutical Pricing Agreements, VA and Federal Supply Schedule Master Agreements and Pharmaceutical Pricing Agreements, and the TRICARE Retail Refund Pricing Agreement and (ii) are, and have been since the Look-Back Date, as applicable, in compliance with all such agreements, including, without limitation, provisions in such agreements pertaining to the timely and accurate submission of pricing data to Governmental Authorities.</w:t>
      </w:r>
    </w:p>
    <w:p>
      <w:pPr>
        <w:spacing w:after="0" w:line="183"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(k)            Since the Look-Back Date, any patient or product support activities, such as, but not limited to, free drug programs, co-pay assistance, and access and insurance reimbursement support, developed or maintained by each Seller are in compliance with Healthcare Laws.</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(l)             No Seller (i) acts as a “Covered Entity” or “Business Associate” as those terms are defined under HIPAA, (ii) receives access to or otherwise accesses “protected health information” (as defined under HIPAA) or other patient identifying information, except to the extent any Seller is relying on a HIPAA Authorization (as defined under 45 C.F.R. § 164.508) with respect to certain “protected health information,” in which case such HIPAA Authorization is valid, in compliance with all HIPAA requirements and in effect, and the Seller’s use or disclosure of such protected health information is consistent with such HIPAA Authorization.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3.1.13    </w:t>
      </w:r>
      <w:r>
        <w:rPr>
          <w:rFonts w:ascii="Times New Roman" w:cs="Times New Roman" w:eastAsia="Times New Roman" w:hAnsi="Times New Roman"/>
          <w:sz w:val="18"/>
          <w:szCs w:val="18"/>
          <w:u w:val="single" w:color="auto"/>
          <w:color w:val="auto"/>
        </w:rPr>
        <w:t>  Purchased Contracts</w:t>
      </w:r>
      <w:r>
        <w:rPr>
          <w:rFonts w:ascii="Times New Roman" w:cs="Times New Roman" w:eastAsia="Times New Roman" w:hAnsi="Times New Roman"/>
          <w:sz w:val="18"/>
          <w:szCs w:val="18"/>
          <w:color w:val="auto"/>
        </w:rPr>
        <w:t xml:space="preserve">. Each Purchased Contract listed or described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of the Seller Disclosure Schedules is in full force and effect and is a valid and binding obligation of Sellers and the other parties thereto, in accordance with its terms and conditions, in each case except as set forth on </w:t>
      </w:r>
      <w:r>
        <w:rPr>
          <w:rFonts w:ascii="Times New Roman" w:cs="Times New Roman" w:eastAsia="Times New Roman" w:hAnsi="Times New Roman"/>
          <w:sz w:val="18"/>
          <w:szCs w:val="18"/>
          <w:u w:val="single" w:color="auto"/>
          <w:color w:val="auto"/>
        </w:rPr>
        <w:t>Section 3.1.13</w:t>
      </w:r>
      <w:r>
        <w:rPr>
          <w:rFonts w:ascii="Times New Roman" w:cs="Times New Roman" w:eastAsia="Times New Roman" w:hAnsi="Times New Roman"/>
          <w:sz w:val="18"/>
          <w:szCs w:val="18"/>
          <w:color w:val="auto"/>
        </w:rPr>
        <w:t xml:space="preserve"> of the Seller Disclosure Schedules. Sellers have made available to Buyer correct and complete copies of all Purchased Contracts in effect as of the date hereof. Except for those arising out of the Chapter 11 Cases, as set forth on </w:t>
      </w:r>
      <w:r>
        <w:rPr>
          <w:rFonts w:ascii="Times New Roman" w:cs="Times New Roman" w:eastAsia="Times New Roman" w:hAnsi="Times New Roman"/>
          <w:sz w:val="18"/>
          <w:szCs w:val="18"/>
          <w:u w:val="single" w:color="auto"/>
          <w:color w:val="auto"/>
        </w:rPr>
        <w:t>Section 3.1.13</w:t>
      </w:r>
      <w:r>
        <w:rPr>
          <w:rFonts w:ascii="Times New Roman" w:cs="Times New Roman" w:eastAsia="Times New Roman" w:hAnsi="Times New Roman"/>
          <w:sz w:val="18"/>
          <w:szCs w:val="18"/>
          <w:color w:val="auto"/>
        </w:rPr>
        <w:t xml:space="preserve"> of the Seller Disclosure Schedules and payment of the Cure Costs (i) no Seller is in material breach or default of its obligations under any Purchased Contract, (ii) no condition exists that with notice or lapse of time or both would constitute a material default by any Seller under any such Purchased Contract, and (iii) no other party to any such Purchased Contract is in material breach or default thereunder. No Purchased Contract has been cancelled or otherwise terminated (except for expirations pursuant to the terms thereof), and no Seller has received any written or oral notice from any Person regarding any cancellation of, termination of, material amendment to, or intention not to renew any Purchased Contract. Except as set forth on </w:t>
      </w:r>
      <w:r>
        <w:rPr>
          <w:rFonts w:ascii="Times New Roman" w:cs="Times New Roman" w:eastAsia="Times New Roman" w:hAnsi="Times New Roman"/>
          <w:sz w:val="18"/>
          <w:szCs w:val="18"/>
          <w:u w:val="single" w:color="auto"/>
          <w:color w:val="auto"/>
        </w:rPr>
        <w:t>Section 3.1.13</w:t>
      </w:r>
      <w:r>
        <w:rPr>
          <w:rFonts w:ascii="Times New Roman" w:cs="Times New Roman" w:eastAsia="Times New Roman" w:hAnsi="Times New Roman"/>
          <w:sz w:val="18"/>
          <w:szCs w:val="18"/>
          <w:color w:val="auto"/>
        </w:rPr>
        <w:t xml:space="preserve"> of the Seller Disclosure Schedules,</w:t>
      </w:r>
    </w:p>
    <w:p>
      <w:pPr>
        <w:spacing w:after="0" w:line="6" w:lineRule="exact"/>
        <w:rPr>
          <w:sz w:val="20"/>
          <w:szCs w:val="20"/>
          <w:color w:val="auto"/>
        </w:rPr>
      </w:pPr>
    </w:p>
    <w:p>
      <w:pPr>
        <w:ind w:firstLine="8"/>
        <w:spacing w:after="0" w:line="260" w:lineRule="auto"/>
        <w:tabs>
          <w:tab w:leader="none" w:pos="2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has subleased, licensed or otherwise granted to any third Person (unaffiliated with Sellers) the right to use or occupy any leased real property or any portion thereof and (y) no Seller has collaterally assigned or granted any other security interest in any leased real property or any interest therein.</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3.1.14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(i) The audited consolidated balance sheet and statement of operations of the Company as of and for the fiscal year ended December 31, 2025, and (ii) (A) the unaudited consolidated balance sheet of the Company as of June 30, 2026 and (B) the unaudited consolidated statement of operations of the Company for the twelve (12) month period ended June 30, 2026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 complied as to form in all material respects with the published rules and regulations of the SEC applicable thereto; (y) have been prepared in conformity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(except as disclosed in the notes thereto and except that the unaudited Financial Statements are subject to normal year-end audit adjustments) applied on a consistent basis throughout the periods covered except as otherwise noted therein; and (z) fairly present in all material respects the financial condition of the Company and its Subsidiaries as of the dates indicated therein and the operating results of the Company and its Subsidiaries for the periods indicated therein, subject to normal year-end audit adjustments in the case of the unaudited Financial Statements. No financial statements of any other Person are required by GAAP to be included in the Financial Statements. </w:t>
      </w:r>
      <w:r>
        <w:rPr>
          <w:rFonts w:ascii="Times New Roman" w:cs="Times New Roman" w:eastAsia="Times New Roman" w:hAnsi="Times New Roman"/>
          <w:sz w:val="18"/>
          <w:szCs w:val="18"/>
          <w:u w:val="single" w:color="auto"/>
          <w:color w:val="auto"/>
        </w:rPr>
        <w:t>Section 3.1.14</w:t>
      </w:r>
      <w:r>
        <w:rPr>
          <w:rFonts w:ascii="Times New Roman" w:cs="Times New Roman" w:eastAsia="Times New Roman" w:hAnsi="Times New Roman"/>
          <w:sz w:val="18"/>
          <w:szCs w:val="18"/>
          <w:color w:val="auto"/>
        </w:rPr>
        <w:t xml:space="preserve"> of the Seller Disclosure Schedules sets forth the Financial Statements.</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3.1.15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The Purchased Product Records have been maintained in accordance with all applicable Laws in all material respects, and such Purchased Product Records are complete and accurate in all material respects. True and correct copies of all material Purchased Product Records have been made available to Buyer.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3.1.16    </w:t>
      </w:r>
      <w:r>
        <w:rPr>
          <w:rFonts w:ascii="Times New Roman" w:cs="Times New Roman" w:eastAsia="Times New Roman" w:hAnsi="Times New Roman"/>
          <w:sz w:val="18"/>
          <w:szCs w:val="18"/>
          <w:u w:val="single" w:color="auto"/>
          <w:color w:val="auto"/>
        </w:rPr>
        <w:t>  Sanctions and Export Controls</w:t>
      </w:r>
      <w:r>
        <w:rPr>
          <w:rFonts w:ascii="Times New Roman" w:cs="Times New Roman" w:eastAsia="Times New Roman" w:hAnsi="Times New Roman"/>
          <w:sz w:val="18"/>
          <w:szCs w:val="18"/>
          <w:color w:val="auto"/>
        </w:rPr>
        <w:t xml:space="preserve">. None of Sellers nor, to the Knowledge of Sellers, any of their respective directors, officers, employees, is or since the Look-Back Date has been a Sanctioned Person. Except as set forth in </w:t>
      </w:r>
      <w:r>
        <w:rPr>
          <w:rFonts w:ascii="Times New Roman" w:cs="Times New Roman" w:eastAsia="Times New Roman" w:hAnsi="Times New Roman"/>
          <w:sz w:val="18"/>
          <w:szCs w:val="18"/>
          <w:u w:val="single" w:color="auto"/>
          <w:color w:val="auto"/>
        </w:rPr>
        <w:t>Section 3.1.16</w:t>
      </w:r>
      <w:r>
        <w:rPr>
          <w:rFonts w:ascii="Times New Roman" w:cs="Times New Roman" w:eastAsia="Times New Roman" w:hAnsi="Times New Roman"/>
          <w:sz w:val="18"/>
          <w:szCs w:val="18"/>
          <w:color w:val="auto"/>
        </w:rPr>
        <w:t xml:space="preserve"> of the Seller Disclosure Schedules, the Business is currently, and since the Look-Back Date has been, conducted in compliance, in all material respects, with all applicable Sanctions and Export Control Laws. Except as set forth in </w:t>
      </w:r>
      <w:r>
        <w:rPr>
          <w:rFonts w:ascii="Times New Roman" w:cs="Times New Roman" w:eastAsia="Times New Roman" w:hAnsi="Times New Roman"/>
          <w:sz w:val="18"/>
          <w:szCs w:val="18"/>
          <w:u w:val="single" w:color="auto"/>
          <w:color w:val="auto"/>
        </w:rPr>
        <w:t>Section 3.1.16</w:t>
      </w:r>
      <w:r>
        <w:rPr>
          <w:rFonts w:ascii="Times New Roman" w:cs="Times New Roman" w:eastAsia="Times New Roman" w:hAnsi="Times New Roman"/>
          <w:sz w:val="18"/>
          <w:szCs w:val="18"/>
          <w:color w:val="auto"/>
        </w:rPr>
        <w:t xml:space="preserve"> of the Seller Disclosure Schedules, there are no pending or threatened actions or investigations related to violations of Sanctions or Export Control Laws.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3.1.17    </w:t>
      </w:r>
      <w:r>
        <w:rPr>
          <w:rFonts w:ascii="Times New Roman" w:cs="Times New Roman" w:eastAsia="Times New Roman" w:hAnsi="Times New Roman"/>
          <w:sz w:val="18"/>
          <w:szCs w:val="18"/>
          <w:u w:val="single" w:color="auto"/>
          <w:color w:val="auto"/>
        </w:rPr>
        <w:t>  Foreign Corrupt Practices Act</w:t>
      </w:r>
      <w:r>
        <w:rPr>
          <w:rFonts w:ascii="Times New Roman" w:cs="Times New Roman" w:eastAsia="Times New Roman" w:hAnsi="Times New Roman"/>
          <w:sz w:val="18"/>
          <w:szCs w:val="18"/>
          <w:color w:val="auto"/>
        </w:rPr>
        <w:t>. Sellers are currently, and since the Look-Back Date have been, in material compliance with all applicable anti-bribery and anti-corruption Laws (the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including the Foreign Corrupt Practices Act of 1977, as amended. Sellers currently maintain, and since the Look-Back Date have maintained, policies and procedures reasonably designed to ensure compliance by Sellers with, and to prevent breaches by Sellers of, the Anti-Corruption Laws. None of Sellers nor, to the Knowledge of Sellers, any of their respective directors, officers, employees, has directly or indirectly, made, offered, agreed, requested or taken an act in furtherance of any unlawful bribe, rebate, payoff, influence payment, kickback or other unlawful payment or benefit in violation of any Anti-Corruption Laws in connection with the Business.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8"/>
          <w:szCs w:val="18"/>
          <w:color w:val="auto"/>
        </w:rPr>
        <w:t>3.1.18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            The Business is, and since the Look-Back Date has been, conducted in compliance in all material respects with all Environmental Laws, which compliance has included obtaining, maintaining and complying in all material respects with all Permits required under Environmental Law.</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No Seller has received any written notice, and no Claim is pending or, to the Knowledge of the Sellers, threatened, in each case, alleging any material violation of, or material Liability under, Environmental Laws.</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(c)            No Seller (nor, to the Knowledge of the Sellers, any other Person to the extent giving rise to Liability for any Seller) has treated, stored, disposed of, arranged for or permitted disposal of, transported, handled, manufactured, distributed, released, exposed any Person to, or owned or operated any property or facility contaminated by, any Hazardous Materials, in each case, so as to give rise to any material Liability of any Seller under Environmental Law.</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(d)            Sellers have furnished to Buyer all material environmental audits, reports, assessments and other material environmental, health and safety documents relating to the current properties, facilities or operations of the Business or the Purchased Assets, in each case, that are in their possession or under their reasonable control.</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3.1.19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(a)            (i) All income and other material Tax Returns required to be filed with respect to any Purchased Assets and the Business, have been filed (taking into account extensions) and all such Tax Returns are true, correct and complete in all material respects, and (ii) all income and other material Taxes required to be paid or due and payable with respect to the Purchased Assets and the Business have been timely paid, whether or not shown on any Tax Return;</w:t>
      </w:r>
    </w:p>
    <w:p>
      <w:pPr>
        <w:spacing w:after="0" w:line="18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(b)            (i) No Tax proceeding for unpaid income or other material Taxes with respect to any Purchased Asset or the Business is ongoing, pending or being proposed or threatened in writing by a Governmental Authority, (ii) no assessment, deficiency or adjustment with respect to such Taxes has been asserted, or proposed or threatened in writing, other than any assessment, deficiency or adjustment which has been fully satisfied by payment, settled or withdrawn, and (iii) in the past three (3) years, no written claim has been made by a Governmental Authority in a jurisdiction in which Sellers do not file Tax Returns or pay Taxes with respect to any Purchased Asset or the Business that any Seller is or may be required to file a Tax Return or pay Taxes in that jurisdiction with respect to any Purchased Asset or the Business;</w:t>
      </w:r>
    </w:p>
    <w:p>
      <w:pPr>
        <w:spacing w:after="0" w:line="18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(c)            None of the Purchased Assets constitute equity interests (for U.S. federal income tax purposes) in any Person. No Seller is, or has ever been, a party to, or bound by, or has, or has ever had, any obligation under, any tax sharing agreement, tax allocation agreement, or similar contract or arrangement that would, in any manner, bind, obligate, or restrict Buyer after the Closing, other than agreements entered into in the Ordinary Course of Business the primary purpose of which was not Taxes;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(d)            No Seller has waived any statute of limitations in respect of Taxes with respect to the Business or the Purchased Assets or agreed to any extension of time with respect to an assessment or deficiency for Taxes relating to the Business or the Purchased Assets (in each case, other than pursuant to extensions of time to file Tax Returns obtained in the Ordinary Course or in response to a request by a Governmental Authority in connection with an audit or similar proceeding set forth in </w:t>
      </w:r>
      <w:r>
        <w:rPr>
          <w:rFonts w:ascii="Times New Roman" w:cs="Times New Roman" w:eastAsia="Times New Roman" w:hAnsi="Times New Roman"/>
          <w:sz w:val="18"/>
          <w:szCs w:val="18"/>
          <w:u w:val="single" w:color="auto"/>
          <w:color w:val="auto"/>
        </w:rPr>
        <w:t>Section 3.1.19(d)</w:t>
      </w:r>
      <w:r>
        <w:rPr>
          <w:rFonts w:ascii="Times New Roman" w:cs="Times New Roman" w:eastAsia="Times New Roman" w:hAnsi="Times New Roman"/>
          <w:sz w:val="18"/>
          <w:szCs w:val="18"/>
          <w:color w:val="auto"/>
        </w:rPr>
        <w:t xml:space="preserve"> of the Seller Disclosure Schedules), in each case, which waiver or extension is currently in force and would have effect after the Closing Date;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            There are no Encumbrances with respect to Taxes upon any of the Purchased Assets other than for Taxes not yet due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(f)             In respect to the Business or the Purchased Assets, no Seller has granted to any Person any currently effective power of attorney with respect to any Tax matter relating to any Purchased Asset that will remain in effect and bind Buyer after the Closing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3.1.20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3.1.20(a)</w:t>
      </w:r>
      <w:r>
        <w:rPr>
          <w:rFonts w:ascii="Times New Roman" w:cs="Times New Roman" w:eastAsia="Times New Roman" w:hAnsi="Times New Roman"/>
          <w:sz w:val="18"/>
          <w:szCs w:val="18"/>
          <w:color w:val="auto"/>
        </w:rPr>
        <w:t xml:space="preserve"> of the Seller Disclosure Schedules contains a complete and correct list, as of the date of this Agreement, of each Contract described below in this </w:t>
      </w:r>
      <w:r>
        <w:rPr>
          <w:rFonts w:ascii="Times New Roman" w:cs="Times New Roman" w:eastAsia="Times New Roman" w:hAnsi="Times New Roman"/>
          <w:sz w:val="18"/>
          <w:szCs w:val="18"/>
          <w:u w:val="single" w:color="auto"/>
          <w:color w:val="auto"/>
        </w:rPr>
        <w:t>Section 3.1.20(a)</w:t>
      </w:r>
      <w:r>
        <w:rPr>
          <w:rFonts w:ascii="Times New Roman" w:cs="Times New Roman" w:eastAsia="Times New Roman" w:hAnsi="Times New Roman"/>
          <w:sz w:val="18"/>
          <w:szCs w:val="18"/>
          <w:color w:val="auto"/>
        </w:rPr>
        <w:t xml:space="preserve"> under which any Seller is a party and to which any Seller has any current or future rights, responsibilities, obligations or liabilities in connection with the Business or the Products, other than (A) any stand-alone purchase order not made pursuant to a separate Contract (as long as such purchase order does not impose future obligations on Sellers outside of the Ordinary Course for purchase orders of such products), (B) any Plan or confidentiality agreements to which any Seller is a party and (C) any Excluded Contracts (all Contracts of the type described in this </w:t>
      </w:r>
      <w:r>
        <w:rPr>
          <w:rFonts w:ascii="Times New Roman" w:cs="Times New Roman" w:eastAsia="Times New Roman" w:hAnsi="Times New Roman"/>
          <w:sz w:val="18"/>
          <w:szCs w:val="18"/>
          <w:u w:val="single" w:color="auto"/>
          <w:color w:val="auto"/>
        </w:rPr>
        <w:t>Section 3.1.20(a)</w:t>
      </w:r>
      <w:r>
        <w:rPr>
          <w:rFonts w:ascii="Times New Roman" w:cs="Times New Roman" w:eastAsia="Times New Roman" w:hAnsi="Times New Roman"/>
          <w:sz w:val="18"/>
          <w:szCs w:val="18"/>
          <w:color w:val="auto"/>
        </w:rPr>
        <w:t>, being referred to herein as the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2592"/>
        <w:spacing w:after="0" w:line="282" w:lineRule="auto"/>
        <w:rPr>
          <w:sz w:val="20"/>
          <w:szCs w:val="20"/>
          <w:color w:val="auto"/>
        </w:rPr>
      </w:pPr>
      <w:r>
        <w:rPr>
          <w:rFonts w:ascii="Times New Roman" w:cs="Times New Roman" w:eastAsia="Times New Roman" w:hAnsi="Times New Roman"/>
          <w:sz w:val="18"/>
          <w:szCs w:val="18"/>
          <w:color w:val="auto"/>
        </w:rPr>
        <w:t>(i)            is or would be required to be filed as an exhibit to the Company’s Annual Report on Form 10-K pursuant to Item 601(b)(10) of Regulation S-K under the Securities Act;</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           with a Top Customer;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(iii)            with a Top Supplier;</w:t>
      </w:r>
    </w:p>
    <w:p>
      <w:pPr>
        <w:spacing w:after="0" w:line="225" w:lineRule="exact"/>
        <w:rPr>
          <w:sz w:val="20"/>
          <w:szCs w:val="20"/>
          <w:color w:val="auto"/>
        </w:rPr>
      </w:pPr>
    </w:p>
    <w:p>
      <w:pPr>
        <w:jc w:val="both"/>
        <w:ind w:right="20" w:firstLine="2592"/>
        <w:spacing w:after="0" w:line="282" w:lineRule="auto"/>
        <w:rPr>
          <w:sz w:val="20"/>
          <w:szCs w:val="20"/>
          <w:color w:val="auto"/>
        </w:rPr>
      </w:pPr>
      <w:r>
        <w:rPr>
          <w:rFonts w:ascii="Times New Roman" w:cs="Times New Roman" w:eastAsia="Times New Roman" w:hAnsi="Times New Roman"/>
          <w:sz w:val="18"/>
          <w:szCs w:val="18"/>
          <w:color w:val="auto"/>
        </w:rPr>
        <w:t>(iv)          is a Contract with (i) a manufacturer, contract manufacturer, or supplier of products or materials used in the Manufacturer of Products; or (ii) a distributor, wholesaler, group purchasing agreement, or third-party logistics provider;</w:t>
      </w:r>
    </w:p>
    <w:p>
      <w:pPr>
        <w:spacing w:after="0" w:line="162"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 xml:space="preserve">(v)           requires expenditures by any Seller or payments to be received by any Seller in excess of $100,000 (or $50,000 solely for the purposes of </w:t>
      </w:r>
      <w:r>
        <w:rPr>
          <w:rFonts w:ascii="Times New Roman" w:cs="Times New Roman" w:eastAsia="Times New Roman" w:hAnsi="Times New Roman"/>
          <w:sz w:val="18"/>
          <w:szCs w:val="18"/>
          <w:u w:val="single" w:color="auto"/>
          <w:color w:val="auto"/>
        </w:rPr>
        <w:t>Section 4.2.1(d)</w:t>
      </w:r>
      <w:r>
        <w:rPr>
          <w:rFonts w:ascii="Times New Roman" w:cs="Times New Roman" w:eastAsia="Times New Roman" w:hAnsi="Times New Roman"/>
          <w:sz w:val="18"/>
          <w:szCs w:val="18"/>
          <w:color w:val="auto"/>
        </w:rPr>
        <w:t>) in the previous twelve (12) month period and/or in the next twelve (12) month period, in each case, as measured from the date hereof;</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(vi)          provides for the incurrence by any Seller of any indebtedness for borrowed money or any capitalized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(vii)         provides for the acquisition or disposition outside the Ordinary Course of any material assets or any material business, or any capital stock or equity interests of any Person (whether by merger, sale or purchase of stock, sale or purchase of assets or otherwise) entered into in the past two (2) years from the date hereof;</w:t>
      </w:r>
    </w:p>
    <w:p>
      <w:pPr>
        <w:spacing w:after="0" w:line="176" w:lineRule="exact"/>
        <w:rPr>
          <w:sz w:val="20"/>
          <w:szCs w:val="20"/>
          <w:color w:val="auto"/>
        </w:rPr>
      </w:pPr>
    </w:p>
    <w:p>
      <w:pPr>
        <w:jc w:val="both"/>
        <w:ind w:firstLine="2592"/>
        <w:spacing w:after="0" w:line="270" w:lineRule="auto"/>
        <w:rPr>
          <w:sz w:val="20"/>
          <w:szCs w:val="20"/>
          <w:color w:val="auto"/>
        </w:rPr>
      </w:pPr>
      <w:r>
        <w:rPr>
          <w:rFonts w:ascii="Times New Roman" w:cs="Times New Roman" w:eastAsia="Times New Roman" w:hAnsi="Times New Roman"/>
          <w:sz w:val="17"/>
          <w:szCs w:val="17"/>
          <w:color w:val="auto"/>
        </w:rPr>
        <w:t xml:space="preserve">(viii)        (A) limits or purports to limit, in any material respect, the freedom of the Business to engage or compete in any line of business or with any Person or in any geographic area or line of business, (B) contains exclusivity or “most favored nation” obligations to which the Business is subject in favor of any Person or (C) contains any other provisions restricting or purporting to restrict the ability of the Business to Research, Manufacture, Commercialize or otherwise Exploit the Products, including directly or indirectly through third parties (in the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other than any such restriction or purported restrictions that do not have, and would not reasonably be anticipated to have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effect on the Business);</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(ix)           is an Inbound License or Outbound License;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            is a Collective Bargaining Agreement;</w:t>
      </w:r>
    </w:p>
    <w:p>
      <w:pPr>
        <w:spacing w:after="0" w:line="225"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(xi)           provides for any settlement, conciliation or stipulation of any Litigation against any Seller by any other Person, other than settlements of penalties in the Ordinary Course pursuant to a manufacturing agreement, distribution agreement or other Ordinary Course agreement for the Products;</w:t>
      </w:r>
    </w:p>
    <w:p>
      <w:pPr>
        <w:spacing w:after="0" w:line="176" w:lineRule="exact"/>
        <w:rPr>
          <w:sz w:val="20"/>
          <w:szCs w:val="20"/>
          <w:color w:val="auto"/>
        </w:rPr>
      </w:pPr>
    </w:p>
    <w:p>
      <w:pPr>
        <w:jc w:val="both"/>
        <w:ind w:firstLine="2592"/>
        <w:spacing w:after="0" w:line="282" w:lineRule="auto"/>
        <w:rPr>
          <w:sz w:val="20"/>
          <w:szCs w:val="20"/>
          <w:color w:val="auto"/>
        </w:rPr>
      </w:pPr>
      <w:r>
        <w:rPr>
          <w:rFonts w:ascii="Times New Roman" w:cs="Times New Roman" w:eastAsia="Times New Roman" w:hAnsi="Times New Roman"/>
          <w:sz w:val="18"/>
          <w:szCs w:val="18"/>
          <w:color w:val="auto"/>
        </w:rPr>
        <w:t>(xii)          is a Contract for the joint research, development or commercialization of any product, technology or other Intellectual Property, including, as applicable, joint ventures, collaborations, partnerships, strategic alliances and similar arrangements with respect thereto;</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(xiii)         is a Contract pursuant to which any Seller has material unfulfilled obligations or interests involving</w:t>
      </w:r>
    </w:p>
    <w:p>
      <w:pPr>
        <w:spacing w:after="0" w:line="27" w:lineRule="exact"/>
        <w:rPr>
          <w:sz w:val="20"/>
          <w:szCs w:val="20"/>
          <w:color w:val="auto"/>
        </w:rPr>
      </w:pPr>
    </w:p>
    <w:p>
      <w:pPr>
        <w:ind w:firstLine="8"/>
        <w:spacing w:after="0" w:line="260" w:lineRule="auto"/>
        <w:tabs>
          <w:tab w:leader="none" w:pos="3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milestone or other similar contingent payments, including upon the achievement of research, development, regulatory or commercial milestones or (B) payment of royalties or other amounts calculated based upon any sales, revenues or income of any Seller or the Products; and</w:t>
      </w:r>
    </w:p>
    <w:p>
      <w:pPr>
        <w:spacing w:after="0" w:line="181" w:lineRule="exact"/>
        <w:rPr>
          <w:sz w:val="20"/>
          <w:szCs w:val="20"/>
          <w:color w:val="auto"/>
        </w:rPr>
      </w:pPr>
    </w:p>
    <w:p>
      <w:pPr>
        <w:jc w:val="both"/>
        <w:ind w:right="20" w:firstLine="2592"/>
        <w:spacing w:after="0" w:line="282" w:lineRule="auto"/>
        <w:rPr>
          <w:sz w:val="20"/>
          <w:szCs w:val="20"/>
          <w:color w:val="auto"/>
        </w:rPr>
      </w:pPr>
      <w:r>
        <w:rPr>
          <w:rFonts w:ascii="Times New Roman" w:cs="Times New Roman" w:eastAsia="Times New Roman" w:hAnsi="Times New Roman"/>
          <w:sz w:val="18"/>
          <w:szCs w:val="18"/>
          <w:color w:val="auto"/>
        </w:rPr>
        <w:t>(xiv)        is a Contract with any (i) Governmental Authority under which payments in excess of $100,000 were received by any Seller in the fiscal year ending December 31, 2025 or (ii) Governmental Program.</w:t>
      </w:r>
    </w:p>
    <w:p>
      <w:pPr>
        <w:spacing w:after="0" w:line="162"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(b)            Sellers have made available to Buyer correct and complete copies of all Material Contracts and Purchased Contracts in effect as of the date hereof. Except for those arising out of the Chapter 11 Cases, as set forth on </w:t>
      </w:r>
      <w:r>
        <w:rPr>
          <w:rFonts w:ascii="Times New Roman" w:cs="Times New Roman" w:eastAsia="Times New Roman" w:hAnsi="Times New Roman"/>
          <w:sz w:val="18"/>
          <w:szCs w:val="18"/>
          <w:u w:val="single" w:color="auto"/>
          <w:color w:val="auto"/>
        </w:rPr>
        <w:t>Section 3.1.20(b)</w:t>
      </w:r>
      <w:r>
        <w:rPr>
          <w:rFonts w:ascii="Times New Roman" w:cs="Times New Roman" w:eastAsia="Times New Roman" w:hAnsi="Times New Roman"/>
          <w:sz w:val="18"/>
          <w:szCs w:val="18"/>
          <w:color w:val="auto"/>
        </w:rPr>
        <w:t xml:space="preserve"> of the Seller Disclosure Schedules and payment of the Cure Costs, subject to the Cure Costs Cap, as of the date hereof, (i) no Seller is in material breach or default of its obligations under any Material Contract or Purchased Contract, (ii) no condition exists that with notice or lapse of time or both would constitute a material default by any Seller under any such Material Contract or Purchased Contract, and (iii) no other party to any such Material Contract or Purchased Contract is in material breach or default thereunder. No Material Contract or Purchased Contract has been cancelled or otherwise terminated (except for expirations pursuant to the terms thereof), and no Seller has received any written or oral notice from any Person regarding any cancellation, termination or intention not to renew any Material Contract or Purchased Contract.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3.1.21    </w:t>
      </w:r>
      <w:r>
        <w:rPr>
          <w:rFonts w:ascii="Times New Roman" w:cs="Times New Roman" w:eastAsia="Times New Roman" w:hAnsi="Times New Roman"/>
          <w:sz w:val="18"/>
          <w:szCs w:val="18"/>
          <w:u w:val="single" w:color="auto"/>
          <w:color w:val="auto"/>
        </w:rPr>
        <w:t>  Customers and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3.1.21</w:t>
      </w:r>
      <w:r>
        <w:rPr>
          <w:rFonts w:ascii="Times New Roman" w:cs="Times New Roman" w:eastAsia="Times New Roman" w:hAnsi="Times New Roman"/>
          <w:sz w:val="18"/>
          <w:szCs w:val="18"/>
          <w:color w:val="auto"/>
        </w:rPr>
        <w:t xml:space="preserve"> of the Seller Disclosure Schedules sets forth a list of (a) the top ten (10) largest customers of the Business measured by dollar value of revenue received from such customer for the year ended December 31, 2025 (“</w:t>
      </w:r>
      <w:r>
        <w:rPr>
          <w:rFonts w:ascii="Times New Roman" w:cs="Times New Roman" w:eastAsia="Times New Roman" w:hAnsi="Times New Roman"/>
          <w:sz w:val="18"/>
          <w:szCs w:val="18"/>
          <w:b w:val="1"/>
          <w:bCs w:val="1"/>
          <w:color w:val="auto"/>
        </w:rPr>
        <w:t>Top Customers</w:t>
      </w:r>
      <w:r>
        <w:rPr>
          <w:rFonts w:ascii="Times New Roman" w:cs="Times New Roman" w:eastAsia="Times New Roman" w:hAnsi="Times New Roman"/>
          <w:sz w:val="18"/>
          <w:szCs w:val="18"/>
          <w:color w:val="auto"/>
        </w:rPr>
        <w:t>”) and (b) for the same period, the top ten (10) suppliers and vendors based on the aggregate dollar amount of purchases by the Business (“</w:t>
      </w:r>
      <w:r>
        <w:rPr>
          <w:rFonts w:ascii="Times New Roman" w:cs="Times New Roman" w:eastAsia="Times New Roman" w:hAnsi="Times New Roman"/>
          <w:sz w:val="18"/>
          <w:szCs w:val="18"/>
          <w:b w:val="1"/>
          <w:bCs w:val="1"/>
          <w:color w:val="auto"/>
        </w:rPr>
        <w:t>Top Suppliers</w:t>
      </w:r>
      <w:r>
        <w:rPr>
          <w:rFonts w:ascii="Times New Roman" w:cs="Times New Roman" w:eastAsia="Times New Roman" w:hAnsi="Times New Roman"/>
          <w:sz w:val="18"/>
          <w:szCs w:val="18"/>
          <w:color w:val="auto"/>
        </w:rPr>
        <w:t>”). Since December 31, 2025, no customer or supplier of the Business has (i) cancelled or terminated, or provided notice to cancel or terminate, its business relationship with the Business, or (ii) materially altered, or provided notice of its intent to materially alter the terms of its buying, distributing or supplying practices or its business relationship with the Business and Sellers do not otherwise have Knowledge of such intent except for Ordinary Course negotiation or re-negotiation of material terms. Since the Look-Back Date to the date hereof, the Business has not had any material disputes concerning any defects in its products and/or services with any customer or supplier.</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3.1.22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All material insurance policies maintained by Sellers with respect to the Business or the Purchased Assets are in full force and effect (except for any expiration thereof in accordance with its terms), no written notice of cancellation or modification has been received as of the date hereof, and there is no existing default or event which, with the giving of notice or lapse of time or both, would constitute a default by any insured thereunder, except in each case as would not reasonably be expected to be material to the Purchased Assets or the Business. To the Knowledge of the Sellers, there are no claims related to the Business or the Purchased Assets pending under any such insurance policies as to which coverage has been questioned, denied or disputed or in respect of which there is an outstanding reservation of rights.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3.1.23    </w:t>
      </w:r>
      <w:r>
        <w:rPr>
          <w:rFonts w:ascii="Times New Roman" w:cs="Times New Roman" w:eastAsia="Times New Roman" w:hAnsi="Times New Roman"/>
          <w:sz w:val="18"/>
          <w:szCs w:val="18"/>
          <w:u w:val="single" w:color="auto"/>
          <w:color w:val="auto"/>
        </w:rPr>
        <w:t>  Product Liability</w:t>
      </w:r>
      <w:r>
        <w:rPr>
          <w:rFonts w:ascii="Times New Roman" w:cs="Times New Roman" w:eastAsia="Times New Roman" w:hAnsi="Times New Roman"/>
          <w:sz w:val="18"/>
          <w:szCs w:val="18"/>
          <w:color w:val="auto"/>
        </w:rPr>
        <w:t>. Since the Look-Back Date, no product liability, warranty or similar claims by any Third Party against any Seller or any of its Affiliates (whether based on contract or tort and whether relating to personal injury including death, property damage or economic loss) have been initiated and no such claims are pending or threatened, in each case, with respect to the Business or Product.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3.1.24    </w:t>
      </w:r>
      <w:r>
        <w:rPr>
          <w:rFonts w:ascii="Times New Roman" w:cs="Times New Roman" w:eastAsia="Times New Roman" w:hAnsi="Times New Roman"/>
          <w:sz w:val="18"/>
          <w:szCs w:val="18"/>
          <w:u w:val="single" w:color="auto"/>
          <w:color w:val="auto"/>
        </w:rPr>
        <w:t>  Data Protection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(a)            Except as would not, individually or in the aggregate, be reasonably expected to be material to the Products, the Business or Sellers, since the Look-Back Date, Sellers (i) are, and have been, in compliance with all applicable Data Security Requirements in connection with the Business, (ii) have not experienced any Security Incidents, known or reasonably suspected, that required notification under applicable Data Security Requirements to any Person and (iii) have not received, or otherwise been subject to, any written notices, complaints, audits, proceedings, investigations or claims conducted or asserted by any other Person (including any Governmental Authority) regarding Sellers’ unauthorized or unlawful processing of Personal Data or violation of applicable Data Security Requirements in connection with the Business.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The execution, delivery, or performance of this Agreement by Sellers and the consummation of the Transactions will not violate applicable Data Security Requirements in any material respect.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3.2.         Representations and Warranties of Buyer</w:t>
      </w:r>
      <w:r>
        <w:rPr>
          <w:rFonts w:ascii="Times New Roman" w:cs="Times New Roman" w:eastAsia="Times New Roman" w:hAnsi="Times New Roman"/>
          <w:sz w:val="18"/>
          <w:szCs w:val="18"/>
          <w:color w:val="auto"/>
        </w:rPr>
        <w:t>. Buyer represents and warrants to Sellers as follows.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3.2.1      </w:t>
      </w:r>
      <w:r>
        <w:rPr>
          <w:rFonts w:ascii="Times New Roman" w:cs="Times New Roman" w:eastAsia="Times New Roman" w:hAnsi="Times New Roman"/>
          <w:sz w:val="18"/>
          <w:szCs w:val="18"/>
          <w:u w:val="single" w:color="auto"/>
          <w:color w:val="auto"/>
        </w:rPr>
        <w:t>  Entity Status</w:t>
      </w:r>
      <w:r>
        <w:rPr>
          <w:rFonts w:ascii="Times New Roman" w:cs="Times New Roman" w:eastAsia="Times New Roman" w:hAnsi="Times New Roman"/>
          <w:sz w:val="18"/>
          <w:szCs w:val="18"/>
          <w:color w:val="auto"/>
        </w:rPr>
        <w:t>. Buyer is duly formed and validly existing under the laws of its jurisdiction of formation and has the requisite corporate power to enter into and perform its obligations under this Agreement and the Ancillary Agreements to which it is or will be a party.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3.2.2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The execution and delivery of and performance by Buyer of this Agreement and the Ancillary Agreements to which it is or will be a party have been, or will be at or prior to Closing, authorized by all necessary corporate action on the part of Buyer.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3.2.3      </w:t>
      </w:r>
      <w:r>
        <w:rPr>
          <w:rFonts w:ascii="Times New Roman" w:cs="Times New Roman" w:eastAsia="Times New Roman" w:hAnsi="Times New Roman"/>
          <w:sz w:val="18"/>
          <w:szCs w:val="18"/>
          <w:u w:val="single" w:color="auto"/>
          <w:color w:val="auto"/>
        </w:rPr>
        <w:t>  No Conflict</w:t>
      </w:r>
      <w:r>
        <w:rPr>
          <w:rFonts w:ascii="Times New Roman" w:cs="Times New Roman" w:eastAsia="Times New Roman" w:hAnsi="Times New Roman"/>
          <w:sz w:val="18"/>
          <w:szCs w:val="18"/>
          <w:color w:val="auto"/>
        </w:rPr>
        <w:t>. The execution and delivery of and performance by Buyer of this Agreement and the Ancillary Agreements to which it is or will be a party (a) do not and will not constitute or result in a violation or breach of, or conflict with, or allow any Person to exercise any rights under, any of the terms or provisions of Buyer’s certificate of organization, bylaws or equivalent organizational documents, (b) do not and will not constitute or result in a breach or violation of, or conflict with or allow any Person to exercise any rights under, any Contract, license, lease or instrument to which it is a party; and (c) do not result in the violation of any Law applicable to Buyer, except in the case of clauses (b) and (c), as would not materially adversely affect the ability of Buyer to consummate the Transactions and the transactions contemplated by the Ancillary Agreements.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3.2.4      </w:t>
      </w:r>
      <w:r>
        <w:rPr>
          <w:rFonts w:ascii="Times New Roman" w:cs="Times New Roman" w:eastAsia="Times New Roman" w:hAnsi="Times New Roman"/>
          <w:sz w:val="18"/>
          <w:szCs w:val="18"/>
          <w:u w:val="single" w:color="auto"/>
          <w:color w:val="auto"/>
        </w:rPr>
        <w:t>  Required Authorizations</w:t>
      </w:r>
      <w:r>
        <w:rPr>
          <w:rFonts w:ascii="Times New Roman" w:cs="Times New Roman" w:eastAsia="Times New Roman" w:hAnsi="Times New Roman"/>
          <w:sz w:val="18"/>
          <w:szCs w:val="18"/>
          <w:color w:val="auto"/>
        </w:rPr>
        <w:t>. Other than delivery to the applicable Governmental Authority of the Regulatory Approval Transfer Documentation and, if applicable, the approval by the applicable Governmental Authority of the transfer of the Purchased Regulatory Approvals to Buyer or its designee and entry of the Sale Order, no filing with (other than as may be required under Antitrust Laws), notice to or Order, Permit, approval, consent, waiver, license or similar authorization of, any Governmental Authority is required on the part of Buyer as a condition to the lawful consummation of the Transactions and the transactions contemplated by the Ancillary Agreements to which it is or will be a party.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3.2.5      </w:t>
      </w:r>
      <w:r>
        <w:rPr>
          <w:rFonts w:ascii="Times New Roman" w:cs="Times New Roman" w:eastAsia="Times New Roman" w:hAnsi="Times New Roman"/>
          <w:sz w:val="18"/>
          <w:szCs w:val="18"/>
          <w:u w:val="single" w:color="auto"/>
          <w:color w:val="auto"/>
        </w:rPr>
        <w:t>  Execution and Binding Obligation</w:t>
      </w:r>
      <w:r>
        <w:rPr>
          <w:rFonts w:ascii="Times New Roman" w:cs="Times New Roman" w:eastAsia="Times New Roman" w:hAnsi="Times New Roman"/>
          <w:sz w:val="18"/>
          <w:szCs w:val="18"/>
          <w:color w:val="auto"/>
        </w:rPr>
        <w:t>. This Agreement and the Ancillary Agreements to which Buyer is or will be a party have been, or will be, duly executed and delivered by Buyer and constitute, or will constitute, legal, valid and binding agreements of Buyer, enforceable against it in accordance with its terms.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3.2.6      </w:t>
      </w:r>
      <w:r>
        <w:rPr>
          <w:rFonts w:ascii="Times New Roman" w:cs="Times New Roman" w:eastAsia="Times New Roman" w:hAnsi="Times New Roman"/>
          <w:sz w:val="18"/>
          <w:szCs w:val="18"/>
          <w:u w:val="single" w:color="auto"/>
          <w:color w:val="auto"/>
        </w:rPr>
        <w:t>  Financial Capacity</w:t>
      </w:r>
      <w:r>
        <w:rPr>
          <w:rFonts w:ascii="Times New Roman" w:cs="Times New Roman" w:eastAsia="Times New Roman" w:hAnsi="Times New Roman"/>
          <w:sz w:val="18"/>
          <w:szCs w:val="18"/>
          <w:color w:val="auto"/>
        </w:rPr>
        <w:t>. Buyer has, and at Closing will have, sufficient cash to pay the Purchase Price and to make any other necessary payment contemplated by this Agreement or any of the Ancillary Agreements to be made at Closing.</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3.2.7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As of the date hereof, there is no material Litigation in progress, pending, or to Buyer’s knowledge, threatened against Buyer, which prohibits, restricts or seeks to enjoin the Transactions or the transactions contemplated by the Ancillary Agreements.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3.2.8      </w:t>
      </w:r>
      <w:r>
        <w:rPr>
          <w:rFonts w:ascii="Times New Roman" w:cs="Times New Roman" w:eastAsia="Times New Roman" w:hAnsi="Times New Roman"/>
          <w:sz w:val="18"/>
          <w:szCs w:val="18"/>
          <w:u w:val="single" w:color="auto"/>
          <w:color w:val="auto"/>
        </w:rPr>
        <w:t>  No Broker.</w:t>
      </w:r>
      <w:r>
        <w:rPr>
          <w:rFonts w:ascii="Times New Roman" w:cs="Times New Roman" w:eastAsia="Times New Roman" w:hAnsi="Times New Roman"/>
          <w:sz w:val="18"/>
          <w:szCs w:val="18"/>
          <w:color w:val="auto"/>
        </w:rPr>
        <w:t xml:space="preserve"> Except for Guggenheim Securities, LLC, no broker, agent or other intermediary is entitled to any fee, commission or other remuneration in connection with the Transactions or the transactions contemplated by the Ancillary Agreements based upon arrangements made by or on behalf of Buyer.</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3.2.9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xml:space="preserve">. Assuming (x) the accuracy of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(y) the performance by Sellers of the covenants and agreements required to be performed by it under this Agreement prior to the Closing, immediately after giving effect to the consummation of the Transactions and the transactions contemplated by the Ancillary Agreements (including any financings being entered into in connection therewith) and taking into account all obligations of Buyer pursuant to this Agreement and the Ancillary Agreements to which it is a party:</w:t>
      </w:r>
    </w:p>
    <w:p>
      <w:pPr>
        <w:spacing w:after="0" w:line="3" w:lineRule="exact"/>
        <w:rPr>
          <w:sz w:val="20"/>
          <w:szCs w:val="20"/>
          <w:color w:val="auto"/>
        </w:rPr>
      </w:pPr>
    </w:p>
    <w:p>
      <w:pPr>
        <w:jc w:val="both"/>
        <w:ind w:firstLine="8"/>
        <w:spacing w:after="0" w:line="253"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saleable value of the assets of Buyer will be greater than the total amount of their respective Liabilities; (b) Buyer will be solvent and able to pay its debts and obligations in the Ordinary Course as they become due; (c) no transfer of property is being made and no obligation is being incurred in connection with the Transactions and the transactions contemplated by the Ancillary Agreements with the intent to hinder, delay or defraud either present or future creditors of Buyer in connection with the Transactions and/or the transactions contemplated by the Ancillary Agreements; and (d) Buyer will have adequate capital to carry on its business and all businesses in which Buyer is about to engage.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3.2.10    </w:t>
      </w:r>
      <w:r>
        <w:rPr>
          <w:rFonts w:ascii="Times New Roman" w:cs="Times New Roman" w:eastAsia="Times New Roman" w:hAnsi="Times New Roman"/>
          <w:sz w:val="18"/>
          <w:szCs w:val="18"/>
          <w:u w:val="single" w:color="auto"/>
          <w:color w:val="auto"/>
        </w:rPr>
        <w:t>  Independent Investigation</w:t>
      </w:r>
      <w:r>
        <w:rPr>
          <w:rFonts w:ascii="Times New Roman" w:cs="Times New Roman" w:eastAsia="Times New Roman" w:hAnsi="Times New Roman"/>
          <w:sz w:val="18"/>
          <w:szCs w:val="18"/>
          <w:color w:val="auto"/>
        </w:rPr>
        <w:t xml:space="preserve">. Buyer knowingly, willingly, irrevocably and expressly represents, warrants, acknowledges and agrees, on its own behalf and on behalf of its Affiliates, that Buyer has conducted to its satisfaction its own independent review and analysis of, and based thereon has formed an independent judgment concerning, the Transactions, the Purchased Assets and the Assumed Liabilities. In entering into this Agreement, Buyer has relied solely upon its own review and analysis, and the specific representations and warranties of Sellers expressly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(as qualified or modified by the Seller Disclosure Schedules), and has not relied on, and hereby disclaims reliance on, any other representations, warranties, statements or omissions (whether by Sellers or another Person).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3.3.         Exclusivity of Representations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3.3.1        Except for the representations and warranties made by Sellers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in any Ancillary Agreement to be delivered by Sellers pursuant to this Agreement, no Seller nor any other Person makes any express or implied representation or warranty with respect to Sellers or their businesses, assets, operations, liabilities, condition (financial or otherwise) or prospects, and Sellers hereby disclaim any such other representations or warranties. In particular, without limiting the foregoing disclaimer, except for the representations and warranties made by Sellers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in any Ancillary Agreement to be delivered by Sellers pursuant to this Agreement, no Seller nor any of its Affiliates or any other Person makes or has made any representation or warranty to Buyer or any of its Representatives, with respect to, nor has Buyer or any of its Representatives relied on, (a) any financial projection, forecast, estimate, budget or prospective information relating to Sellers or the Business or (b) any oral or written information furnished or made available to Buyer or any of its Representatives in the course of its due diligence investigation of Sellers, the Business, the negotiation of this Agreement and the Ancillary Agreements or the consummation of the Transactions and the transactions contemplated thereby, including the accuracy, completeness or currency thereof.</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3.3.2        Except for the representations and warranties made by Buyer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in any Ancillary Agreement to be delivered by Buyer pursuant to this Agreement, and without limiting </w:t>
      </w:r>
      <w:r>
        <w:rPr>
          <w:rFonts w:ascii="Times New Roman" w:cs="Times New Roman" w:eastAsia="Times New Roman" w:hAnsi="Times New Roman"/>
          <w:sz w:val="18"/>
          <w:szCs w:val="18"/>
          <w:u w:val="single" w:color="auto"/>
          <w:color w:val="auto"/>
        </w:rPr>
        <w:t>Section 2.3.2(f)</w:t>
      </w:r>
      <w:r>
        <w:rPr>
          <w:rFonts w:ascii="Times New Roman" w:cs="Times New Roman" w:eastAsia="Times New Roman" w:hAnsi="Times New Roman"/>
          <w:sz w:val="18"/>
          <w:szCs w:val="18"/>
          <w:color w:val="auto"/>
        </w:rPr>
        <w:t xml:space="preserve">, neither Buyer nor any other Person makes any express or implied representation or warranty with respect to Buyer, its Affiliates or their businesses, assets, operations, liabilities, condition (financial or otherwise) or prospects, and Sellers hereby disclaim any such other representations or warranties. In particular, without limiting the foregoing disclaimer, except for the representations and warranties made by Buyer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in any Ancillary Agreement to be delivered by Buyer pursuant to this Agreement, neither Buyer nor its Affiliates or any other Person makes or has made any representation or warranty to any Seller or any of its Representatives, with respect to, nor has any Seller or any of its Representatives relied on, (a) any financial projection, forecast, estimate, budget or prospective information relating to Buyer or its Affiliates or (b) any oral or written information furnished or made available to any Seller or any of its Representatives in the course of the negotiation of this Agreement and the Ancillary Agreements or the consummation of the Transactions and the transactions contemplated thereby, including the accuracy, completeness or currency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PRE-CLOSING COVENANTS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4.1.         Access and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4.1.1        During the Interim Period, each Seller shall, (a) afford Buyer and its Representatives reasonable access to the Business and the Purchased Assets, and the properties, offices, books and records, Contracts, commitments and personnel of Sellers relating to the Business, as well as information pertaining to the Assumed Liabilities, (b) use reasonable best efforts to cause its employees and Representatives to cooperate with and aid Buyer and its Representatives in their investigation of the Business and to consummate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request or investigation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or conducted on a reasonable basis by Buyer providing reasonable Notice to the applicable Seller and shall be conducted during normal business hours in such a manner as not to interfere unreasonably with the conduct of the Business, and (c) reasonably consult with Buyer regarding any material ongoing Litigation and provide Buyer with any material communications in connection therewith reasonably promptly following the applicable Seller’s receipt or delivery thereof. No investigation by Buyer or any of its Representatives or other information received by Buyer or any of its Representatives shall operate as a waiver or otherwise affect any representation, warranty or agreement given or made by Sellers (including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shall not be deemed to amend or supplement the Seller Disclosure Schedules. Buyer acknowledges and agrees that Sellers shall be entitled to restrict any such access to or restrict information (x) to ensure compliance with any Law or (y) to preserve any applicable attorney-client privilege, attorney work product or other legal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any information is withheld pursuant to this sentence, Sellers shall promptly (in any event within two (2) Business Days) notify Buyer and at Buyer’s request, Sellers shall use commercially reasonable efforts to allow the disclosure of such document or information (or a portion thereof) in a manner that would not conflict with the foregoing clauses (x) and (y).</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4.1.2        During the Interim Period, notwithstanding any restrictions on Buyer and its Representatives to the contrary set forth in the Confidentiality Agreement, Sellers shall, upon reasonable request and at reasonable times, permit and facilitate Buyer’s interactions with any employee and with the suppliers set forth on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of the Seller Disclosure Schedules of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interactions with the suppliers set forth on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of the Seller Disclosure Schedules shall be consistent with the terms and conditions of any approvals provided by Sellers with respect thereto prior to or after the date hereof. Prior to the Closing, Sellers shall deliver to Buyer current contact information for each Contributor, to the extent such information is in Sellers’ possession or reasonably available to Sellers. Except with respect to the suppliers set forth on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of the Seller Disclosure Schedule as provided above, Buyer shall not communicate directly with any of Seller’s vendors, suppliers, customers or other key stakeholders regarding vendor and customer relationship continuity, operational transition planning or otherwise, except with the applicable Seller’s prior written consent.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         Ordinary Course of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4.2.1        Except (x) as required by applicable Law or Bankruptcy Court Order, (y) as required pursuant to the DIP Financing Order or</w:t>
      </w:r>
    </w:p>
    <w:p>
      <w:pPr>
        <w:spacing w:after="0" w:line="27" w:lineRule="exact"/>
        <w:rPr>
          <w:sz w:val="20"/>
          <w:szCs w:val="20"/>
          <w:color w:val="auto"/>
        </w:rPr>
      </w:pPr>
    </w:p>
    <w:p>
      <w:pPr>
        <w:jc w:val="both"/>
        <w:ind w:firstLine="8"/>
        <w:spacing w:after="0" w:line="250" w:lineRule="auto"/>
        <w:tabs>
          <w:tab w:leader="none" w:pos="26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otherwise expressly provided in this Agreement, set forth on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of the Seller Disclosure Schedules or for actions taken by Sellers as required in connection with the Chapter 11 Cases, during the Interim Period, Sellers will conduct the Business in the Ordinary Course, (i) use commercially reasonable efforts to preserve intact the Purchased Assets and the business organizations and relationships of the Business, (ii) use its commercially reasonable efforts to preserve the current relationships of the Business with material customers, vendors, distributors, partners, lessors, licensors, creditors and other Persons with which the Business has material business relations, and (iii) use its commercially reasonable efforts to maintain all material Permits and Regulatory Approvals relating to the Business. Without limiting the foregoing, except (x) as required by applicable Law or Bankruptcy Court Order,</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pursuant to the DIP Financing Order or (z) for actions taken by Sellers as required by this Agreement or the Chapter 11 Cases, without the prior written consent of Buyer, during the Interim Period, Sellers shall not directly or indirectly engage or agree to engage in any one or more of the following activities or transactions (the “</w:t>
      </w:r>
      <w:r>
        <w:rPr>
          <w:rFonts w:ascii="Times New Roman" w:cs="Times New Roman" w:eastAsia="Times New Roman" w:hAnsi="Times New Roman"/>
          <w:sz w:val="18"/>
          <w:szCs w:val="18"/>
          <w:b w:val="1"/>
          <w:bCs w:val="1"/>
          <w:color w:val="auto"/>
        </w:rPr>
        <w:t>Prohibited Actions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(i) modify, extend, terminate or enter into any Collective Bargaining Agreement covering any Business Employees or</w:t>
      </w:r>
    </w:p>
    <w:p>
      <w:pPr>
        <w:spacing w:after="0" w:line="27" w:lineRule="exact"/>
        <w:rPr>
          <w:sz w:val="20"/>
          <w:szCs w:val="20"/>
          <w:color w:val="auto"/>
        </w:rPr>
      </w:pPr>
    </w:p>
    <w:p>
      <w:pPr>
        <w:ind w:firstLine="8"/>
        <w:spacing w:after="0" w:line="260" w:lineRule="auto"/>
        <w:tabs>
          <w:tab w:leader="none" w:pos="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certify any labor union, labor organization, works council or group of employees as the bargaining representative for any Business Employees;</w:t>
      </w:r>
    </w:p>
    <w:p>
      <w:pPr>
        <w:spacing w:after="0" w:line="181"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in respect of the Business or with respect to any facility at which Business Employees are located, implement or announce any employee layoffs, plant closings, reductions in compensation or other similar actions;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grant, impose or suffer to be imposed any Encumbrance upon any of the Purchased Assets (whether tangible or intangible) other than Permitted Encumbrances or Encumbrances that will be cured prior to the Closing (including Encumbrances pursuant to or consistent with the DIP Financing Order);</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(d)            modify, breach, repudiate, extend, renew, reject, let lapse or terminate any Purchased Contract or any Material Contract (or any Contract that would be a Material Contract if entered into prior to the Execution Date), or enter into any Contract that would be a Material Contract if in existence as of the date hereof, or waive, release or assign any material rights or claims under any Purchased Contract or Material Contract, in each case other than in the Ordinary Course or as provided for in the DIP Financing Order;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(e)            (i) encumber (other than pursuant to or consistent with the DIP Financing Order), transfer, sell, assign, abandon, allow to lapse, fail to prosecute or maintain, license, or otherwise dispose of any Owned IP necessary or reasonably useful to Exploit the Products, except, in each case, other than the expiration of issued or registered Owned IP at the end of the maximum statutory term, or (ii) disclose any material Trade Secrets to any Person other than pursuant to a written non-disclosure agreement or under a binding obligation of confidentiality;</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(f)             enter into any commitment for, make or authorize capital expenditures in excess of $50,000 for any individual commitment and $200,000 for all commitments in the aggregate, including for property, plant and equipment, except for those, if any, that are expressly contemplated by the DIP Financing Order;</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(g)            compromise or settle any material Litigation, any opposition proceeding at the European Patent Office or any administrative proceeding at the United States Patent and Trademark Office relating to the Business or the Products or cancel, abandon or compromise any claim or waive, abandon or release any right, in each case, that will be a Purchased Asset, including in respect of any material claim or right at the United States Patent and Trademark office or European Patent Office that relates to any pending or future patent applications;</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(h)            amend in any material respect, cancel or permit to terminate or lapse any material insurance policy naming any Seller as an insured, a beneficiary or a loss payable payee without first obtaining comparable substitute insurance coverage with no lapse in coverage;</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             shorten or lengthen payment cycles or make any unusual or extraordinary efforts outside of the Ordinary Course to collect any accounts receivable, intercompany obligation or Liability for indebtedness, or give any discounts or concessions for early payment outside of the Ordinary Course with respect to such accounts receivable, intercompany obligation or Liability for indebtedness, or convey any interest in any accounts receivable, intercompany obligation or Liability for indebtedness to any third party;</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(j)             sell, transfer, lease, sublease or otherwise dispose (unless requested by Buyer) of any Purchased Assets other than sales of Finished Goods Inventory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any Finished Goods Inventory or other inventory is not sold, transferred or otherwise disposed of prior to the Closing, at the request of Buyer, Sellers shall instruct the applicable contract manufacturer to promptly destroy such quantities of inventory as requested by Buyer;</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(k)            grant any Top Customer or Top Supplier any material discounts, pricing accommodations, or other similar changes relating to pricing, payment terms or credit support other than in the Ordinary Course;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1960"/>
        <w:spacing w:after="0"/>
        <w:rPr>
          <w:sz w:val="20"/>
          <w:szCs w:val="20"/>
          <w:color w:val="auto"/>
        </w:rPr>
      </w:pPr>
      <w:r>
        <w:rPr>
          <w:rFonts w:ascii="Times New Roman" w:cs="Times New Roman" w:eastAsia="Times New Roman" w:hAnsi="Times New Roman"/>
          <w:sz w:val="18"/>
          <w:szCs w:val="18"/>
          <w:color w:val="auto"/>
        </w:rPr>
        <w:t>(l)             grant any waiver under or amend or modify, or surrender, revoke, permit to lapse or otherwise terminate, any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(m)           make any changes in financial accounting methods, principles, practices, procedures, or policies, except insofar as may be required by changes, after the date of this Agreement, in (A) GAAP or (B) applicable Law;</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(n)            seek any relief from, or modification of, the automatic stay on any Litigation involving any Purchased Asset, in each case issued by the Bankruptcy Court;</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(o)            grant any license to any Acquired IP necessary or reasonably useful to Exploit the Products to any Person in connection with the sale of the Products to such Person or its Affiliates;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            acquire any business (including by merger, consolidation or acquisition of stock or assets) or any assets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enter into any corporate joint venture, partnership, limited liability company or similar arrangement;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             commence any Litigation relating to the Business or the Purchased Assets;</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            (i) abandon, withdraw, terminate, suspend, abrogate, amend or modify any Regulatory Approval for the Products, including the sNDA (other than in compliance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(ii) make any material change to development strategy, statistical analysis plans, manufacturing process, release specifications, draft or approved labeling, post marketing requirement or commitments, ongoing studies or packaging for the Products (other than in compliance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clauses (i) and (ii), no consent of Buyer shall be required for any action, or failure to take any action, that is required by the FDA, subject to compliance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             authorize or enter into any agreement or commitment, whether or not in writing, to take any action prohibited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4.3.         Obligation to Consummate the Transaction</w:t>
      </w:r>
      <w:r>
        <w:rPr>
          <w:rFonts w:ascii="Times New Roman" w:cs="Times New Roman" w:eastAsia="Times New Roman" w:hAnsi="Times New Roman"/>
          <w:sz w:val="18"/>
          <w:szCs w:val="18"/>
          <w:color w:val="auto"/>
        </w:rPr>
        <w:t>. Each of the Parties agrees that it shall use commercially reasonable efforts to take,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taken, all actions and to do, or cause to be done, all things necessary, proper or advisable to the extent permissible under applicable Law, to consummate and make effective the Transactions and to ensure that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are satisfied.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4.4.         Filings; Other Actions; Notification and Cooperation.</w:t>
      </w:r>
    </w:p>
    <w:p>
      <w:pPr>
        <w:spacing w:after="0" w:line="22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4.4.1        Sellers and Buyer shall cooperate with each other and use, and shall cause their respective Affiliates and Subsidiaries to use, their respective reasonable best efforts to take (or cause to be taken) all actions, and do (or cause to be done) all things necessary, proper or advisable under this Agreement and applicable Law to consummate and make effective the Transactions as expeditiously as reasonably practicable, and in any event no later than the Outside Date, including: (i) obtaining as expeditiously as practicable all consents, registrations, approvals, Permits and authorizations necessary to be obtained from any Governmental Authority, including pursuant to any Antitrust Laws, in order to consummate the Transactions; (ii) obtaining (and cooperating with each other in obtaining) any consent, approval of, waiver or any exemption by, any non-governmental third party, in each case, to the extent necessary, proper or advisable in connection with the Transactions; and (iii) executing and delivering any reasonable additional instruments necessary to consummate the Transactions and to fully carry out the purposes of this Agreement. Nothing herein shall require Buyer or any Seller to pay any fee or other consideration to obtain any such consent or approval of any third party, other than customary filing fees in the case of antitrust approvals.</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4.4.2        As used in this Agreement, the term “</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means the Sherman Act of 1890, the Clayton Act of 1914, the Federal Trade Commission Act of 1914, the HSR Act and all other federal, state and foreign statutes, rules, regulations and other Laws and Orders that are designed or intended to prohibit, restrict or regulate actions having the purpose or effect of monopolization or restraint of trade or lessening competition through merger or acquisition.</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4.4.3        Buyer and Sellers shall cooperate with one another, and consider in good faith the views of one another, with respect to the appropriate course of action with respect to obtaining the consents, approvals, permits, waiting period expirations or authorizations of any Governmental Authority required to consummate the Transactions prior to the Outside Date. No Party hereto or its counsel shall independently participate in any substantive call or meeting with any Governmental Authority in respect of any such filing, investigation, or other inquiry relating to the matters that are the subject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without giving the other Party or its counsel reasonable prior notice of such call or meeting and, to the extent permitted by such Governmental Authority, the opportunity to attend and participate. In furtherance of the foregoing and to the extent permitted by applicable Law: (i) each Party shall notify the other, as promptly as practicable, of any filing or material or substantive communication or inquiry it or any of its Subsidiaries intends to make with any Governmental Authority relating to the matters that are the subject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(ii) prior to submitting any such filing or making any such communication or inquiry, such Party shall provide the other Party and its counsel a reasonable opportunity to review, and shall consider in good faith the comments of the other Party in connection with, any such filing, communication or inquiry; (iii) promptly following the submission of such filing or making such communication or inquiry, such Party shall provide the other Party with a copy of any such filing or, if in written form, communication or inquiry; and (iv) each Party shall consult with the other Party in connection with any inquiry, hearing, investigation or litigation by, or negotiations with, any Governmental Authority relating to the Transactions, including the scheduling of, and strategic planning for, any meetings with any Governmental Authority relating thereto. In exercising the foregoing cooperation rights, Sellers and Buyer each shall act reasonably and as promptly as reasonably practicable. Notwithstanding the foregoing, materials provided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may be reasonably redacted to (A) remove references concerning valuation, (B) comply with contractual arrangements, (C) comply with applicable Law, and (D) address legal privilege or confidentiality concerns.</w:t>
      </w:r>
    </w:p>
    <w:p>
      <w:pPr>
        <w:spacing w:after="0" w:line="19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4.4.4        In furtherance and not in limitation of the covenants of the Parties contained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Buyer, including its Affiliates, shall use its reasonable best efforts to resolve such objections, if any, as may be asserted by any Governmental Authority under any Antitrust Law with respect to the Transactions and to avoid the entry of, any Order in any suit or proceeding, as may be asserted by any Governmental Authority under any Antitrust Law that would otherwise have the effect of preventing the consummation of the Transactions. For the purposes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“reasonable best efforts” shall not include, and Buyer shall not be obligated to propose, negotiate, commit to, agree to, accept, effect or implement, any consent decree, hold separate order, sale, divestiture, lease, license, transfer, disposal, Encumbrance, restructuring, operating restriction, behavioral remedy, conduct restriction or other condition, remedy, term or undertaking of any kind, except, in each case, to the extent Buyer determines in its sole discretion to do so and such action is expressly conditioned on the consummation of the Transactions.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4.4.5        Subject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Sellers and Buyer each shall, upon request by the other, promptly furnish the other with all information concerning itself, its Affiliates, directors, officers and stockholders and such other matters as may be reasonably necessary or advisable in connection with any statement, filing, notice or application made by or on behalf of Buyer, Sellers or any of their respective Affiliates to any Third Party or any Governmental Authority in connection with the Transactions, all of which information shall be true and correct when provided.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4.4.6        In furtherance and not in limitation of the covenants of the Parties contained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Sellers and Buyer each shall keep the other reasonably apprised of the status of matters relating to completion of the Transactions, including promptly furnishing the other with copies of notices or other communications received by Sellers or Buyer, as the case may be, or any of their respective Affiliates from any Third Party or any Governmental Authority with respect to the Transactions, other than immaterial communications.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4.4.7        Buyer shall pay applicable filing fees payable to a Governmental Authority in connection with any filings made by the parties under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and Sellers shall each bear its own costs for the preparation of any such filings.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4.5.         FDA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4.5.1      </w:t>
      </w:r>
      <w:r>
        <w:rPr>
          <w:rFonts w:ascii="Times New Roman" w:cs="Times New Roman" w:eastAsia="Times New Roman" w:hAnsi="Times New Roman"/>
          <w:sz w:val="18"/>
          <w:szCs w:val="18"/>
          <w:u w:val="single" w:color="auto"/>
          <w:color w:val="auto"/>
        </w:rPr>
        <w:t>  Amendments to the sNDA</w:t>
      </w:r>
      <w:r>
        <w:rPr>
          <w:rFonts w:ascii="Times New Roman" w:cs="Times New Roman" w:eastAsia="Times New Roman" w:hAnsi="Times New Roman"/>
          <w:sz w:val="18"/>
          <w:szCs w:val="18"/>
          <w:color w:val="auto"/>
        </w:rPr>
        <w:t xml:space="preserve">. Sellers shall correct any discrepancies in the drug product quality information included in Module 3 of the sNDA, including any discrepancies set forth on </w:t>
      </w:r>
      <w:r>
        <w:rPr>
          <w:rFonts w:ascii="Times New Roman" w:cs="Times New Roman" w:eastAsia="Times New Roman" w:hAnsi="Times New Roman"/>
          <w:sz w:val="18"/>
          <w:szCs w:val="18"/>
          <w:u w:val="single" w:color="auto"/>
          <w:color w:val="auto"/>
        </w:rPr>
        <w:t>Section 4.5.1</w:t>
      </w:r>
      <w:r>
        <w:rPr>
          <w:rFonts w:ascii="Times New Roman" w:cs="Times New Roman" w:eastAsia="Times New Roman" w:hAnsi="Times New Roman"/>
          <w:sz w:val="18"/>
          <w:szCs w:val="18"/>
          <w:color w:val="auto"/>
        </w:rPr>
        <w:t xml:space="preserve"> of the Seller Disclosure Schedules or otherwise identified by Buyer, and shall submit such corrections to FDA no later than five (5) Business Days after the date of this Agreement. Sellers shall provide Buyer with the opportunity to review and comment on the corrected Module 3 at least five (5) days prior to the proposed date of submission to FDA, and Sellers shall accept and incorporate any reasonable comments provided by Buyer.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4.5.2      </w:t>
      </w:r>
      <w:r>
        <w:rPr>
          <w:rFonts w:ascii="Times New Roman" w:cs="Times New Roman" w:eastAsia="Times New Roman" w:hAnsi="Times New Roman"/>
          <w:sz w:val="18"/>
          <w:szCs w:val="18"/>
          <w:u w:val="single" w:color="auto"/>
          <w:color w:val="auto"/>
        </w:rPr>
        <w:t>  FDA Communications; Notice</w:t>
      </w:r>
      <w:r>
        <w:rPr>
          <w:rFonts w:ascii="Times New Roman" w:cs="Times New Roman" w:eastAsia="Times New Roman" w:hAnsi="Times New Roman"/>
          <w:sz w:val="18"/>
          <w:szCs w:val="18"/>
          <w:color w:val="auto"/>
        </w:rPr>
        <w:t>. During the Interim Period, Sellers shall keep Buyer informed regarding the progress and status of the sNDA and promptly notify Buyer of, and provide Buyer with complete and accurate copies of any documentation relating to, any material communication from the FDA or other Governmental Authorities relating to the Products or the sNDA no later than twenty-four (24) hours after Sellers’ receipt of such communication.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4.5.3      </w:t>
      </w:r>
      <w:r>
        <w:rPr>
          <w:rFonts w:ascii="Times New Roman" w:cs="Times New Roman" w:eastAsia="Times New Roman" w:hAnsi="Times New Roman"/>
          <w:sz w:val="18"/>
          <w:szCs w:val="18"/>
          <w:u w:val="single" w:color="auto"/>
          <w:color w:val="auto"/>
        </w:rPr>
        <w:t>  Review of Communications to FDA</w:t>
      </w:r>
      <w:r>
        <w:rPr>
          <w:rFonts w:ascii="Times New Roman" w:cs="Times New Roman" w:eastAsia="Times New Roman" w:hAnsi="Times New Roman"/>
          <w:sz w:val="18"/>
          <w:szCs w:val="18"/>
          <w:color w:val="auto"/>
        </w:rPr>
        <w:t xml:space="preserve">. During the Interim Period, Sellers shall prepare and submit to FDA all documentation that is necessary to obtain Regulatory Approval of the sNDA and respond to any requests by FDA in connection therewith. Prior to submitting any written filing or communication to the FDA relating to the Products or the sNDA (including but not limited to any commitment, submission, response, withdrawal, labeling change, packaging change, protocol amendment or Risk Evaluation and Mitigation Strategy amendment), Sellers shall provide Buyer with a reasonable opportunity, which shall be no less than five (5) Business Days, to review and comment on such filing or communication, and Sellers shall accept and incorporate any reasonable comments with respect to such filing or communication provided by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 FDA-imposed deadline makes compliance with the five (5) Business Day period impracticable, Sellers shall provide such opportunity as far in advance of the proposed submission date as is reasonably practicable under the circumstances.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4.5.4      </w:t>
      </w:r>
      <w:r>
        <w:rPr>
          <w:rFonts w:ascii="Times New Roman" w:cs="Times New Roman" w:eastAsia="Times New Roman" w:hAnsi="Times New Roman"/>
          <w:sz w:val="18"/>
          <w:szCs w:val="18"/>
          <w:u w:val="single" w:color="auto"/>
          <w:color w:val="auto"/>
        </w:rPr>
        <w:t>  Participation in FDA Discussions</w:t>
      </w:r>
      <w:r>
        <w:rPr>
          <w:rFonts w:ascii="Times New Roman" w:cs="Times New Roman" w:eastAsia="Times New Roman" w:hAnsi="Times New Roman"/>
          <w:sz w:val="18"/>
          <w:szCs w:val="18"/>
          <w:color w:val="auto"/>
        </w:rPr>
        <w:t>. During the Interim Period, Sellers shall provide Buyer the opportunity to consult in advance of, and shall consider in good faith the views of Buyer, in connection with any proposed meeting, conference call, or discussion between FDA and Seller regarding the Products or the sNDA. Buyer shall have the right to participate in any such meeting, conference call, or other discussion between Sellers and the FDA to the extent the FDA is willing to permit Buyer’s participation.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         Further Assurances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5.1.1        Each of Sellers and Buyer shall, at any time or from time to time after the Closing, at the request and expense of the other Party, take, or cause to be taken, all actions, and to do, or cause to be done, and to assist and cooperate with the other Party in doing, all things necessary, proper, or advisable to consummate and make effective, in the most expeditious manner practicable, the Transactions, including executing and delivering to the other Party all such instruments and documents or further assurances as the other Party may reasonably request, in each case that are consistent with the terms of this Agreement, in order to (a) vest in Buyer all of Sellers’ rights, title and interests in and to the Purchased Assets (including the Acquired IP) as contemplated hereby, (b) effectuate Buyer’s assumption of the Assumed Liabilities, (c) confirm Sellers’ retention of the Excluded Assets and the Excluded Liabilities, and (d) grant to each Party all rights contemplated to be granted to such Party under this Agreement and the Ancillary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the Closing, apart from such foregoing customary further assurances, no Seller nor Buyer shall have any other obligations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set forth and described herein or in the Ancillary Agreements.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5.1.2        If any approval, consent or waiver required for Sellers to assume and assign to Buyer the Purchased Contracts and other Purchased Assets shall not have been obtained prior to the Closing, Sellers shall use commercially reasonable efforts to obtain such approval, consent or waiver to assign to Buyer the Purchased Contracts and other Purchased Assets, including using commercially reasonable efforts to facilitate any negotiations with the counterparties to such Purchased Contracts and to obtain an Order (which may be the Sale Order) containing a finding that the proposed assumption of such Purchased Contracts and assignment to Buyer satisfies all applicable requirements of section 365 of the Bankruptcy Code. For the avoidance of doubt, if Sellers obtain an Order (including the Sale Order) containing a finding that the proposed assumption of any Purchased Contract and assignment to Buyer is authorized under section 365 of the Bankruptcy Code, Sellers shall have no further obligation to obtain any approval, consent, or waiver from any Third Party with respect to such Purchased Contract. At the Closing (a) Sellers shall, pursuant to the Sale Order, assign to Buyer each of the Purchased Contracts that is capable of being assigned and (b) Buyer shall pay all Cure Costs, subject to the Cure Costs Cap (including, for the avoidance of doubt, Cure Costs in excess of the Cure Costs Cap that reduce the Purchase Price in accordance with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in each case in connection with such assignment, and Buyer shall assume and discharge when due the Assumed Liabilities (if any) under the Purchased Contracts. Except as to Purchased Contracts assigned pursuant to section 365 of the Bankruptcy Code or the Sale Order, anything in this Agreement to the contrary notwithstanding, this Agreement shall not constitute an agreement to assign any Purchased Contract or other Purchased Asset or any right thereunder if an attempted assignment, without the consent of a Third Party, would constitute a breach or in any way adversely affect the rights of Buyer or Sellers thereunder, and Sellers shall use its commercially reasonable efforts to obtain any such required consent(s) as promptly as possible. If such consent is not obtained or such assignment is not attainable pursuant to section 365 of the Bankruptcy Code or the Sale Order, or if any attempted assignment would be ineffective or would impair Buyer’s rights under the Purchased Assets in question so that Buyer would not in effect acquire the benefit of all such rights, then Sellers, to the maximum extent permitted by applicable Law, shall act after the Closing, at Buyer’s request and expense, as Buyer’s agent in order to obtain for it the benefits thereunder and shall cooperate, to the maximum extent permitted by applicable Law, with Buyer in any other reasonable arrangement designed to provide such benefits to Buyer. Sellers are not under any obligation to pay any money to a Third Party (unless a Cure Cost for a Purchased Contract or Buyer agrees in writing to reimburse Sellers for such payment), incur any material obligations, commence any Litigation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Sellers shall cooperate in any Litigation initiated by Buyer in the Bankruptcy Court regarding the assumption and assignment of any Purchased Contract and matters related thereto) or offer or grant any material accommodation (financial or otherwise) to any Third Party in order to obtain any approval, consent or waiver.</w:t>
      </w:r>
    </w:p>
    <w:p>
      <w:pPr>
        <w:spacing w:after="0" w:line="20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5.1.3        Sellers will use their commercially reasonable efforts to obtain, or cause to be obtained, prior to Closing, any approval, consent or waiver required for Sellers to assign to Buyer, and for Buyer to assume, the Purchased Contracts and other Purchased Assets required as a result of the consummation of the transaction contemplated by this Agreement and the Ancillary Agreements or necessary to vest in Buyer all of Sellers’ rights, title and interest in and to the Purchased Assets, except to the extent such consents are not necessary as a result of the entry of the Sale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Sellers obtain an Order (including the Sale Order) containing a finding that the proposed assumption of any Purchased Contract and assignment to Buyer is authorized under section 365 of the Bankruptcy Code, Sellers shall have no further obligation to obtain any approval, consent, or waiver from any Third Party with respect to such Purchased Contract. Despite the previous sentence, no Seller is under any obligation to pay any money to a Third Party (unless Buyer agrees in writing to reimburse Sellers for such payment), incur any material obligations, commence any Litigation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Sellers shall cooperate in any Litigation initiated by Buyer in the Bankruptcy Court) or offer or grant any material accommodation (financial or otherwise) to any Third Party in order to obtain such approval, consent or waiver or take any action whatsoever that is not permitted by the Chapter 11 Cases. Buyer will cooperate in obtaining such consents, approvals and waivers, including by providing information of Buyer as is reasonably requested by a Third Party.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5.2.         Publicity</w:t>
      </w:r>
      <w:r>
        <w:rPr>
          <w:rFonts w:ascii="Times New Roman" w:cs="Times New Roman" w:eastAsia="Times New Roman" w:hAnsi="Times New Roman"/>
          <w:sz w:val="18"/>
          <w:szCs w:val="18"/>
          <w:color w:val="auto"/>
        </w:rPr>
        <w:t>. Promptly following the execution of this Agreement, each of Buyer and Sellers shall issue its own separate press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announcing the execution of this Agreement and the Transactions (the “</w:t>
      </w:r>
      <w:r>
        <w:rPr>
          <w:rFonts w:ascii="Times New Roman" w:cs="Times New Roman" w:eastAsia="Times New Roman" w:hAnsi="Times New Roman"/>
          <w:sz w:val="18"/>
          <w:szCs w:val="18"/>
          <w:b w:val="1"/>
          <w:bCs w:val="1"/>
          <w:color w:val="auto"/>
        </w:rPr>
        <w:t>Signing Press Release</w:t>
      </w:r>
      <w:r>
        <w:rPr>
          <w:rFonts w:ascii="Times New Roman" w:cs="Times New Roman" w:eastAsia="Times New Roman" w:hAnsi="Times New Roman"/>
          <w:sz w:val="18"/>
          <w:szCs w:val="18"/>
          <w:color w:val="auto"/>
        </w:rPr>
        <w:t xml:space="preserve">”). Prior to the issuance of its Signing Press Release, each Party shall provide the other Party with an opportunity to review and comment on such Signing Press Release, and shall consider in good faith any comments provided by such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comments are provided within two (2) Business Days of such other Party’s receipt of such draft Signing Press Release. Except for the Signing Press Release, no press release, public statement or announcement or other public disclosure with respect to this Agreement, the Ancillary Agreements or the Transactions or the transactions contemplated thereby may be made by Buyer or any Seller before the Closing or by any Seller after the Closing (a “</w:t>
      </w:r>
      <w:r>
        <w:rPr>
          <w:rFonts w:ascii="Times New Roman" w:cs="Times New Roman" w:eastAsia="Times New Roman" w:hAnsi="Times New Roman"/>
          <w:sz w:val="18"/>
          <w:szCs w:val="18"/>
          <w:b w:val="1"/>
          <w:bCs w:val="1"/>
          <w:color w:val="auto"/>
        </w:rPr>
        <w:t>Public Statement</w:t>
      </w:r>
      <w:r>
        <w:rPr>
          <w:rFonts w:ascii="Times New Roman" w:cs="Times New Roman" w:eastAsia="Times New Roman" w:hAnsi="Times New Roman"/>
          <w:sz w:val="18"/>
          <w:szCs w:val="18"/>
          <w:color w:val="auto"/>
        </w:rPr>
        <w:t>”) except (a) with the prior written consent and joint approval of Buyer and Sellers, not to be unreasonably withheld, or (b) if required by applicable Law, the Chapter 11 Cases, a Governmental Authority, or stock exchange requirements. Where the Public Statement is required by applicable Law, the Chapter 11 Cases, a Governmental Authority, or stock exchange requirement, the Party required to make the Public Statement will use its commercially reasonable efforts to consult with the other Party, and consider in good faith any revisions proposed by the other Party, prior to making such disclosure, and shall limit such disclosure to only that information that is legally or otherwise required to be disclosed.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5.3.         Certain 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5.3.1      </w:t>
      </w:r>
      <w:r>
        <w:rPr>
          <w:rFonts w:ascii="Times New Roman" w:cs="Times New Roman" w:eastAsia="Times New Roman" w:hAnsi="Times New Roman"/>
          <w:sz w:val="18"/>
          <w:szCs w:val="18"/>
          <w:u w:val="single" w:color="auto"/>
          <w:color w:val="auto"/>
        </w:rPr>
        <w:t>  Withholding Taxes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9.7.3</w:t>
      </w:r>
      <w:r>
        <w:rPr>
          <w:rFonts w:ascii="Times New Roman" w:cs="Times New Roman" w:eastAsia="Times New Roman" w:hAnsi="Times New Roman"/>
          <w:sz w:val="18"/>
          <w:szCs w:val="18"/>
          <w:color w:val="auto"/>
        </w:rPr>
        <w:t>, the amounts payable by one Party (the “</w:t>
      </w:r>
      <w:r>
        <w:rPr>
          <w:rFonts w:ascii="Times New Roman" w:cs="Times New Roman" w:eastAsia="Times New Roman" w:hAnsi="Times New Roman"/>
          <w:sz w:val="18"/>
          <w:szCs w:val="18"/>
          <w:b w:val="1"/>
          <w:bCs w:val="1"/>
          <w:color w:val="auto"/>
        </w:rPr>
        <w:t>Payer</w:t>
      </w:r>
      <w:r>
        <w:rPr>
          <w:rFonts w:ascii="Times New Roman" w:cs="Times New Roman" w:eastAsia="Times New Roman" w:hAnsi="Times New Roman"/>
          <w:sz w:val="18"/>
          <w:szCs w:val="18"/>
          <w:color w:val="auto"/>
        </w:rPr>
        <w:t>”) to another Party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pursuant to this Agreement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xml:space="preserve">”) shall not be reduced on account of any Taxes unless required by applicable Law, including any applicable U.S. or non-U.S. Tax Law. Subject to </w:t>
      </w:r>
      <w:r>
        <w:rPr>
          <w:rFonts w:ascii="Times New Roman" w:cs="Times New Roman" w:eastAsia="Times New Roman" w:hAnsi="Times New Roman"/>
          <w:sz w:val="18"/>
          <w:szCs w:val="18"/>
          <w:u w:val="single" w:color="auto"/>
          <w:color w:val="auto"/>
        </w:rPr>
        <w:t>Section 9.7.3;</w:t>
      </w:r>
      <w:r>
        <w:rPr>
          <w:rFonts w:ascii="Times New Roman" w:cs="Times New Roman" w:eastAsia="Times New Roman" w:hAnsi="Times New Roman"/>
          <w:sz w:val="18"/>
          <w:szCs w:val="18"/>
          <w:color w:val="auto"/>
        </w:rPr>
        <w:t xml:space="preserve"> (i) the Payee alone shall be responsible for paying any and all Taxes (other than withholding Taxes required to be paid by the Payer under applicable Law) levied on account of, or measured in whole or in part by reference to, any Payments it receives and (ii) the Payer shall deduct or withhold from the Payments any Taxes that it is required by applicable Law to deduct or withhold, and all such amounts deducted and withheld shall be treated for all purposes of this Agreement as having been paid to Payee. Notwithstanding the foregoing, if the Payee is entitled under any applicable Law or Tax treaty to a reduction of rate of, or the elimination of, or recovery of, applicable withholding Tax, it shall use commercially reasonable efforts to timely deliver to the Payer or the appropriate Governmental Authority (with the assistance of the Payer to the extent that this is reasonably required) the prescribed forms (including a properly completed IRS Form W-9 or appropriate IRS Form W-8, as applicable), certificates of residence, treaty claim forms and other documentation necessary to reduce the applicable rate of withholding or to relieve the Payer of its obligation to withhold Tax, and the Payer shall apply the reduced rate of withholding, or dispense with the withholding, as the case may be, to the extent it complies with the applicable Tax treaty or other applicable Law. If, in accordance with the foregoing, the Payer withholds any amount, it shall make timely payment to the proper Taxing Authority of the withheld amount, and send to the Payee proof of such payment as soon as reasonably practicable.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(b)            Prior to the Closing, each Seller shall deliver to Buyer a properly completed IRS Form W-9, applicable IRS Form W-8, certificate of tax residence, treaty claim form or other Tax documentation reasonably requested by Buyer and required under applicable Law to establish an exemption from, or reduction in, withholding Tax or to permit Buyer to comply with applicable Tax reporting or withholding obligations.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5.3.2      </w:t>
      </w:r>
      <w:r>
        <w:rPr>
          <w:rFonts w:ascii="Times New Roman" w:cs="Times New Roman" w:eastAsia="Times New Roman" w:hAnsi="Times New Roman"/>
          <w:sz w:val="18"/>
          <w:szCs w:val="18"/>
          <w:u w:val="single" w:color="auto"/>
          <w:color w:val="auto"/>
        </w:rPr>
        <w:t>  Transfer Taxes and Apportioned Obligations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means any recordation, transfer, documentary, stamp, conveyance, value added, sales, consumption, goods and services taxes or other similar Taxes imposed or levied by reason of, in connection with or attributable to this Agreement and the Ancillary Agreements or the Transactions and the transactions contemplated thereby, whether imposed under any applicable U.S. or non-U.S.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“Transfer Taxes” shall not include any withholding Taxes. To the extent available under applicable Law, the Parties intend that the sale, transfer, assignment and conveyance of the Purchased Assets are entitled to the exemption from all Transfer Taxes available under Section 1146(a) of the Bankruptcy Code, and the Parties shall use commercially reasonable efforts to obtain and give effect to such exemption, including by seeking to reflect such exemption in the Sale Order. To the extent any Transfer Taxes are nevertheless imposed, such Transfer Taxes shall be borne and paid 50% by Buyer on the one hand, and 50% by Sellers on the other hand. The party required by Law shall timely file all necessary Tax Returns and other documentation with respect to such Transfer Taxes and timely pay the Transfer Taxes shown as due thereon. No later than ten 10 days after the filing of such Tax Return, such filing party shall provide a copy of such Tax Return to the non-filing party with evidence that such Transfer Taxes have been paid and the non-filing party shall remit the portion of such Transfer Taxes that it is responsible for under this </w:t>
      </w:r>
      <w:r>
        <w:rPr>
          <w:rFonts w:ascii="Times New Roman" w:cs="Times New Roman" w:eastAsia="Times New Roman" w:hAnsi="Times New Roman"/>
          <w:sz w:val="18"/>
          <w:szCs w:val="18"/>
          <w:u w:val="single" w:color="auto"/>
          <w:color w:val="auto"/>
        </w:rPr>
        <w:t>Section 5.3.2(a)</w:t>
      </w:r>
      <w:r>
        <w:rPr>
          <w:rFonts w:ascii="Times New Roman" w:cs="Times New Roman" w:eastAsia="Times New Roman" w:hAnsi="Times New Roman"/>
          <w:sz w:val="18"/>
          <w:szCs w:val="18"/>
          <w:color w:val="auto"/>
        </w:rPr>
        <w:t xml:space="preserve"> (if any) to the paying party within 10 days of receipt of a copy of such Tax Return.</w:t>
      </w:r>
    </w:p>
    <w:p>
      <w:pPr>
        <w:spacing w:after="0" w:line="194"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(b)            All personal property, real property, and similar ad valorem obligations levied with respect to the Purchased Assets for a taxable period which includes (but does not end on) the Closing Date (collectively, the “</w:t>
      </w:r>
      <w:r>
        <w:rPr>
          <w:rFonts w:ascii="Times New Roman" w:cs="Times New Roman" w:eastAsia="Times New Roman" w:hAnsi="Times New Roman"/>
          <w:sz w:val="18"/>
          <w:szCs w:val="18"/>
          <w:b w:val="1"/>
          <w:bCs w:val="1"/>
          <w:color w:val="auto"/>
        </w:rPr>
        <w:t>Apportioned Obligations</w:t>
      </w:r>
      <w:r>
        <w:rPr>
          <w:rFonts w:ascii="Times New Roman" w:cs="Times New Roman" w:eastAsia="Times New Roman" w:hAnsi="Times New Roman"/>
          <w:sz w:val="18"/>
          <w:szCs w:val="18"/>
          <w:color w:val="auto"/>
        </w:rPr>
        <w:t>”) shall be apportioned between Sellers and Buyer based on the number of days of such taxable period ending on the Closing Date (such portion of such taxable period, the “</w:t>
      </w:r>
      <w:r>
        <w:rPr>
          <w:rFonts w:ascii="Times New Roman" w:cs="Times New Roman" w:eastAsia="Times New Roman" w:hAnsi="Times New Roman"/>
          <w:sz w:val="18"/>
          <w:szCs w:val="18"/>
          <w:b w:val="1"/>
          <w:bCs w:val="1"/>
          <w:color w:val="auto"/>
        </w:rPr>
        <w:t>Pre-Closing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and the number of days of such taxable period beginning on the day after the Closing Date (such portion of such taxable period, the “</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Sellers shall be liable for the proportionate amount of such Apportioned Obligations that is attributable to the Pre-Closing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and Buyer shall be liable for the proportionate amount of such Apportioned Obligations that is attributable to the Post-Closing Tax Period.</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5.3.3      </w:t>
      </w:r>
      <w:r>
        <w:rPr>
          <w:rFonts w:ascii="Times New Roman" w:cs="Times New Roman" w:eastAsia="Times New Roman" w:hAnsi="Times New Roman"/>
          <w:sz w:val="18"/>
          <w:szCs w:val="18"/>
          <w:u w:val="single" w:color="auto"/>
          <w:color w:val="auto"/>
        </w:rPr>
        <w:t>  Cooperation and Exchange of Information</w:t>
      </w:r>
      <w:r>
        <w:rPr>
          <w:rFonts w:ascii="Times New Roman" w:cs="Times New Roman" w:eastAsia="Times New Roman" w:hAnsi="Times New Roman"/>
          <w:sz w:val="18"/>
          <w:szCs w:val="18"/>
          <w:color w:val="auto"/>
        </w:rPr>
        <w:t>. Each of Sellers and Buyer shall reasonably endeavor, at its own expense, (a) provide the other with such assistance as may reasonably be requested by the other Party in connection with the preparation of any Tax Return, audit or other examination by any Taxing Authority or judicial or administrative proceeding relating to Liability for Taxes in connection with the Business or the Purchased Assets and (b) retain and provide the other Party with any records or other information that may be relevant to such Tax Return, audit or examination, proceeding or determination. Notwithstanding anything in this Agreement to the contrary, Buyer shall not be required at any time to provide any Seller or any of its Affiliates with any right to access or to review any Tax Return or Tax work papers of Buyer or any of its Affiliates. Sellers shall reasonably cooperate with Buyer in connection with any request for a tax clearance certificate, letter, or similar document under the applicable Laws of any jurisdiction relating to bulk sales or successor liability for Taxes with respect to the sale of the Purchased Assets.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5.3.4      </w:t>
      </w:r>
      <w:r>
        <w:rPr>
          <w:rFonts w:ascii="Times New Roman" w:cs="Times New Roman" w:eastAsia="Times New Roman" w:hAnsi="Times New Roman"/>
          <w:sz w:val="18"/>
          <w:szCs w:val="18"/>
          <w:u w:val="single" w:color="auto"/>
          <w:color w:val="auto"/>
        </w:rPr>
        <w:t>  Tax Treatment of Payments</w:t>
      </w:r>
      <w:r>
        <w:rPr>
          <w:rFonts w:ascii="Times New Roman" w:cs="Times New Roman" w:eastAsia="Times New Roman" w:hAnsi="Times New Roman"/>
          <w:sz w:val="18"/>
          <w:szCs w:val="18"/>
          <w:color w:val="auto"/>
        </w:rPr>
        <w:t>. Except as otherwise required under applicable Law, Sellers and Buyer shall, and shall cause their respective Affiliates to, treat any and all payments made under this Agreement after the Closing Date as an adjustment to the purchase price for all income Tax purposes (other than any portion thereof that is required to be treated as imputed interest for income Tax purposes).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5.3.5      </w:t>
      </w:r>
      <w:r>
        <w:rPr>
          <w:rFonts w:ascii="Times New Roman" w:cs="Times New Roman" w:eastAsia="Times New Roman" w:hAnsi="Times New Roman"/>
          <w:sz w:val="18"/>
          <w:szCs w:val="18"/>
          <w:u w:val="single" w:color="auto"/>
          <w:color w:val="auto"/>
        </w:rPr>
        <w:t>  Sale Order Tax Protections</w:t>
      </w:r>
      <w:r>
        <w:rPr>
          <w:rFonts w:ascii="Times New Roman" w:cs="Times New Roman" w:eastAsia="Times New Roman" w:hAnsi="Times New Roman"/>
          <w:sz w:val="18"/>
          <w:szCs w:val="18"/>
          <w:color w:val="auto"/>
        </w:rPr>
        <w:t>. The Parties agree that the Sale Order shall include provisions (i) finding that Buyer is not a successor to Sellers for any Tax purposes; (ii) providing that neither Buyer nor any of its Affiliates shall have any derivative, successor, transferee, or vicarious Tax liability of any kind or character, whether fixed or contingent, for Taxes of Sellers arising, accruing, or payable in connection with the operation of the Business prior to the Closing; and (iii) waiving, in all necessary jurisdictions, bulk sales, bulk transfer, and similar Laws, including those related to Taxes, and enjoining all Persons from commencing any proceeding or taking any action against Buyer or any of its Affiliates to recover any pre-Closing Tax liability against Buyer or its Affiliates.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5.4.         Accounts Receivable and Payable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5.4.1      </w:t>
      </w:r>
      <w:r>
        <w:rPr>
          <w:rFonts w:ascii="Times New Roman" w:cs="Times New Roman" w:eastAsia="Times New Roman" w:hAnsi="Times New Roman"/>
          <w:sz w:val="18"/>
          <w:szCs w:val="18"/>
          <w:u w:val="single" w:color="auto"/>
          <w:color w:val="auto"/>
        </w:rPr>
        <w:t>  Accounts Receivable</w:t>
      </w:r>
      <w:r>
        <w:rPr>
          <w:rFonts w:ascii="Times New Roman" w:cs="Times New Roman" w:eastAsia="Times New Roman" w:hAnsi="Times New Roman"/>
          <w:sz w:val="18"/>
          <w:szCs w:val="18"/>
          <w:color w:val="auto"/>
        </w:rPr>
        <w:t>. The Parties acknowledge and agree that all Accounts Receivable shall become the property of Buyer subsequent to the Closing. In the event that, subsequent to the Closing, any Seller receives any payments from any obligor with respect to an Account Receivable outstanding on the Closing Date, then such Seller shall, within ten (10) days after receipt of such payment, remit the full amount of such payment to Buyer.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5.4.2      </w:t>
      </w:r>
      <w:r>
        <w:rPr>
          <w:rFonts w:ascii="Times New Roman" w:cs="Times New Roman" w:eastAsia="Times New Roman" w:hAnsi="Times New Roman"/>
          <w:sz w:val="18"/>
          <w:szCs w:val="18"/>
          <w:u w:val="single" w:color="auto"/>
          <w:color w:val="auto"/>
        </w:rPr>
        <w:t>  Accounts Payable</w:t>
      </w:r>
      <w:r>
        <w:rPr>
          <w:rFonts w:ascii="Times New Roman" w:cs="Times New Roman" w:eastAsia="Times New Roman" w:hAnsi="Times New Roman"/>
          <w:sz w:val="18"/>
          <w:szCs w:val="18"/>
          <w:color w:val="auto"/>
        </w:rPr>
        <w:t>. In the event that, subsequent to the Closing, any Party receives any invoices from any Third Party with respect to any account payable of the Business outstanding prior to the Closing, then Sellers shall be responsible for payment thereof. In the event that, subsequent to the Closing, any Seller receives any invoices from any Third Party with respect to any account payable arising out of amounts that first became due and owing after the Closing and that relate solely to the Purchased Contracts, then such Seller shall, within ten (10) days after receipt of such invoice, provide such invoice to Buyer.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5.5.         Wrong Pockets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5.5.1      </w:t>
      </w:r>
      <w:r>
        <w:rPr>
          <w:rFonts w:ascii="Times New Roman" w:cs="Times New Roman" w:eastAsia="Times New Roman" w:hAnsi="Times New Roman"/>
          <w:sz w:val="18"/>
          <w:szCs w:val="18"/>
          <w:u w:val="single" w:color="auto"/>
          <w:color w:val="auto"/>
        </w:rPr>
        <w:t>  Assets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if either Buyer or any Seller becomes aware subsequent to the Closing that any of the Purchased Assets has not been transferred to Buyer or that any of the Excluded Assets has been transferred to Buyer, it shall promptly notify the other Party and the Parties shall, and shall cause their Subsidiaries to, as soon as reasonably practicable, take all necessary actions (including executing any further instruments or documents) to ensure that such property is transferred, at the expense of Sellers and with any necessary prior Third Party consent or approval, to (a) Buyer, in the case of any Purchased Asset that was not transferred to Buyer at the Closing; or (b) Sellers, in the case of any Excluded Asset that was transferred to Buyer at the Closing.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5.5.2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If, on or after the Closing, either Party shall receive any payments or other funds due to or belonging to the other Party pursuant to the terms of this Agreement or any Ancillary Agreement, then the Party receiving such funds shall, within thirty (30) days after receipt of such funds, forward such funds to the proper Party. The Parties acknowledge and agree there is no right of offset regarding such payments and a Party may not withhold funds received from Third Parties for the account of the other Party in the event there is a dispute regarding any other issue under this Agreement or any of the Ancillary Agreements.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5.6.         Acquired IP and Purchased Regulatory Approvals</w:t>
      </w:r>
      <w:r>
        <w:rPr>
          <w:rFonts w:ascii="Times New Roman" w:cs="Times New Roman" w:eastAsia="Times New Roman" w:hAnsi="Times New Roman"/>
          <w:sz w:val="18"/>
          <w:szCs w:val="18"/>
          <w:color w:val="auto"/>
        </w:rPr>
        <w:t>. Promptly following the Closing, at Buyer’s sole cost and expense, Sellers shall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further reasonable actions and execute such further documents as may be necessary or reasonably requested by Buyer to effectuate, evidence and perfect the assignment and transfer of the Owned IP and Purchased Regulatory Approvals to Buyer, including making such filings with any Governmental Authorities as may be required to transfer the Owned IP and Purchased Regulatory Approvals to Buyer or to further the prosecution, issuance, maintenance, defense or enforcement of the Owned IP or Purchased Regulatory Approvals.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5.7.         Bankruptcy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5.7.1        Sellers shall obtain entry of the Sale Order, the Bidding Procedures Order, and any other necessary Orders by the Bankruptcy Court as may be necessary or appropriate in connection with this Agreement and the consummation of the Transactions. Promptly after execution of this Agreement, Sellers shall file with the Bankruptcy Court the Bidding Procedures Order and the Sale Order in forms and substance consistent with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hereto authorizing and approving pursuant to Sections 105, 363, and 365 of the Bankruptcy Code, inter alia, (i) the sale of the Purchased Assets of the Sellers to Buyer on the terms and conditions set forth herein, free and clear of all Encumbrances (to the extent set forth therein), other than Assumed Liabilities, and (ii) the assumption and assignment of the Purchased Contracts to Buyer. The Sale Order shall stipulate that (x) Sellers have acted in “good faith” within the meaning of Section 363(m) of the Bankruptcy Code; (y) this Agreement was negotiated, proposed and entered into by the Parties without collusion, in good faith and from arm’s length bargaining positions; and (z) except as expressly set forth in this Agreement, Buyer shall have no Liability or responsibility for any Liability or other obligation of Sellers arising under or related to the Purchased Assets, including successor or vicarious Liabilities of any kind or character, including any theory of antitrust, environmental, successor, or transferee Liability, labor law, de facto merger, or substantial continuity and such other relief from the Bankruptcy Court as may be necessary or appropriate in connection with this Agreement and the consummation of the Transactions.</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5.7.2        Sellers shall give appropriate notice, and provide appropriate opportunity for hearing, to all Persons entitled thereto, of all motions (including the Bidding Procedures Motion), Orders, hearings, and other proceedings relating to this Agreement or any Ancillary Agreement and the Transactions and the transactions contemplated thereby and such additional notice as Ordered by the Bankruptcy Court or as Buyer may reasonably request.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5.7.3        Sellers and Buyer shall take all commercially reasonable actions as may be reasonably necessary to cause the Sale Order to become a Final Order, including, to the extent reasonably practicable, furnishing affidavits, declarations or other documents or information for filing with the Bankruptcy Court. Buyer agrees that it will promptly take such commercially reasonable actions as are reasonably requested by Sellers to assist in obtaining entry of the Sale Order and a finding of adequate assurance of future performance by Buyer, including furnishing affidavits or other documents or information for filing with the Bankruptcy Court for the purposes, among others, of (x) providing necessary assurances of performance by Buyer under this Agreement and demonstrating that Buyer is a “good faith” purchaser under Section 363(m) of the Bankruptcy Code, and (y) establishing adequate assurance of future performance within the meaning of Section 365 of the Bankruptcy Code.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5.7.4        Buyer acknowledges that pursuant to the Bankruptcy Code, the sale is subject to approval of the Bankruptcy Court. Buyer acknowledges that to obtain such approval each Seller must demonstrate that it has taken reasonable steps to obtain the highest or otherwise best bid possible for the assets, including giving notice of the Transactions to creditors and other interested parties as Ordered by the Bankruptcy Court, providing information about the assets to prospective Qualified Bidders (as defined in the Bidding Procedures), and entertaining any higher or otherwise better offers from prospective Qualified Bidders.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5.7.5        If the Bidding Procedures Order, Sale Order or any other orders of the Bankruptcy Court relating to this Agreement or the Transactions shall be appealed by any Person (or if any petition for certiorari or motion for reconsideration, amendment, clarification, modification, vacation, stay, rehearing or reargument shall be filed with respect to the Sale Order, Bidding Procedures Order or other such Order), and this Agreement has not otherwise been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Sellers shall immediately notify Buyer of such appeal, petition, or motion and shall use commercially reasonable efforts to defend such appeal, petition, or motion and shall use commercially reasonable efforts to obtain an expedited resolution of any such appeal, petition, or motion.</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5.7.6        In accordance with the Bidding Procedures Order, if an Auction is conducted and Buyer is not the prevailing party at the conclusion of such Auction but is the next highest bidder, as determined by Sellers, Buyer shall be required to serve as the backup bidder (the “</w:t>
      </w:r>
      <w:r>
        <w:rPr>
          <w:rFonts w:ascii="Times New Roman" w:cs="Times New Roman" w:eastAsia="Times New Roman" w:hAnsi="Times New Roman"/>
          <w:sz w:val="18"/>
          <w:szCs w:val="18"/>
          <w:b w:val="1"/>
          <w:bCs w:val="1"/>
          <w:color w:val="auto"/>
        </w:rPr>
        <w:t>Backup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Bidder</w:t>
      </w:r>
      <w:r>
        <w:rPr>
          <w:rFonts w:ascii="Times New Roman" w:cs="Times New Roman" w:eastAsia="Times New Roman" w:hAnsi="Times New Roman"/>
          <w:sz w:val="18"/>
          <w:szCs w:val="18"/>
          <w:color w:val="auto"/>
        </w:rPr>
        <w:t>”) and keep Buyer’s bid to consummate the Transactions (as the same may be revised in the Auction with the consent of Buyer) open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in accordance with the Bidding Procedures Order until the earliest of (a) the first business day after the closing of a sale transaction with the Successful Bidder, (b) ten (10) days after the entry of an Order approving a sale to the Successful Bidder at the Auction, and (c) twenty (20) days after the Auction (such date, the “</w:t>
      </w:r>
      <w:r>
        <w:rPr>
          <w:rFonts w:ascii="Times New Roman" w:cs="Times New Roman" w:eastAsia="Times New Roman" w:hAnsi="Times New Roman"/>
          <w:sz w:val="18"/>
          <w:szCs w:val="18"/>
          <w:b w:val="1"/>
          <w:bCs w:val="1"/>
          <w:color w:val="auto"/>
        </w:rPr>
        <w:t>Backup Bid Expiration Date</w:t>
      </w:r>
      <w:r>
        <w:rPr>
          <w:rFonts w:ascii="Times New Roman" w:cs="Times New Roman" w:eastAsia="Times New Roman" w:hAnsi="Times New Roman"/>
          <w:sz w:val="18"/>
          <w:szCs w:val="18"/>
          <w:color w:val="auto"/>
        </w:rPr>
        <w:t>”). In accordance with and subject to the Bidding Procedures Order, if the closing of the sale transaction with the Successful Bidder is terminated prior to the Backup Bid Expiration Date, the Backup Bidder will be deemed the new Successful Bidder, subject to the terms hereof, and Buyer and the Sellers shall be obligated to consummate the sale pursuant to the terms of this Agreement as if Buyer were the Successful Bidder at the Auction.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8"/>
          <w:szCs w:val="18"/>
          <w:color w:val="auto"/>
        </w:rPr>
        <w:t>5.7.7        Each Seller shall comply with the following timeline (the “</w:t>
      </w:r>
      <w:r>
        <w:rPr>
          <w:rFonts w:ascii="Times New Roman" w:cs="Times New Roman" w:eastAsia="Times New Roman" w:hAnsi="Times New Roman"/>
          <w:sz w:val="18"/>
          <w:szCs w:val="18"/>
          <w:b w:val="1"/>
          <w:bCs w:val="1"/>
          <w:color w:val="auto"/>
        </w:rPr>
        <w:t>Bankruptcy Court Milestones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            On the Petition Date, each Seller shall file with the Bankruptcy Court the Bidding Procedures Motion, together with a fully executed form of this Agreement.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No later than thirty (30) calendar days after the Petition Date, each Seller shall obtain entry of the Bidding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(c)            No later than fifty (50) calendar days after the Petition Date, the Auction (if necessary) shall have been held pursuant to the Bidding Procedures Order.</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(d)            No later than fifty-five (55) calendar days after the Petition Date, the Bankruptcy Court shall have held the Sale Hearing to consider entry of the Sale Order.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No later than sixty (60) calendar days after the Petition Date, each Seller shall obtain entry by the Bankruptcy Court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Sale Order.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5.7.8        Each Seller shall promptly serve true and correct copies of all applicable pleadings and notices in accordance with the Bidding Procedures Order, the Bankruptcy Code, the Bankruptcy Rules and any other applicable Order of the Bankruptcy Court.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5.7.9        No Seller shall voluntarily pursue or seek, or fail to oppose any third party in pursuing or seeking, a conversion of the Chapter 11 Cases to a case under Chapter 7 of the Bankruptcy Code, the appointment of a trustee under Chapter 11 or Chapter 7 of the Bankruptcy Code or the appointment of an examiner with expanded powers.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5.8.         Cure Costs</w:t>
      </w:r>
      <w:r>
        <w:rPr>
          <w:rFonts w:ascii="Times New Roman" w:cs="Times New Roman" w:eastAsia="Times New Roman" w:hAnsi="Times New Roman"/>
          <w:sz w:val="18"/>
          <w:szCs w:val="18"/>
          <w:color w:val="auto"/>
        </w:rPr>
        <w:t>. Subject to entry of the Sale Order, Buyer shall, except for Disputed Contracts, at Closing (or, in the case of any Contract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assigned following the Closing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on or prior to the date of such assignment), pay the Cure Costs and cure any and all other curable defaults and breaches under the Purchased Contracts so that such Contracts may be assumed by the applicable Seller and assigned to Buyer in accordance with the provisions of section 365 of the Bankruptcy Code and this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5.9.         Commercially Reasonable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Bidding Procedures Order and the other provisions of this Agreement,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date hereof until the Closing Date or earlier termination of this Agreement, each Party shall use commercially reasonable efforts to take such steps within its control to consummate the Closing as promptly as practicable.</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5.10.       Copies of Pleadings</w:t>
      </w:r>
      <w:r>
        <w:rPr>
          <w:rFonts w:ascii="Times New Roman" w:cs="Times New Roman" w:eastAsia="Times New Roman" w:hAnsi="Times New Roman"/>
          <w:sz w:val="18"/>
          <w:szCs w:val="18"/>
          <w:color w:val="auto"/>
        </w:rPr>
        <w:t>. Sellers shall consult with Buyer concerning the Sale Order and any other Orders of the Bankruptcy Court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and any other documents, motions, filings, or pleadings filed in the Chapter 11 Cases that relate to the Transactions (collectively, “</w:t>
      </w:r>
      <w:r>
        <w:rPr>
          <w:rFonts w:ascii="Times New Roman" w:cs="Times New Roman" w:eastAsia="Times New Roman" w:hAnsi="Times New Roman"/>
          <w:sz w:val="18"/>
          <w:szCs w:val="18"/>
          <w:b w:val="1"/>
          <w:bCs w:val="1"/>
          <w:color w:val="auto"/>
        </w:rPr>
        <w:t>Transaction Pleadings</w:t>
      </w:r>
      <w:r>
        <w:rPr>
          <w:rFonts w:ascii="Times New Roman" w:cs="Times New Roman" w:eastAsia="Times New Roman" w:hAnsi="Times New Roman"/>
          <w:sz w:val="18"/>
          <w:szCs w:val="18"/>
          <w:color w:val="auto"/>
        </w:rPr>
        <w:t xml:space="preserve">”). To the extent practicable, at least two (2) Business Days prior to filing thereof, Sellers shall provide Buyer with drafts of all Transaction Pleadings that Sellers propose to file with the Bankruptcy Court that relate to the approval of this Agreement, the Sale Order, and the consummation of the Transactions. Sellers shall promptly provide Buyer with copies of all pleadings received by or served by or upon Sellers in connection with the Chapter 11 Cases that relate to or, in Sellers’ or Buyer’s judgment, are reasonably expected to affect the Transactions and which have not, to the actual knowledge of Sellers, otherwise been served on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Sellers shall not be obligated to provide Buyer with any notice or copies of pleadings with respect to any filings on the public docket for the Chapter 11 Cases.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5.11.       Books and Records</w:t>
      </w:r>
      <w:r>
        <w:rPr>
          <w:rFonts w:ascii="Times New Roman" w:cs="Times New Roman" w:eastAsia="Times New Roman" w:hAnsi="Times New Roman"/>
          <w:sz w:val="18"/>
          <w:szCs w:val="18"/>
          <w:color w:val="auto"/>
        </w:rPr>
        <w:t>. For a period of three (3) years after the Closing, Buyer shall: (a) retain all material books and records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Purchased Assets, the Assumed Liabilities and the Business; and (b) upon reasonable notice and during normal business hours, and at the Sellers’ expense, cooperate with and provide Sellers, any of Sellers’ Affiliates, and the officers, employees, agents and Representatives of Sellers and Sellers’ Affiliates reasonable access to such books and records, to the extent necessary for the preparation of financial statements, in connection with any Litigation (but expressly excluding any litigation against the Buyer, in which situation document production will be governed by rules of discovery), or in connection with the administration of the Chapter 11 Cases. Notwithstanding the foregoing, Buyer shall not be required by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to provide Sellers, any of Sellers’ Affiliates, and the officers, employees, agents and Representatives of Sellers and Sellers’ Affiliates with access to or to disclose information (i) the disclosure of which would violate applicable Law, (ii) that in the reasonable judgment of Buyer would result in the disclosure of any Trade Secrets of third parties or violate any of its obligations with respect to confidentiality or (iii) the disclosure of which would cause the loss of any attorney-client, attorney work product or other legal privilege.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not apply to Taxes.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5.12.       Assumption of Regulatory Commitments; Transfer of Purchased Regulatory Approvals</w:t>
      </w:r>
      <w:r>
        <w:rPr>
          <w:rFonts w:ascii="Times New Roman" w:cs="Times New Roman" w:eastAsia="Times New Roman" w:hAnsi="Times New Roman"/>
          <w:sz w:val="18"/>
          <w:szCs w:val="18"/>
          <w:color w:val="auto"/>
        </w:rPr>
        <w:t>. The Parties shall reasonably cooperate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other in any necessary or desirable communications with Governmental Authorities regarding the transfer of the rights to the Purchased Regulatory Approvals. Prior to the Closing, Sellers shall take all steps necessary to prepare all materials to be transferred as Purchased Regulatory Assets at the Closing and shall cooperate with Buyer in furtherance thereof. Notwithstanding any delay in transferring the rights to the Purchased Regulatory Approvals to Buyer, as between the Parties, Buyer shall be exclusively responsible for (and shall bear the cost of), and shall discharge all liabilities related to, the Manufacture and Commercialization of the Products by or on behalf of Buyer after the Closing. From and after the Closing, Buyer will assume control of, and responsibility for, all costs and Liabilities arising from or related to any commitments or obligations to any Governmental Authority involving the Purchased Assets and the Business. On the Closing Date, (i) Sellers shall file, or cause to be filed, the Seller Transfer Letters with FDA and provide a copy of the as-filed Seller Transfer Letters to Buyer, and (ii) Buyer shall file, or cause to be filed, the Buyer Transfer Letters with FDA and provide a copy of the as-filed Buyer Transfer Letters to Seller. Sellers shall use all commercially reasonable efforts to complete the transfer of any other Purchased Regulatory Approval as promptly as practicable after the Closing (and in any event within five (5) Business Days of the Closing). Buyer shall use all commercially reasonable efforts to assist Sellers in the transfer of the Purchased Regulatory Approvals to Buyer, accept the transfer of the Purchased Regulatory Approvals and formalize with Sellers and any applicable Governmental Authority, as promptly as practicable after the Closing, all necessary documents (and in any event within five (5) Business Days of the Closing). Following such transfer, no Seller shall retain any rights in any Purchased Regulatory Approvals.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5.13.       Trade Notification</w:t>
      </w:r>
      <w:r>
        <w:rPr>
          <w:rFonts w:ascii="Times New Roman" w:cs="Times New Roman" w:eastAsia="Times New Roman" w:hAnsi="Times New Roman"/>
          <w:sz w:val="18"/>
          <w:szCs w:val="18"/>
          <w:color w:val="auto"/>
        </w:rPr>
        <w:t>. Prior to Closing, Buyer shall lead, but consult with the Sellers regarding, the timing, method, form and content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notifications to customers and suppliers regarding the Transactions.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color w:val="auto"/>
        </w:rPr>
        <w:t>5.14.       Employee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5.14.1    </w:t>
      </w:r>
      <w:r>
        <w:rPr>
          <w:rFonts w:ascii="Times New Roman" w:cs="Times New Roman" w:eastAsia="Times New Roman" w:hAnsi="Times New Roman"/>
          <w:sz w:val="18"/>
          <w:szCs w:val="18"/>
          <w:u w:val="single" w:color="auto"/>
          <w:color w:val="auto"/>
        </w:rPr>
        <w:t>  Offers of Employment</w:t>
      </w:r>
      <w:r>
        <w:rPr>
          <w:rFonts w:ascii="Times New Roman" w:cs="Times New Roman" w:eastAsia="Times New Roman" w:hAnsi="Times New Roman"/>
          <w:sz w:val="18"/>
          <w:szCs w:val="18"/>
          <w:color w:val="auto"/>
        </w:rPr>
        <w:t>. Sellers shall update the Business Employee List and provide to Buyer the updated Business Employee List thirty (30) days prior to Closing, on the Closing Date, and within two (2) Business Days of Buyer’s written request therefor. No later than five</w:t>
      </w:r>
    </w:p>
    <w:p>
      <w:pPr>
        <w:jc w:val="both"/>
        <w:ind w:firstLine="8"/>
        <w:spacing w:after="0" w:line="25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Buyer shall offer employment on an at-will basis to be effective as of the Closing to those Business Employees then employed by Sellers that Buyer wishes to employ from and after the Closing (individuals who accept such offer of employment and actually commence employment with Buyer or its Affiliate shall be referred to herein as the “</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xml:space="preserve">”). Sellers will cooperate with Buyer in order to facilitate the offers of employment and delivery of such offers (which shall include, but not be limited to, facilitating and allowing Buyer to conduct, at its sole discretion and prior to Closing, such interviews with such Business Employees as Buyer desires). All such employment offers made by Buyer or its Affiliates to any Business Employee shall be subject to such Business Employee’s satisfaction of Buyer’s or its Affiliate’s customary pre-employment background check process and execution of standard employment documentation, including confidentiality, intellectual property and ownership and restrictive covenant agreements. Each Business Employee who accepts an offer of employment with Buyer or its Affiliate in accordance with this </w:t>
      </w:r>
      <w:r>
        <w:rPr>
          <w:rFonts w:ascii="Times New Roman" w:cs="Times New Roman" w:eastAsia="Times New Roman" w:hAnsi="Times New Roman"/>
          <w:sz w:val="18"/>
          <w:szCs w:val="18"/>
          <w:u w:val="single" w:color="auto"/>
          <w:color w:val="auto"/>
        </w:rPr>
        <w:t>Section 5.14.1</w:t>
      </w:r>
      <w:r>
        <w:rPr>
          <w:rFonts w:ascii="Times New Roman" w:cs="Times New Roman" w:eastAsia="Times New Roman" w:hAnsi="Times New Roman"/>
          <w:sz w:val="18"/>
          <w:szCs w:val="18"/>
          <w:color w:val="auto"/>
        </w:rPr>
        <w:t xml:space="preserve"> will be deemed to have resigned from employment with Sellers, as applicable, effective as of immediately prior to the date upon which such Business Employee commences employment with Buyer or its Affiliate. In no event shall Buyer or its Affiliates assume any Liabilities pursuant to this Agreement with respect to any current or former employees or other service providers of Seller or its Affiliates, including the Company, or any Plans or any other compensation or benefit plans, programs, arrangements or agreements.</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5.14.2    </w:t>
      </w:r>
      <w:r>
        <w:rPr>
          <w:rFonts w:ascii="Times New Roman" w:cs="Times New Roman" w:eastAsia="Times New Roman" w:hAnsi="Times New Roman"/>
          <w:sz w:val="18"/>
          <w:szCs w:val="18"/>
          <w:u w:val="single" w:color="auto"/>
          <w:color w:val="auto"/>
        </w:rPr>
        <w:t>  Buyer Benefit Plans</w:t>
      </w:r>
      <w:r>
        <w:rPr>
          <w:rFonts w:ascii="Times New Roman" w:cs="Times New Roman" w:eastAsia="Times New Roman" w:hAnsi="Times New Roman"/>
          <w:sz w:val="18"/>
          <w:szCs w:val="18"/>
          <w:color w:val="auto"/>
        </w:rPr>
        <w:t>. In respect of the employee benefit plans, programs, policies, contracts, or arrangements (whether written or unwritten) established or maintained by Buyer or its Affiliates in which Continuing Employees are eligible to participate following the Closing Date other than those providing any Excluded Benefit (collectively, “</w:t>
      </w:r>
      <w:r>
        <w:rPr>
          <w:rFonts w:ascii="Times New Roman" w:cs="Times New Roman" w:eastAsia="Times New Roman" w:hAnsi="Times New Roman"/>
          <w:sz w:val="18"/>
          <w:szCs w:val="18"/>
          <w:b w:val="1"/>
          <w:bCs w:val="1"/>
          <w:color w:val="auto"/>
        </w:rPr>
        <w:t>Buyer Benefit Plans</w:t>
      </w:r>
      <w:r>
        <w:rPr>
          <w:rFonts w:ascii="Times New Roman" w:cs="Times New Roman" w:eastAsia="Times New Roman" w:hAnsi="Times New Roman"/>
          <w:sz w:val="18"/>
          <w:szCs w:val="18"/>
          <w:color w:val="auto"/>
        </w:rPr>
        <w:t xml:space="preserve">”), Buyer shall use commercially reasonable efforts to (i) for the plan year in which the Closing Date occurs, waive all limitations as to pre-existing conditions, exclusions and waiting periods with respect to participation and coverage requirements applicable to any Continuing Employee under a Buyer Benefit Plan that is a group health plan to the extent waived or satisfied under the corresponding Plan, (ii) for the plan year in which the Closing Date occurs, provide each Continuing Employee with credit for any co-payments and deductibles paid by such Continuing Employee during the portion of the plan year prior to the Closing Date under a Plan that is a group health plan for purposes of satisfying the corresponding deductibles and out-of-pocket maximums applicable to such Continuing Employee under the applicable Buyer Benefit Plan, and (iii) for purposes of determining eligibility to participate, vesting of 401(k) contributions and determination of the level of paid time off benefits (excluding for purposes of benefit accruals under any defined benefit pension plan or retiree health or welfare plan or arrangement), recognize a Continuing Employee’s service with Seller prior to the Closing Date to the same extent and for the same purpose such service was recognized under the corresponding Plans prior to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service shall not be recognized to the extent that (x) such recognition would result in a duplication of benefits or compensation, (y) such service was not recognized under the corresponding Plan immediately prior to Closing, or (z) such service is not recognized under such Buyer Benefit Plan (or a comparable plan) for other employees of Buyer and its Affiliates.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5.14.3    </w:t>
      </w:r>
      <w:r>
        <w:rPr>
          <w:rFonts w:ascii="Times New Roman" w:cs="Times New Roman" w:eastAsia="Times New Roman" w:hAnsi="Times New Roman"/>
          <w:sz w:val="18"/>
          <w:szCs w:val="18"/>
          <w:u w:val="single" w:color="auto"/>
          <w:color w:val="auto"/>
        </w:rPr>
        <w:t>  Restrictive Covenant Agreements</w:t>
      </w:r>
      <w:r>
        <w:rPr>
          <w:rFonts w:ascii="Times New Roman" w:cs="Times New Roman" w:eastAsia="Times New Roman" w:hAnsi="Times New Roman"/>
          <w:sz w:val="18"/>
          <w:szCs w:val="18"/>
          <w:color w:val="auto"/>
        </w:rPr>
        <w:t>. Each Seller agrees that, notwithstanding the terms of any non-competition, non-solicit, non-disclosure, or similar restrictive covenant between such Seller and a Continuing Employee, a consultant or a vendor (the “</w:t>
      </w:r>
      <w:r>
        <w:rPr>
          <w:rFonts w:ascii="Times New Roman" w:cs="Times New Roman" w:eastAsia="Times New Roman" w:hAnsi="Times New Roman"/>
          <w:sz w:val="18"/>
          <w:szCs w:val="18"/>
          <w:b w:val="1"/>
          <w:bCs w:val="1"/>
          <w:color w:val="auto"/>
        </w:rPr>
        <w:t>RCAs</w:t>
      </w:r>
      <w:r>
        <w:rPr>
          <w:rFonts w:ascii="Times New Roman" w:cs="Times New Roman" w:eastAsia="Times New Roman" w:hAnsi="Times New Roman"/>
          <w:sz w:val="18"/>
          <w:szCs w:val="18"/>
          <w:color w:val="auto"/>
        </w:rPr>
        <w:t>”), such Continuing Employee, consultant or vendor shall be permitted to provide services to Buyer and its Affiliates following the Closing, and no Seller will seek to enforce the terms of any such RCA against Buyer or its Affiliates following the Closing. Each Seller shall use commercially reasonable efforts to assign such RCAs to Buyer or its applicable Affiliate effective as of the Closing.</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5.14.4    </w:t>
      </w:r>
      <w:r>
        <w:rPr>
          <w:rFonts w:ascii="Times New Roman" w:cs="Times New Roman" w:eastAsia="Times New Roman" w:hAnsi="Times New Roman"/>
          <w:sz w:val="18"/>
          <w:szCs w:val="18"/>
          <w:u w:val="single" w:color="auto"/>
          <w:color w:val="auto"/>
        </w:rPr>
        <w:t>  Contingent Labor</w:t>
      </w:r>
      <w:r>
        <w:rPr>
          <w:rFonts w:ascii="Times New Roman" w:cs="Times New Roman" w:eastAsia="Times New Roman" w:hAnsi="Times New Roman"/>
          <w:sz w:val="18"/>
          <w:szCs w:val="18"/>
          <w:color w:val="auto"/>
        </w:rPr>
        <w:t>. During the period prior to the Closing, Sellers shall use commercially reasonable efforts to make individual natural person independent contractors related to the Business and directly engaged by Sellers available to Buyer for the purpose of allowing Buyer to interview each such contractor and determine the nature and extent of each such person’s continuation with Buyer and its applicable Affiliates, if any. Sellers shall provide to Buyer contact information for third-party service providers providing contingent personnel to the Business and reasonably cooperate in identifying and transferring such contingent workforce to the extent requested by Buyer.</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5.14.5    </w:t>
      </w:r>
      <w:r>
        <w:rPr>
          <w:rFonts w:ascii="Times New Roman" w:cs="Times New Roman" w:eastAsia="Times New Roman" w:hAnsi="Times New Roman"/>
          <w:sz w:val="18"/>
          <w:szCs w:val="18"/>
          <w:u w:val="single" w:color="auto"/>
          <w:color w:val="auto"/>
        </w:rPr>
        <w:t>  Third Party Beneficiaries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be binding upon and inure solely to the benefit of each of the Parties to this Agreement; nothing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expressed or implied, is intended to confer upon any other Person any rights or remedies of any nature whatever; and no provision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will create any third-party beneficiary rights in any current or former employee or other individual service provider of any Seller or any of its Affiliates in respect of continued employment (or resumed employment) or service or any other matter.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not be considered, or deemed to be, an amendment to or establishment of any Plan or any other compensation or benefit plan, program, policy, contract, agreement or arrangement. Nothing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obligate Buyer or any of its Affiliates (i) to continue to employ any Continuing Employee, other Business Employee or other individual service provider for any specific period of time following the Closing Date, subject to the requirements of applicable Law or (ii) limit the right of Buyer or any of its Affiliates to, at any time, change or modify any benefit or compensation plan, program, policy, contract, agreement or arrangement at any time and in any manner.</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5.15.       D&amp;O Insurance</w:t>
      </w:r>
      <w:r>
        <w:rPr>
          <w:rFonts w:ascii="Times New Roman" w:cs="Times New Roman" w:eastAsia="Times New Roman" w:hAnsi="Times New Roman"/>
          <w:sz w:val="18"/>
          <w:szCs w:val="18"/>
          <w:color w:val="auto"/>
        </w:rPr>
        <w:t>. Prior to the Closing, Sellers shall obtain, at the Sellers’ sole expense, a prepaid (or “tail”) directors’ and officers’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policy in respect of acts or omissions occurring at or prior to the Closing Date for six (6) years from the Closing Date covering all current and former directors and officers of Sellers, on terms and conditions no less favorable than those contained in the directors’ and officers’ liability insurance policy in effect immediately prior to the Closing Date.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         Conditions to Obligations of Buyer and Sellers</w:t>
      </w:r>
      <w:r>
        <w:rPr>
          <w:rFonts w:ascii="Times New Roman" w:cs="Times New Roman" w:eastAsia="Times New Roman" w:hAnsi="Times New Roman"/>
          <w:sz w:val="18"/>
          <w:szCs w:val="18"/>
          <w:color w:val="auto"/>
        </w:rPr>
        <w:t>. The obligations of Buyer and Sellers to complete the Transactions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waiver (if permitted by applicable Law) at or prior to the Closing of the following conditions: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No Illegality or Action</w:t>
      </w:r>
      <w:r>
        <w:rPr>
          <w:rFonts w:ascii="Times New Roman" w:cs="Times New Roman" w:eastAsia="Times New Roman" w:hAnsi="Times New Roman"/>
          <w:sz w:val="18"/>
          <w:szCs w:val="18"/>
          <w:color w:val="auto"/>
        </w:rPr>
        <w:t>. There shall not be in effect any applicable Law that enjoins or prohibits the Transactions.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Bankruptcy Orders</w:t>
      </w:r>
      <w:r>
        <w:rPr>
          <w:rFonts w:ascii="Times New Roman" w:cs="Times New Roman" w:eastAsia="Times New Roman" w:hAnsi="Times New Roman"/>
          <w:sz w:val="18"/>
          <w:szCs w:val="18"/>
          <w:color w:val="auto"/>
        </w:rPr>
        <w:t xml:space="preserve">. The Bankruptcy Court shall have timely entered the Bidding Procedures Order, such Order shall be a Final Order, and shall be in full force and effect, and such Order shall not have been reversed, modified, amended or stayed, and shall be in substantially the form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hereof. The Bankruptcy Court shall have entered the Sale Order, such Order shall be a Final Order, and shall be in full force and effect, and such Order shall not have been reversed, modified, amended or stayed, and shall be in substantially the form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6.2.         Conditions to Obligations of Buyer</w:t>
      </w:r>
      <w:r>
        <w:rPr>
          <w:rFonts w:ascii="Times New Roman" w:cs="Times New Roman" w:eastAsia="Times New Roman" w:hAnsi="Times New Roman"/>
          <w:sz w:val="18"/>
          <w:szCs w:val="18"/>
          <w:color w:val="auto"/>
        </w:rPr>
        <w:t>. The obligation of Buyer to complete the Transactions is subject to the satisfaction, or waiver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by Buyer, at or prior to the Closing of the following additional conditions:</w:t>
      </w:r>
    </w:p>
    <w:p>
      <w:pPr>
        <w:spacing w:after="0" w:line="15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6.2.1      </w:t>
      </w:r>
      <w:r>
        <w:rPr>
          <w:rFonts w:ascii="Times New Roman" w:cs="Times New Roman" w:eastAsia="Times New Roman" w:hAnsi="Times New Roman"/>
          <w:sz w:val="18"/>
          <w:szCs w:val="18"/>
          <w:u w:val="single" w:color="auto"/>
          <w:color w:val="auto"/>
        </w:rPr>
        <w:t>  Truth of Representations and Warranties</w:t>
      </w:r>
      <w:r>
        <w:rPr>
          <w:rFonts w:ascii="Times New Roman" w:cs="Times New Roman" w:eastAsia="Times New Roman" w:hAnsi="Times New Roman"/>
          <w:sz w:val="18"/>
          <w:szCs w:val="18"/>
          <w:color w:val="auto"/>
        </w:rPr>
        <w:t xml:space="preserve">. (a) The representations and warranties of Sellers contained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must be true and correct in all material respects as of the Closing with the same force and effect as if such representations and warranties were made on and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representation and warranty speaks only as of a specific date it only needs to be true and correct as of that date) and (b) all other representations and warranties of Sellers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must be true and correct (disregarding any “materiality”, “Material Adverse Effect” or similar qualifications contained therein) as of the Closing with the same force and effect as if such representations and warranties were made on and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representation and warranty speaks only as of a specific date it only needs to be true and correct as of that date), except where the failure of such representations and warranties to be so true and correct would not have, or be reasonably expected to have, a Material Adverse Effect. Each Seller shall also have executed and delivered a certificate confirming the foregoing signed by an officer of such Seller.</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6.2.2      </w:t>
      </w:r>
      <w:r>
        <w:rPr>
          <w:rFonts w:ascii="Times New Roman" w:cs="Times New Roman" w:eastAsia="Times New Roman" w:hAnsi="Times New Roman"/>
          <w:sz w:val="18"/>
          <w:szCs w:val="18"/>
          <w:u w:val="single" w:color="auto"/>
          <w:color w:val="auto"/>
        </w:rPr>
        <w:t>  Performance of Covenants</w:t>
      </w:r>
      <w:r>
        <w:rPr>
          <w:rFonts w:ascii="Times New Roman" w:cs="Times New Roman" w:eastAsia="Times New Roman" w:hAnsi="Times New Roman"/>
          <w:sz w:val="18"/>
          <w:szCs w:val="18"/>
          <w:color w:val="auto"/>
        </w:rPr>
        <w:t>. Each Seller must have fulfilled or complied, in all material respects, with all covenants contained in this Agreement required to be fulfilled or complied with by it at or prior to the Closing. Each Seller shall also have executed and delivered a certificate confirming the foregoing signed by an officer of such Seller.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6.2.3      </w:t>
      </w:r>
      <w:r>
        <w:rPr>
          <w:rFonts w:ascii="Times New Roman" w:cs="Times New Roman" w:eastAsia="Times New Roman" w:hAnsi="Times New Roman"/>
          <w:sz w:val="18"/>
          <w:szCs w:val="18"/>
          <w:u w:val="single" w:color="auto"/>
          <w:color w:val="auto"/>
        </w:rPr>
        <w:t>  Material Adverse Effect</w:t>
      </w:r>
      <w:r>
        <w:rPr>
          <w:rFonts w:ascii="Times New Roman" w:cs="Times New Roman" w:eastAsia="Times New Roman" w:hAnsi="Times New Roman"/>
          <w:sz w:val="18"/>
          <w:szCs w:val="18"/>
          <w:color w:val="auto"/>
        </w:rPr>
        <w:t>. Since the date of this Agreement, there shall not have occurred a Material Adverse Effect.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left="1300"/>
        <w:spacing w:after="0"/>
        <w:rPr>
          <w:sz w:val="20"/>
          <w:szCs w:val="20"/>
          <w:color w:val="auto"/>
        </w:rPr>
      </w:pPr>
      <w:r>
        <w:rPr>
          <w:rFonts w:ascii="Times New Roman" w:cs="Times New Roman" w:eastAsia="Times New Roman" w:hAnsi="Times New Roman"/>
          <w:sz w:val="18"/>
          <w:szCs w:val="18"/>
          <w:color w:val="auto"/>
        </w:rPr>
        <w:t>6.2.4      </w:t>
      </w:r>
      <w:r>
        <w:rPr>
          <w:rFonts w:ascii="Times New Roman" w:cs="Times New Roman" w:eastAsia="Times New Roman" w:hAnsi="Times New Roman"/>
          <w:sz w:val="18"/>
          <w:szCs w:val="18"/>
          <w:u w:val="single" w:color="auto"/>
          <w:color w:val="auto"/>
        </w:rPr>
        <w:t>  Closing Deliveries</w:t>
      </w:r>
      <w:r>
        <w:rPr>
          <w:rFonts w:ascii="Times New Roman" w:cs="Times New Roman" w:eastAsia="Times New Roman" w:hAnsi="Times New Roman"/>
          <w:sz w:val="18"/>
          <w:szCs w:val="18"/>
          <w:color w:val="auto"/>
        </w:rPr>
        <w:t>. Buyer must have received the following:</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(a)            a true and complete copy of the Sale Order, as entered by the Bankruptcy Court, which shall be in substantially the form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(b)            the certificates referred to in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(c)            a receipt acknowledging receipt of the Upfront Payment, in satisfaction of Buyer’s obligations pursuant to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validly executed by a duly authorized Representative of Sellers;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(d)            not less than two (2) Business Days prior to Closing, through a web portal, storage device or other medium which the Parties shall agree to in good faith, all IT data, systems information and records and all Purchased Product Records, the form and content of which will be capable of being analyzed by, and be reasonably satisfactory to, Buyer;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each of the Ancillary Agreements to which any Seller is a party, validly executed by a duly authorized Representative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Seller.</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6.2.5      </w:t>
      </w:r>
      <w:r>
        <w:rPr>
          <w:rFonts w:ascii="Times New Roman" w:cs="Times New Roman" w:eastAsia="Times New Roman" w:hAnsi="Times New Roman"/>
          <w:sz w:val="18"/>
          <w:szCs w:val="18"/>
          <w:u w:val="single" w:color="auto"/>
          <w:color w:val="auto"/>
        </w:rPr>
        <w:t>  Third Party Consents</w:t>
      </w:r>
      <w:r>
        <w:rPr>
          <w:rFonts w:ascii="Times New Roman" w:cs="Times New Roman" w:eastAsia="Times New Roman" w:hAnsi="Times New Roman"/>
          <w:sz w:val="18"/>
          <w:szCs w:val="18"/>
          <w:color w:val="auto"/>
        </w:rPr>
        <w:t xml:space="preserve">. Each Seller will have received any consents necessary to convey the Licensed IP and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6.2.5</w:t>
      </w:r>
      <w:r>
        <w:rPr>
          <w:rFonts w:ascii="Times New Roman" w:cs="Times New Roman" w:eastAsia="Times New Roman" w:hAnsi="Times New Roman"/>
          <w:sz w:val="18"/>
          <w:szCs w:val="18"/>
          <w:color w:val="auto"/>
        </w:rPr>
        <w:t xml:space="preserve">, if any, to Buyer at the Closing, in form and substance reasonably satisfactory to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Sellers obtain an Order (including the Sale Order) containing a finding that the proposed conveyance of any applicable Licensed IP is authorized under section 365 of the Bankruptcy Code, Sellers shall have no further obligation to obtain any approval, consent, or waiver from any Third Party with respect to such Licensed IP.</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6.3.         Conditions to Obligations of Sellers</w:t>
      </w:r>
      <w:r>
        <w:rPr>
          <w:rFonts w:ascii="Times New Roman" w:cs="Times New Roman" w:eastAsia="Times New Roman" w:hAnsi="Times New Roman"/>
          <w:sz w:val="18"/>
          <w:szCs w:val="18"/>
          <w:color w:val="auto"/>
        </w:rPr>
        <w:t>. The obligation of Sellers to complete the Transactions is subject to the satisfaction, or waiver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by Sellers, at or prior to the Closing of the following additional conditions:</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6.3.1          </w:t>
      </w:r>
      <w:r>
        <w:rPr>
          <w:rFonts w:ascii="Times New Roman" w:cs="Times New Roman" w:eastAsia="Times New Roman" w:hAnsi="Times New Roman"/>
          <w:sz w:val="18"/>
          <w:szCs w:val="18"/>
          <w:u w:val="single" w:color="auto"/>
          <w:color w:val="auto"/>
        </w:rPr>
        <w:t>  Truth of Representations and Warranties</w:t>
      </w:r>
      <w:r>
        <w:rPr>
          <w:rFonts w:ascii="Times New Roman" w:cs="Times New Roman" w:eastAsia="Times New Roman" w:hAnsi="Times New Roman"/>
          <w:sz w:val="18"/>
          <w:szCs w:val="18"/>
          <w:color w:val="auto"/>
        </w:rPr>
        <w:t xml:space="preserve">. The representations and warranties of Buyer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must be true and correct in all respects (disregarding any “materiality” or similar qualifications contained therein) as of the Closing with the same force and effect as if such representations and warranties were made on and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representation and warranty speaks only as of a specific date it only needs to be true and correct as of that date), except where the failure of such representations and warranties to be so true and correct would not, or be reasonably expected to, have, individually or in the aggregate, a material adverse effect on the ability of Buyer to consummate the Transactions. Buyer shall also have executed and delivered a certificate confirming the foregoing, signed by an officer of Buyer.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6.3.2      </w:t>
      </w:r>
      <w:r>
        <w:rPr>
          <w:rFonts w:ascii="Times New Roman" w:cs="Times New Roman" w:eastAsia="Times New Roman" w:hAnsi="Times New Roman"/>
          <w:sz w:val="18"/>
          <w:szCs w:val="18"/>
          <w:u w:val="single" w:color="auto"/>
          <w:color w:val="auto"/>
        </w:rPr>
        <w:t>  Performance of Covenants</w:t>
      </w:r>
      <w:r>
        <w:rPr>
          <w:rFonts w:ascii="Times New Roman" w:cs="Times New Roman" w:eastAsia="Times New Roman" w:hAnsi="Times New Roman"/>
          <w:sz w:val="18"/>
          <w:szCs w:val="18"/>
          <w:color w:val="auto"/>
        </w:rPr>
        <w:t>. Buyer must have fulfilled or complied, in all material respects, with all covenants contained in this Agreement required to be fulfilled or complied with by it at or prior to the Closing. Buyer shall also have executed and delivered a certificate confirming the foregoing, signed by an officer of Buyer.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6.3.3      </w:t>
      </w:r>
      <w:r>
        <w:rPr>
          <w:rFonts w:ascii="Times New Roman" w:cs="Times New Roman" w:eastAsia="Times New Roman" w:hAnsi="Times New Roman"/>
          <w:sz w:val="18"/>
          <w:szCs w:val="18"/>
          <w:u w:val="single" w:color="auto"/>
          <w:color w:val="auto"/>
        </w:rPr>
        <w:t>  Closing Deliveries</w:t>
      </w:r>
      <w:r>
        <w:rPr>
          <w:rFonts w:ascii="Times New Roman" w:cs="Times New Roman" w:eastAsia="Times New Roman" w:hAnsi="Times New Roman"/>
          <w:sz w:val="18"/>
          <w:szCs w:val="18"/>
          <w:color w:val="auto"/>
        </w:rPr>
        <w:t>. Sellers must have received the following:</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(a)            a true and complete copy of the Sale Order, as entered by the Bankruptcy Court, which shall be in substantially the form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hereof;</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1960"/>
        <w:spacing w:after="0"/>
        <w:rPr>
          <w:sz w:val="20"/>
          <w:szCs w:val="20"/>
          <w:color w:val="auto"/>
        </w:rPr>
      </w:pPr>
      <w:r>
        <w:rPr>
          <w:rFonts w:ascii="Times New Roman" w:cs="Times New Roman" w:eastAsia="Times New Roman" w:hAnsi="Times New Roman"/>
          <w:sz w:val="18"/>
          <w:szCs w:val="18"/>
          <w:color w:val="auto"/>
        </w:rPr>
        <w:t xml:space="preserve">(b)            the certificates referred to in </w:t>
      </w:r>
      <w:r>
        <w:rPr>
          <w:rFonts w:ascii="Times New Roman" w:cs="Times New Roman" w:eastAsia="Times New Roman" w:hAnsi="Times New Roman"/>
          <w:sz w:val="18"/>
          <w:szCs w:val="18"/>
          <w:u w:val="single" w:color="auto"/>
          <w:color w:val="auto"/>
        </w:rPr>
        <w:t>Section 6.3.1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(c)            each of the Ancillary Agreements to which Buyer or any of its Affiliates is a party, validly executed by a duly authorized Representative of Buyer or its applicable Affiliate;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the Upfront Payment in accordance with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SURVIVAL OF REPRESENTATIONS, WARRANTIES AND PRE-CLOSING COVENANTS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7.1.         No Survival</w:t>
      </w:r>
      <w:r>
        <w:rPr>
          <w:rFonts w:ascii="Times New Roman" w:cs="Times New Roman" w:eastAsia="Times New Roman" w:hAnsi="Times New Roman"/>
          <w:sz w:val="18"/>
          <w:szCs w:val="18"/>
          <w:color w:val="auto"/>
        </w:rPr>
        <w:t>. The representations and warranties of the Parties and the covenants and agreements of the Parties that are to be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to Closing, whether contained in this Agreement or in any agreement or document to be delivered pursuant to this Agreement, shall not survive beyond the Closing and there shall be no liability following the Closing in respect thereof, whether such liability has accrued prior to or after the Closing, on the part of any Party or any of its officers, directors, equityholders, managers, advisors, counsel, agents or Affiliates;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limit any covenant or agreement of the parties that by its terms contemplates performance after the Closing, and such covenants or agreements shall survive until fully performed. Notwithstanding anything in this Agreement to the contrary, nothing in this Agreement shall limit or restrict the rights of any Party hereto to maintain or recover any amounts in connection with any action or claim based on Fraud.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7.2.         No Recourse</w:t>
      </w:r>
      <w:r>
        <w:rPr>
          <w:rFonts w:ascii="Times New Roman" w:cs="Times New Roman" w:eastAsia="Times New Roman" w:hAnsi="Times New Roman"/>
          <w:sz w:val="18"/>
          <w:szCs w:val="18"/>
          <w:color w:val="auto"/>
        </w:rPr>
        <w:t>. Except to the extent otherwise expressly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Buyer’s sole and exclusive remedy (a) for a breach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 or warranty made by Seller herein or in any document delivered pursuant hereto or (b) for a breach of any covenant made by Seller herein or in any document delivered pursuant hereto and required to be performed by Seller on or prior to the Closing, shall, in either case, be limited to Buyer’s right to terminate this Agreement to the extent permitted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which case Seller shall not have any liability except to the extent expressly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(whether in equity or at Law, in Contract, in tort or otherwise). Except to the extent otherwise expressly provided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Seller’s sole and exclusive remedy (a) for a breach of any representation or warranty made by Buyer herein or in any document delivered pursuant hereto or (b) for a breach of any covenant made by Buyer herein or in any document delivered pursuant hereto and required to be performed by Buyer on or prior to the Closing, shall, in either case, be limited to Seller’s right to terminate this Agreement to the extent permitted pursuant to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and to receive the Deposit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in which case Buyer shall not have any further liability of any kind (whether in equity or at Law, in Contract, in tort or otherwise).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8.1.         Termination</w:t>
      </w:r>
      <w:r>
        <w:rPr>
          <w:rFonts w:ascii="Times New Roman" w:cs="Times New Roman" w:eastAsia="Times New Roman" w:hAnsi="Times New Roman"/>
          <w:sz w:val="18"/>
          <w:szCs w:val="18"/>
          <w:color w:val="auto"/>
        </w:rPr>
        <w:t>. This Agreement may, by Notice in writing given prior to the Closing, be terminated,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Reimbursement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Break-Up Fee</w:t>
      </w:r>
      <w:r>
        <w:rPr>
          <w:rFonts w:ascii="Times New Roman" w:cs="Times New Roman" w:eastAsia="Times New Roman" w:hAnsi="Times New Roman"/>
          <w:sz w:val="18"/>
          <w:szCs w:val="18"/>
          <w:color w:val="auto"/>
        </w:rPr>
        <w:t>), as applicable: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by mutual written agreement of Buyer and Sellers;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8.1.2        by Buyer if (a) there has been a material breach by any Seller of the Bidding Procedures Order or the Sale Order or (b) there has been a material breach of this Agreement, inaccuracy in, or failure to perform any representation, warranty, covenant, or agreement by any Seller, or any representation or warranty of Sellers contained in this Agreement shall have become inaccurate, such that the conditions of Closing set forth in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would not be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Buyer is not also in breach of this Agreement so as to cause the conditions of Closing for the benefit of Sellers to not be satisfied), and, if curable, such breach or inaccuracy or failure has not been cured prior to the earlier to occur of (i) ten (10) days following Notice of such breach or inaccuracy by Buyer and (ii) one (1) Business Day prior to the Outside Date;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8.1.3        by Sellers if there has been a material breach of this Agreement by Buyer such that the conditions of Closing set forth in </w:t>
      </w:r>
      <w:r>
        <w:rPr>
          <w:rFonts w:ascii="Times New Roman" w:cs="Times New Roman" w:eastAsia="Times New Roman" w:hAnsi="Times New Roman"/>
          <w:sz w:val="18"/>
          <w:szCs w:val="18"/>
          <w:u w:val="single" w:color="auto"/>
          <w:color w:val="auto"/>
        </w:rPr>
        <w:t>Section 6.3.1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 xml:space="preserve"> would not be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Sellers are not also in breach of this Agreement so as to cause the conditions of Closing for the benefit of Buyer to not be satisfied), and, if curable, such breach has not been cured prior to the earlier to occur of (i) ten (10) days following Notice of such breach by the Sellers and (ii) one (1) Business Day prior to the Outside Date;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8.1.4        by Buyer or Sellers if (i) Buyer is not designated the Backup Bidder at the completion of any Auction and Sellers enter into a definitive agreement with respect to an Alternative Transaction with one or more Persons other than Buyer, (ii) Buyer is not designated the Backup Bidder at the completion of any Auction and the Bankruptcy Court enters an order approving an Alternative Transaction with one or more Persons other than Buyer, or (iii) Buyer is designated the Backup Bidder at the completion of any Auction, upon the earlier of the closing of the sale of the Purchased Assets to the Successful Bidder or the Backup Bid Expiration Date;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8.1.5        by Buyer, if following entry of the Sale Order or the Bidding Procedures Order, such Order is stayed, reversed, modified, vacated or amended in any respect without the prior written consent of Buyer, and such stay, reversal, modification, vacation or amendment is not eliminated within fourteen (14) days, or the Bankruptcy Court enters any Order inconsistent with the Bidding Procedures Order, the Sale Order or the consummation of this Agreement and such Order is not reversed, modified or amended to the satisfaction of Buyer within fourteen (14) days;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8.1.6        by Buyer, if (i) Seller or any Affiliate of Seller seeks, or the Bankruptcy Court enters, a Final Order dismissing the Chapter 11 Case or converting it to a case under Chapter 7 of the Bankruptcy Code, (ii) Seller or any Affiliate of Seller seeks, or the Bankruptcy Court enters, a Final Order appointing a trustee in the Chapter 11 Cases or an examiner with enlarged powers relating to the operation of the Business, or (iii) the Bankruptcy Court enters a Final Order abstaining from hearing the Chapter 11 Case (or any subsequent chapter 7 case);</w:t>
      </w:r>
    </w:p>
    <w:p>
      <w:pPr>
        <w:spacing w:after="0" w:line="17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8.1.7        by Buyer or Sellers if Closing has not occurred by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Party shall be permitted to terminate this Agreement pursuant to this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if the failure of the Closing to have occurred by the Outside Date was caused by such Party’s failure to perform any of its obligations under this Agreement;</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7"/>
          <w:szCs w:val="17"/>
          <w:color w:val="auto"/>
        </w:rPr>
        <w:t xml:space="preserve">8.1.8        by Sellers, if (a) all of the conditions set forth in </w:t>
      </w:r>
      <w:r>
        <w:rPr>
          <w:rFonts w:ascii="Times New Roman" w:cs="Times New Roman" w:eastAsia="Times New Roman" w:hAnsi="Times New Roman"/>
          <w:sz w:val="17"/>
          <w:szCs w:val="17"/>
          <w:u w:val="single" w:color="auto"/>
          <w:color w:val="auto"/>
        </w:rPr>
        <w:t>Sections 6.1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6.3</w:t>
      </w:r>
      <w:r>
        <w:rPr>
          <w:rFonts w:ascii="Times New Roman" w:cs="Times New Roman" w:eastAsia="Times New Roman" w:hAnsi="Times New Roman"/>
          <w:sz w:val="17"/>
          <w:szCs w:val="17"/>
          <w:color w:val="auto"/>
        </w:rPr>
        <w:t xml:space="preserve"> are satisfied or waived by Buyer as of the Closing Date,</w:t>
      </w:r>
    </w:p>
    <w:p>
      <w:pPr>
        <w:spacing w:after="0" w:line="39" w:lineRule="exact"/>
        <w:rPr>
          <w:sz w:val="20"/>
          <w:szCs w:val="20"/>
          <w:color w:val="auto"/>
        </w:rPr>
      </w:pPr>
    </w:p>
    <w:p>
      <w:pPr>
        <w:jc w:val="both"/>
        <w:ind w:firstLine="8"/>
        <w:spacing w:after="0" w:line="253" w:lineRule="auto"/>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have irrevocably notified Buyer in writing that (x) it is ready, willing and able to consummate the Transactions and (y) all conditions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have been satisfied or that it is willing to irrevocably waive any unsatisfied conditions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(c) Sellers have given Buyer written Notice at least two (2) Business Days prior to such termination stating Sellers’ intention to terminate this Agreement pursuant to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and (d) Buyer does not provide, or cause to be provided, Sellers with sufficient funds to complete the Transactions at the time which the Closing should have occurred by the expiration of the two (2) Business Day period contemplated by clause (c) hereof;</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8.1.9        by Sellers if its board of directors (or any applicable committee with due authority), upon consultation with outside financial advisors and legal counsel, determines in its good faith business judgment that proceeding with the transaction contemplated by this Agreement would violate its fiduciary obligations under Law;</w:t>
      </w:r>
    </w:p>
    <w:p>
      <w:pPr>
        <w:spacing w:after="0" w:line="17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8.1.10      by Buyer or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terminating Party is not in material breach of this Agreement) if a Governmental Authority of competent jurisdiction shall have issued a Final Order or taken any other non-appealable final action, in each case, having the effect of permanently making the consummation of the Transactions illegal or otherwise permanently restraining or prohibiting consummation of the Transactions;</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8.1.11      by Buyer, if any creditor of Sellers obtains a Final Order of the Bankruptcy Court granting relief from the automatic stay to foreclose on any material portion of the Purchased Assets, or if the Bankruptcy Court enters a Final Order granting relief from the automatic stay with respect to any material portion of the Purchased Assets;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8.1.12      by Buyer if any of the Bankruptcy Court Milestones are not met;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8.1.13      by Buyer, if any Seller withdraws or seeks authority to withdraw the Sale Motion;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8.1.14      by Buyer, upon the receipt by Sellers of a Carve Out Trigger Notice (as defined in the DIP Financing Order) or the termination of the DIP Financing Order in accordance with the terms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8.1.15      by Buyer, if Sellers do not file the Chapter 11 Cases in the Bankruptcy Court on or before 6:00 a.m. Eastern time on August 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8.1.16      by Sellers, if the Deposit has not been deposited with the Escrow Agent pursuant to the Escrow Agreement within two</w:t>
      </w:r>
    </w:p>
    <w:p>
      <w:pPr>
        <w:spacing w:after="0" w:line="27" w:lineRule="exact"/>
        <w:rPr>
          <w:sz w:val="20"/>
          <w:szCs w:val="20"/>
          <w:color w:val="auto"/>
        </w:rPr>
      </w:pPr>
    </w:p>
    <w:p>
      <w:pPr>
        <w:ind w:firstLine="8"/>
        <w:spacing w:after="0" w:line="260" w:lineRule="auto"/>
        <w:tabs>
          <w:tab w:leader="none" w:pos="2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later of (i) date hereof and (ii) the earliest date that the escrow account contemplated by the Escrow Agreement has been established and Buyer has received written wire instructions to make such Deposit.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8.2.         Procedure and Effect of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8.2.1        Termination of this Agreement by either Buyer or Sellers shall be by delivery of a Notice to the other Party. Such Notice shall state the termination provision in this Agreement that such terminating Party is claiming provides a basis for termination of this Agreement. Termination of this Agreement pursuant to the provisions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the extent validly exercised pursuant to this Agreement, shall be effective upon and as of the date of delivery of such Notice as determined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8.2.2        If a Party waives compliance with any of the conditions, obligations or covenants contained in this Agreement, the waiver will be without prejudice to any of its rights of termination in the event of non-fulfillment, non-observance or non-performance of any other condition, obligation or covenant in whole or in part.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8.2.3        If this Agreement is terminated, the Parties are released from all of their obligations under this Agreement, except that each Party’s obligations under </w:t>
      </w:r>
      <w:r>
        <w:rPr>
          <w:rFonts w:ascii="Times New Roman" w:cs="Times New Roman" w:eastAsia="Times New Roman" w:hAnsi="Times New Roman"/>
          <w:sz w:val="18"/>
          <w:szCs w:val="18"/>
          <w:u w:val="single" w:color="auto"/>
          <w:color w:val="auto"/>
        </w:rPr>
        <w:t>Sections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 and Effect of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Venue and Service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Benefit to Third Parties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Equitable Relief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Liability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9.14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will survive.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8.2.4        As soon as practicable following a termination of this Agreement for any reason, but in no event more than thirty (30) days after such termination, Buyer and Sellers shall, to the extent practicable, withdraw all filings, applications and other submissions relating to the Transactions filed or submitted by or on behalf of such Party to any Governmental Authority or other Person.</w:t>
      </w:r>
    </w:p>
    <w:p>
      <w:pPr>
        <w:spacing w:after="0" w:line="17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8.2.5        In the event of a termination of this Agreement by Sellers pursuant to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Buyer’s material breach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Close</w:t>
      </w:r>
      <w:r>
        <w:rPr>
          <w:rFonts w:ascii="Times New Roman" w:cs="Times New Roman" w:eastAsia="Times New Roman" w:hAnsi="Times New Roman"/>
          <w:sz w:val="18"/>
          <w:szCs w:val="18"/>
          <w:color w:val="auto"/>
        </w:rPr>
        <w:t xml:space="preserve">), then Sellers shall, within two (2) Business Days after the date of such termination, deliver Written Instructions to the Escrow Agent (with Buyer’s prior written consent) directing the Escrow Agent to deliver to Sellers an amount equal to the Deposit plus any accrued investment interest thereon; provided that, notwithstanding anything to the contrary herein, Buyer shall provide, and shall not unreasonably withhold, its written consent to Written Instructions consistent with the terms of this Agreement. Buyer acknowledges that the agreements contained in this </w:t>
      </w:r>
      <w:r>
        <w:rPr>
          <w:rFonts w:ascii="Times New Roman" w:cs="Times New Roman" w:eastAsia="Times New Roman" w:hAnsi="Times New Roman"/>
          <w:sz w:val="18"/>
          <w:szCs w:val="18"/>
          <w:u w:val="single" w:color="auto"/>
          <w:color w:val="auto"/>
        </w:rPr>
        <w:t>Section 8.2.5</w:t>
      </w:r>
      <w:r>
        <w:rPr>
          <w:rFonts w:ascii="Times New Roman" w:cs="Times New Roman" w:eastAsia="Times New Roman" w:hAnsi="Times New Roman"/>
          <w:sz w:val="18"/>
          <w:szCs w:val="18"/>
          <w:color w:val="auto"/>
        </w:rPr>
        <w:t xml:space="preserve"> are an integral part of the Transactions, and that without these agreements, Sellers would not have entered into this Agreement; accordingly, if Buyer fails to provide such prior written consent or pay any amount due pursuant to this </w:t>
      </w:r>
      <w:r>
        <w:rPr>
          <w:rFonts w:ascii="Times New Roman" w:cs="Times New Roman" w:eastAsia="Times New Roman" w:hAnsi="Times New Roman"/>
          <w:sz w:val="18"/>
          <w:szCs w:val="18"/>
          <w:u w:val="single" w:color="auto"/>
          <w:color w:val="auto"/>
        </w:rPr>
        <w:t>Section 8.2.5</w:t>
      </w:r>
      <w:r>
        <w:rPr>
          <w:rFonts w:ascii="Times New Roman" w:cs="Times New Roman" w:eastAsia="Times New Roman" w:hAnsi="Times New Roman"/>
          <w:sz w:val="18"/>
          <w:szCs w:val="18"/>
          <w:color w:val="auto"/>
        </w:rPr>
        <w:t xml:space="preserve"> and, in order to obtain the payment, Sellers commence a Litigation which results in a judgment against Buyer for any payment set forth in this </w:t>
      </w:r>
      <w:r>
        <w:rPr>
          <w:rFonts w:ascii="Times New Roman" w:cs="Times New Roman" w:eastAsia="Times New Roman" w:hAnsi="Times New Roman"/>
          <w:sz w:val="18"/>
          <w:szCs w:val="18"/>
          <w:u w:val="single" w:color="auto"/>
          <w:color w:val="auto"/>
        </w:rPr>
        <w:t>Section 8.2.5</w:t>
      </w:r>
      <w:r>
        <w:rPr>
          <w:rFonts w:ascii="Times New Roman" w:cs="Times New Roman" w:eastAsia="Times New Roman" w:hAnsi="Times New Roman"/>
          <w:sz w:val="18"/>
          <w:szCs w:val="18"/>
          <w:color w:val="auto"/>
        </w:rPr>
        <w:t xml:space="preserve">, Buyer shall pay Sellers their costs and expenses (including attorneys’ fees and disbursements) in connection with such Litigation, together with interest on such payment at Prime plus three percent (3%) per annum (for the avoidance of doubt, using the payment described in this sentence as the applicable payment) through the date such payment was actually received. The Parties agree that the amount payable to Sellers under this </w:t>
      </w:r>
      <w:r>
        <w:rPr>
          <w:rFonts w:ascii="Times New Roman" w:cs="Times New Roman" w:eastAsia="Times New Roman" w:hAnsi="Times New Roman"/>
          <w:sz w:val="18"/>
          <w:szCs w:val="18"/>
          <w:u w:val="single" w:color="auto"/>
          <w:color w:val="auto"/>
        </w:rPr>
        <w:t>Section 8.2.5</w:t>
      </w:r>
      <w:r>
        <w:rPr>
          <w:rFonts w:ascii="Times New Roman" w:cs="Times New Roman" w:eastAsia="Times New Roman" w:hAnsi="Times New Roman"/>
          <w:sz w:val="18"/>
          <w:szCs w:val="18"/>
          <w:color w:val="auto"/>
        </w:rPr>
        <w:t xml:space="preserve"> is liquidated damages, and not a penalty, and that, except in the case of Fraud or willful misconduct, receipt thereof shall be Sellers’ sole and exclusive remedy against Buyer for any losses arising out of or relating to such termination.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8.2.6        In the event of a termination of this Agreement other than by Sellers pursuant to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Buyer’s material breach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Close</w:t>
      </w:r>
      <w:r>
        <w:rPr>
          <w:rFonts w:ascii="Times New Roman" w:cs="Times New Roman" w:eastAsia="Times New Roman" w:hAnsi="Times New Roman"/>
          <w:sz w:val="18"/>
          <w:szCs w:val="18"/>
          <w:color w:val="auto"/>
        </w:rPr>
        <w:t xml:space="preserve">), then Sellers shall, within two (2) Business Days after the date of such termination, deliver Written Instructions to the Escrow Agent (with Buyer’s prior written consent) directing the Escrow Agent to deliver to Buyer an amount equal to the Deposit plus any accrued investment interest thereon (less any fees or expenses owing to the Escrow Agent); provided, that notwithstanding anything to the contrary herein, Buyer shall provide, and shall not unreasonably withhold, its written consent to Written Instructions consistent with the terms of this Agreement. If Sellers fail to deliver such Written Instructions and, in order to obtain return of the Deposit plus any accrued investment interest thereon (less any fees or expenses owing to the Escrow Agent), Buyer commences a Litigation which results in a judgment against Sellers to return its Deposit set forth in this </w:t>
      </w:r>
      <w:r>
        <w:rPr>
          <w:rFonts w:ascii="Times New Roman" w:cs="Times New Roman" w:eastAsia="Times New Roman" w:hAnsi="Times New Roman"/>
          <w:sz w:val="18"/>
          <w:szCs w:val="18"/>
          <w:u w:val="single" w:color="auto"/>
          <w:color w:val="auto"/>
        </w:rPr>
        <w:t>Section 8.2.6</w:t>
      </w:r>
      <w:r>
        <w:rPr>
          <w:rFonts w:ascii="Times New Roman" w:cs="Times New Roman" w:eastAsia="Times New Roman" w:hAnsi="Times New Roman"/>
          <w:sz w:val="18"/>
          <w:szCs w:val="18"/>
          <w:color w:val="auto"/>
        </w:rPr>
        <w:t>, Sellers shall pay Buyer their costs and expenses (including attorneys’ fees and disbursements) in connection with such Litigation, together with interest on such Deposit at Prime plus three percent (3%) per annum (for the avoidance of doubt, using the payment described in this sentence as the applicable payment) through the date such payment was actually received.</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8.2.7        In the event of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Buyer shall, upon Sellers’ written request delivered within two (2) Business Days following such termination, return (a) all documents and other material received from Sellers relating to Sellers, the Products, the Purchased Assets or the Transactions, whether so obtained before or after the execution hereof, to Sellers and (b) all confidential information received by Buyer with respect to Sellers, the Products, the Purchased Assets or the Transactions shall be treated in accordance with the Confidentiality Agreement, and with the Confidentiality Agreement remaining in full force and effect in accordance with its terms, notwithstanding the termination of this Agreement, in each case of (a) and (b), as are specifically listed in such written request.</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8.2.8      </w:t>
      </w:r>
      <w:r>
        <w:rPr>
          <w:rFonts w:ascii="Times New Roman" w:cs="Times New Roman" w:eastAsia="Times New Roman" w:hAnsi="Times New Roman"/>
          <w:sz w:val="18"/>
          <w:szCs w:val="18"/>
          <w:u w:val="single" w:color="auto"/>
          <w:color w:val="auto"/>
        </w:rPr>
        <w:t>  Expense Reimbursement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this Agreement is terminated by Buyer or Sellers for any reason pursuant to Section 8.1 (other than a termination pursuant to Section 8.1.1 (</w:t>
      </w:r>
      <w:r>
        <w:rPr>
          <w:rFonts w:ascii="Times New Roman" w:cs="Times New Roman" w:eastAsia="Times New Roman" w:hAnsi="Times New Roman"/>
          <w:sz w:val="18"/>
          <w:szCs w:val="18"/>
          <w:i w:val="1"/>
          <w:iCs w:val="1"/>
          <w:color w:val="auto"/>
        </w:rPr>
        <w:t>Mutual Written Agreement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file</w:t>
      </w:r>
      <w:r>
        <w:rPr>
          <w:rFonts w:ascii="Times New Roman" w:cs="Times New Roman" w:eastAsia="Times New Roman" w:hAnsi="Times New Roman"/>
          <w:sz w:val="18"/>
          <w:szCs w:val="18"/>
          <w:color w:val="auto"/>
        </w:rPr>
        <w:t>) or by Sellers pursuant to Section 8.1.3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by Buyer</w:t>
      </w:r>
      <w:r>
        <w:rPr>
          <w:rFonts w:ascii="Times New Roman" w:cs="Times New Roman" w:eastAsia="Times New Roman" w:hAnsi="Times New Roman"/>
          <w:sz w:val="18"/>
          <w:szCs w:val="18"/>
          <w:color w:val="auto"/>
        </w:rPr>
        <w:t>) or Section 8.1.8 (</w:t>
      </w:r>
      <w:r>
        <w:rPr>
          <w:rFonts w:ascii="Times New Roman" w:cs="Times New Roman" w:eastAsia="Times New Roman" w:hAnsi="Times New Roman"/>
          <w:sz w:val="18"/>
          <w:szCs w:val="18"/>
          <w:i w:val="1"/>
          <w:iCs w:val="1"/>
          <w:color w:val="auto"/>
        </w:rPr>
        <w:t>Failure to Close</w:t>
      </w:r>
      <w:r>
        <w:rPr>
          <w:rFonts w:ascii="Times New Roman" w:cs="Times New Roman" w:eastAsia="Times New Roman" w:hAnsi="Times New Roman"/>
          <w:sz w:val="18"/>
          <w:szCs w:val="18"/>
          <w:color w:val="auto"/>
        </w:rPr>
        <w:t>)), Sellers shall, within five (5) Business Days after such termination of this Agreement, reimburse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Buyer for all actual, documented and reasonable out of pocket costs, fees and expenses incurred by Buyer or its Affiliates, including reasonable fees, costs and expenses of any professionals (including financial advisors, outside legal counsel, accountants, experts and consultants) retained by Buyer or its Affiliates in connection with or related to the authorization, preparation, investigation, negotiation, execution and performance of this Agreement and the Transactions, including the Chapter 11 Cases and other judicial and regulatory proceedings related to the Agreement, up to an aggregate amount of $575,000 (such costs, fees and expenses, the “</w:t>
      </w:r>
      <w:r>
        <w:rPr>
          <w:rFonts w:ascii="Times New Roman" w:cs="Times New Roman" w:eastAsia="Times New Roman" w:hAnsi="Times New Roman"/>
          <w:sz w:val="18"/>
          <w:szCs w:val="18"/>
          <w:b w:val="1"/>
          <w:bCs w:val="1"/>
          <w:color w:val="auto"/>
        </w:rPr>
        <w:t>Expense Reimbursement</w:t>
      </w:r>
      <w:r>
        <w:rPr>
          <w:rFonts w:ascii="Times New Roman" w:cs="Times New Roman" w:eastAsia="Times New Roman" w:hAnsi="Times New Roman"/>
          <w:sz w:val="18"/>
          <w:szCs w:val="18"/>
          <w:color w:val="auto"/>
        </w:rPr>
        <w:t>”), such reimbursement to be made by wire transfer(s) in immediately available funds to one or more bank accounts of Buyer (or any of its Affiliates as so designated by Buyer) designated in writing by Buyer to Sellers.</w:t>
      </w:r>
    </w:p>
    <w:p>
      <w:pPr>
        <w:spacing w:after="0" w:line="18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8.2.9      </w:t>
      </w:r>
      <w:r>
        <w:rPr>
          <w:rFonts w:ascii="Times New Roman" w:cs="Times New Roman" w:eastAsia="Times New Roman" w:hAnsi="Times New Roman"/>
          <w:sz w:val="18"/>
          <w:szCs w:val="18"/>
          <w:u w:val="single" w:color="auto"/>
          <w:color w:val="auto"/>
        </w:rPr>
        <w:t>  Break-Up Fee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to any payments that may be due pursuant to </w:t>
      </w:r>
      <w:r>
        <w:rPr>
          <w:rFonts w:ascii="Times New Roman" w:cs="Times New Roman" w:eastAsia="Times New Roman" w:hAnsi="Times New Roman"/>
          <w:sz w:val="18"/>
          <w:szCs w:val="18"/>
          <w:u w:val="single" w:color="auto"/>
          <w:color w:val="auto"/>
        </w:rPr>
        <w:t>Section 8.2.8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Reimbursement</w:t>
      </w:r>
      <w:r>
        <w:rPr>
          <w:rFonts w:ascii="Times New Roman" w:cs="Times New Roman" w:eastAsia="Times New Roman" w:hAnsi="Times New Roman"/>
          <w:sz w:val="18"/>
          <w:szCs w:val="18"/>
          <w:color w:val="auto"/>
        </w:rPr>
        <w:t xml:space="preserve">), if this Agreement is terminated in accordance with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Breach by 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Buyer not Successful Bidder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Fiduciary Out</w:t>
      </w:r>
      <w:r>
        <w:rPr>
          <w:rFonts w:ascii="Times New Roman" w:cs="Times New Roman" w:eastAsia="Times New Roman" w:hAnsi="Times New Roman"/>
          <w:sz w:val="18"/>
          <w:szCs w:val="18"/>
          <w:color w:val="auto"/>
        </w:rPr>
        <w:t xml:space="preserve">), Sellers shall, in addition to the Expense Reimbursement which shall be payable as provided in </w:t>
      </w:r>
      <w:r>
        <w:rPr>
          <w:rFonts w:ascii="Times New Roman" w:cs="Times New Roman" w:eastAsia="Times New Roman" w:hAnsi="Times New Roman"/>
          <w:sz w:val="18"/>
          <w:szCs w:val="18"/>
          <w:u w:val="single" w:color="auto"/>
          <w:color w:val="auto"/>
        </w:rPr>
        <w:t>Section 8.2.8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Reimbursement</w:t>
      </w:r>
      <w:r>
        <w:rPr>
          <w:rFonts w:ascii="Times New Roman" w:cs="Times New Roman" w:eastAsia="Times New Roman" w:hAnsi="Times New Roman"/>
          <w:sz w:val="18"/>
          <w:szCs w:val="18"/>
          <w:color w:val="auto"/>
        </w:rPr>
        <w:t>), pay to Buyer the Break-Up Fee as liquidated damages, such payment of the Break-Up Fee to be made by wire transfer(s) in immediately available funds to one or more bank accounts of Buyer (or any of its Affiliates as so designated by Buyer) designated in writing by Buyer to Sellers (as provided in the immediately following sentence).</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ind w:left="1300"/>
        <w:spacing w:after="0"/>
        <w:rPr>
          <w:sz w:val="20"/>
          <w:szCs w:val="20"/>
          <w:color w:val="auto"/>
        </w:rPr>
      </w:pPr>
      <w:r>
        <w:rPr>
          <w:rFonts w:ascii="Times New Roman" w:cs="Times New Roman" w:eastAsia="Times New Roman" w:hAnsi="Times New Roman"/>
          <w:sz w:val="18"/>
          <w:szCs w:val="18"/>
          <w:color w:val="auto"/>
        </w:rPr>
        <w:t>8.2.10    </w:t>
      </w:r>
      <w:r>
        <w:rPr>
          <w:rFonts w:ascii="Times New Roman" w:cs="Times New Roman" w:eastAsia="Times New Roman" w:hAnsi="Times New Roman"/>
          <w:sz w:val="18"/>
          <w:szCs w:val="18"/>
          <w:u w:val="single" w:color="auto"/>
          <w:color w:val="auto"/>
        </w:rPr>
        <w:t>  Bid Protections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(a)            The Parties acknowledge and agree that the bid protections, including the Break-Up Fee and the Expense Reimbursement, (the “</w:t>
      </w:r>
      <w:r>
        <w:rPr>
          <w:rFonts w:ascii="Times New Roman" w:cs="Times New Roman" w:eastAsia="Times New Roman" w:hAnsi="Times New Roman"/>
          <w:sz w:val="18"/>
          <w:szCs w:val="18"/>
          <w:b w:val="1"/>
          <w:bCs w:val="1"/>
          <w:color w:val="auto"/>
        </w:rPr>
        <w:t>Bid Protections</w:t>
      </w:r>
      <w:r>
        <w:rPr>
          <w:rFonts w:ascii="Times New Roman" w:cs="Times New Roman" w:eastAsia="Times New Roman" w:hAnsi="Times New Roman"/>
          <w:sz w:val="18"/>
          <w:szCs w:val="18"/>
          <w:color w:val="auto"/>
        </w:rPr>
        <w:t xml:space="preserve">”) were a material inducement to, and a material factor underlying, Buyer’s decision to submit its bid, to negotiate the terms of this Agreement, and to serve as the “stalking horse” bidder in connection with the Transactions. Buyer would not have been willing to expend the time, effort, and resources associated with negotiating, documenting, and conducting due diligence in connection with this Agreement, to subject its bid to the risks inherent in the Transactions (including the risk of being outbid by a Successful Bidder other than Buyer), or to enter into this Agreement on the terms set forth herein, but for the negotiation, Bankruptcy Court approval, and continued enforceability of the Bid Protections in accordance with the Bidding Procedures Order. Each of the Parties further acknowledges that the payment by a Seller of the Break-Up Fee and Expense Reimbursement is not a penalty, but rather liquidated damages in a reasonable amount that will compensate Buyer, together with any additional damages to which Buyer may be entitled hereunder, in the circumstances in which such Break-Up Fee and Expense Reimbursement is payable for the efforts and resources expended and the opportunities foregone while negotiating this Agreement and in reliance on this Agreement and on the expectation of the consummation of the transactions contemplated herein, which amount would otherwise be impossible to calculate with precision. The obligation to pay the Break-Up Fee and Expense Reimbursement in accordance with the provisions of this </w:t>
      </w:r>
      <w:r>
        <w:rPr>
          <w:rFonts w:ascii="Times New Roman" w:cs="Times New Roman" w:eastAsia="Times New Roman" w:hAnsi="Times New Roman"/>
          <w:sz w:val="18"/>
          <w:szCs w:val="18"/>
          <w:u w:val="single" w:color="auto"/>
          <w:color w:val="auto"/>
        </w:rPr>
        <w:t>Section 8.2.10</w:t>
      </w:r>
      <w:r>
        <w:rPr>
          <w:rFonts w:ascii="Times New Roman" w:cs="Times New Roman" w:eastAsia="Times New Roman" w:hAnsi="Times New Roman"/>
          <w:sz w:val="18"/>
          <w:szCs w:val="18"/>
          <w:color w:val="auto"/>
        </w:rPr>
        <w:t xml:space="preserve"> will (i) be binding upon and enforceable against Sellers immediately upon the Bankruptcy Court’s entering the Bidding Procedures Order, (ii) not be terminable or dischargeable thereafter for any reason, (iii) survive any subsequent conversion or dismissal or consolidation of the Chapter 11 Cases and any plan of reorganization or liquidation in such case, and (iv) survive the subsequent termination of this Agreement by any means. The obligations to pay Buyer the Break-Up Fee and Expense Reimbursement, as and when required under this Agreement, are intended to be, and upon entry of the Bidding Procedures Order are, binding upon (A) Sellers, (B) any successors or assigns of any of the Sellers, (C) any trustee, examiner or other representative of the estate of any Seller, (D) the reorganized Sellers and (E) any other entity vested or revested with any right, title or interest in or to any of the Sellers, or any other Person claiming any rights in or control (direct or indirect) over any of the Sellers (each of (A) through (E), a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as if such Successor were the applicable Seller hereunder. The obligation of Sellers to pay Buyer the Break-Up Fee and Expense Reimbursement, as and when required under this Agreement, may not be discharged under Sections 1141 or 727 of the Bankruptcy Code or otherwise and may not be abandoned under Section 554 of the Bankruptcy Code or otherwise.</w:t>
      </w:r>
    </w:p>
    <w:p>
      <w:pPr>
        <w:spacing w:after="0" w:line="188"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(b)            The Parties agree that the Bid Protections constitute an integral and non-severable part of the consideration supporting Buyer’s obligations under this Agreement, and are reasonable and necessary to compensate Buyer for, among other things, (i) the costs and expenses incurred by Buyer in connection with the negotiation, execution, and performance of this Agreement and the Transactions, (ii) the opportunity costs of having engaged with Sellers and forgone or postponed pursuit of alternative transactions, (iii) subjecting its bid to the auction process and higher or otherwise better bids, and (iv) the benefits conferred upon Sellers’ estate and creditors by establishing a floor value for the Purchased Assets. The claim of Buyer in respect of the Expense Reimbursement and the Break-Up Fee shall constitute a super-priority administrative expense claim, senior to all other administrative expense claims of Seller, as administrative expenses under sections 105(a), 503 and 507(b) of the Bankruptcy Code in these Chapter 11 Cases, subject to the DIP Liens, DIP Obligations, Prepetition Adequate Protection Liens, Prepetition Adequate Protection Superiority Claims, and the Carve Outset set forth in the DIP Financing Order. Sellers shall support the allowance and payment of the Break-Up Fee and the Expense Reimbursement in accordance with the Bidding Procedures Order and consistent with the Agreement, and shall not, directly or indirectly, oppose or challenge the validity, allowance, or payment thereof in accordance with the Bidding Procedures Order and consistent with this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(c)            If Sellers fail to pay the Break-Up Fee or Expense Reimbursement, as applicable, and, in order to obtain such payment, Buyer commences Litigation which results in a judgment against any of the Sellers for any payment set forth in </w:t>
      </w:r>
      <w:r>
        <w:rPr>
          <w:rFonts w:ascii="Times New Roman" w:cs="Times New Roman" w:eastAsia="Times New Roman" w:hAnsi="Times New Roman"/>
          <w:sz w:val="18"/>
          <w:szCs w:val="18"/>
          <w:u w:val="single" w:color="auto"/>
          <w:color w:val="auto"/>
        </w:rPr>
        <w:t>Section 8.2.8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Reimbursement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Break-Up Fee</w:t>
      </w:r>
      <w:r>
        <w:rPr>
          <w:rFonts w:ascii="Times New Roman" w:cs="Times New Roman" w:eastAsia="Times New Roman" w:hAnsi="Times New Roman"/>
          <w:sz w:val="18"/>
          <w:szCs w:val="18"/>
          <w:color w:val="auto"/>
        </w:rPr>
        <w:t>), Sellers shall pay Buyer the costs and expenses (including attorneys’ fees and disbursements) of Buyer in connection with such Litigation, together with interest on such payment at Prime plus three percent (3%) per annum (for the avoidance of doubt, using the payment described in this sentence as the applicable payment) through the date such payment was actually received.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         Governing Law, Jurisdiction, Venue and Service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shall be governed by and construed in accordance with the Bankruptcy Code, and to the extent not inconsistent with the Bankruptcy Code, the Laws of the State of New York, including all matters of construction, validity and performance, in each case without reference to any conflicts or choice of Law rule or principle (whether of the State of New York or any other jurisdiction) that might otherwise refer construction or interpretation of this Agreement to the substantive Law of another jurisdiction.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u w:val="single" w:color="auto"/>
          <w:color w:val="auto"/>
        </w:rPr>
        <w:t>  Consent to Jurisdiction and Venue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(a)            The Parties hereby irrevocably and unconditionally consent to the exclusive jurisdiction of the Bankruptcy Court for any action, suit or proceeding (other than appeals therefrom) arising out of or relating to this Agreement or any Ancillary Agreement, and agree not to commence any action, suit or proceeding (other than appeals therefrom) related thereto except in such court. The Parties further hereby irrevocably and unconditionally waive any objection to the laying of venue of any action, suit or proceeding (other than appeals therefrom) arising out of or relating to this Agreement in the Bankruptcy Court, and hereby further irrevocably and unconditionally waive and agree not to plead or claim in any such court that any such action, suit or proceeding brought in the Bankruptcy Court has been brought in an inconvenient forum. If Sellers’ Chapter 11 Cases are closed, any Litigation arising out of or relating to this Agreement or any Ancillary Agreement shall be heard and determined exclusively in the federal and state courts in the Borough of Manhattan, City of New York, and the Parties hereby irrevocably submit to the exclusive jurisdiction and venue of such courts in any such Litigation and irrevocably waive the defense of any inconvenient forum to the maintenance of any such Litigation.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THE PARTIES HEREBY IRREVOCABLY AND UNCONDITIONALLY WAIVE ALL THEIR RIGHTS TO A JURY TRIAL IN CONNECTION WITH ANY LITIGATION (WHETHER BASED IN CONTRACT, TORT OR OTHERWISE) ARISING OUT OF OR RELATING TO THIS AGREEMENT, ANY ANCILLARY AGREEMENT OR THE TRANSACTIONS OR THE TRANSACTIONS CONTEMPLATED THEREBY.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u w:val="single" w:color="auto"/>
          <w:color w:val="auto"/>
        </w:rPr>
        <w:t>  Service</w:t>
      </w:r>
      <w:r>
        <w:rPr>
          <w:rFonts w:ascii="Times New Roman" w:cs="Times New Roman" w:eastAsia="Times New Roman" w:hAnsi="Times New Roman"/>
          <w:sz w:val="18"/>
          <w:szCs w:val="18"/>
          <w:color w:val="auto"/>
        </w:rPr>
        <w:t xml:space="preserve">. Each Party further agrees that service of any process, summons, notice or document by registered mail to its address set forth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shall be effective service of process for any action, suit or proceeding brought against it under this Agreement in any such court.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9.2.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9.2.1      </w:t>
      </w:r>
      <w:r>
        <w:rPr>
          <w:rFonts w:ascii="Times New Roman" w:cs="Times New Roman" w:eastAsia="Times New Roman" w:hAnsi="Times New Roman"/>
          <w:sz w:val="18"/>
          <w:szCs w:val="18"/>
          <w:u w:val="single" w:color="auto"/>
          <w:color w:val="auto"/>
        </w:rPr>
        <w:t>  Notice Requirements</w:t>
      </w:r>
      <w:r>
        <w:rPr>
          <w:rFonts w:ascii="Times New Roman" w:cs="Times New Roman" w:eastAsia="Times New Roman" w:hAnsi="Times New Roman"/>
          <w:sz w:val="18"/>
          <w:szCs w:val="18"/>
          <w:color w:val="auto"/>
        </w:rPr>
        <w:t>. Any notice, request, demand, waiver, consent, approval or other communication permitted or required under this Agreement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shall be in writing, shall refer specifically to this Agreement and shall be deemed given only if delivered by hand or sent by email of a PDF attachment (with transmission confirmed) or by internationally recognized overnight delivery service that maintains records of delivery, addressed to the Parties at their respective addresses specified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or to such other address as the Party to whom Notice is to be given may have provided to the other Party at least five (5) days’ prior to such address taking effect in accordance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Such Notice shall be deemed to have been given as of the date delivered by hand or internationally recognized overnight delivery service or confirmed that it was received by email (with receipt confirmed by telephone). If a Notice deemed given upon receipt is given after 5:00 p.m. in the place of receipt (the Parties understand and agree that the foregoing applies only to Notice and not to copies), such Notice will be deemed given on the next succeeding Business Day.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9.2.2      </w:t>
      </w:r>
      <w:r>
        <w:rPr>
          <w:rFonts w:ascii="Times New Roman" w:cs="Times New Roman" w:eastAsia="Times New Roman" w:hAnsi="Times New Roman"/>
          <w:sz w:val="18"/>
          <w:szCs w:val="18"/>
          <w:u w:val="single" w:color="auto"/>
          <w:color w:val="auto"/>
        </w:rPr>
        <w:t>  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Sellers, to: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555 Long Wharf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Haven, CT 06511</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Vimal Mehta</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1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110 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w:t>
      </w:r>
    </w:p>
    <w:p>
      <w:pPr>
        <w:ind w:left="1960"/>
        <w:spacing w:after="0"/>
        <w:rPr>
          <w:sz w:val="20"/>
          <w:szCs w:val="20"/>
          <w:color w:val="auto"/>
        </w:rPr>
      </w:pPr>
      <w:r>
        <w:rPr>
          <w:rFonts w:ascii="Times New Roman" w:cs="Times New Roman" w:eastAsia="Times New Roman" w:hAnsi="Times New Roman"/>
          <w:sz w:val="18"/>
          <w:szCs w:val="18"/>
          <w:color w:val="auto"/>
        </w:rPr>
        <w:t>Suite 1401</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Samir Saleem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left="840"/>
        <w:spacing w:after="0"/>
        <w:rPr>
          <w:sz w:val="20"/>
          <w:szCs w:val="20"/>
          <w:color w:val="auto"/>
        </w:rPr>
      </w:pPr>
      <w:r>
        <w:rPr>
          <w:rFonts w:ascii="Times New Roman" w:cs="Times New Roman" w:eastAsia="Times New Roman" w:hAnsi="Times New Roman"/>
          <w:sz w:val="17"/>
          <w:szCs w:val="17"/>
          <w:color w:val="auto"/>
        </w:rPr>
        <w:t>with a copy (which shall not constitute effective notice) to:</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William B. Sorabella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wsorabella@cooley.com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Two California Plaza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350 S. Grand Avenue, Suite 3200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Michael Neumeister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mneumeister@cooley.com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Buyer, to:</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Teva Pharmaceuticals International GmbH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Schlüsselstrasse 12, 8645 Jona, Switzerland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General Manager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USLegalNotices@tevapharm.com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with a copy (which shall not constitute effective notice) to:</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Prudential Tower, 800 Boylston Street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Kelly Finn</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Kelly.Finn@ropesgray.com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1211 Avenue of the Americas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10036-8704</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Rachel Strickland; Andrew Mordkoff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Rachel.Strickland@ropesgray.com;</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Andrew.Mordkoff@ropesgray.com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Teva Pharmaceutical Industries Ltd.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124 Dvora HaNevi’a Street, Tel Aviv 69940020, Israel</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USLegalNotices@tevapharm.com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0" w:name="page91"/>
    <w:bookmarkEnd w:id="90"/>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effective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Prudential Tower, 800 Boylston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Kelly Finn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Kelly.Finn@ropesgray.com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1211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10036-8704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Rachel Strickland; Andrew Mordkoff</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Rachel.Strickland@ropesgray.com;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Andrew.Mordkoff@ropesgray.com</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9.3.         No Benefit to Third Parties</w:t>
      </w:r>
      <w:r>
        <w:rPr>
          <w:rFonts w:ascii="Times New Roman" w:cs="Times New Roman" w:eastAsia="Times New Roman" w:hAnsi="Times New Roman"/>
          <w:sz w:val="18"/>
          <w:szCs w:val="18"/>
          <w:color w:val="auto"/>
        </w:rPr>
        <w:t>. Sellers and Buyer intend that this Agreement will not benefit or create any right or cause of action in favor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other than the Parties. No Person, other than the Parties, is entitled to rely on the provisions of this Agreement in any action, suit, proceeding, hearing or other forum. The Parties reserve their right to vary or rescind the rights at any time and in any way whatsoever, if any, granted by or under this Agreement to any Person who is not a Party, without notice to or consent of that Person.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9.4.         Waiver</w:t>
      </w:r>
      <w:r>
        <w:rPr>
          <w:rFonts w:ascii="Times New Roman" w:cs="Times New Roman" w:eastAsia="Times New Roman" w:hAnsi="Times New Roman"/>
          <w:sz w:val="18"/>
          <w:szCs w:val="18"/>
          <w:color w:val="auto"/>
        </w:rPr>
        <w:t>. No waiver of any of the provisions of this Agreement will constitute a waiver of any other provision (whether or not similar).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will be binding unless executed in writing by the Party to be bound by the waiver. A Party’s failure or delay in exercising any right under this Agreement will not operate as a waiver of that right. A single or partial exercise of any right will not preclude a Party from any other or further exercise of that right or the exercise of any other right.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9.5.         Expenses</w:t>
      </w:r>
      <w:r>
        <w:rPr>
          <w:rFonts w:ascii="Times New Roman" w:cs="Times New Roman" w:eastAsia="Times New Roman" w:hAnsi="Times New Roman"/>
          <w:sz w:val="18"/>
          <w:szCs w:val="18"/>
          <w:color w:val="auto"/>
        </w:rPr>
        <w:t>. Except as otherwise expressly provided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payment of the Expense Reimbursement and Break-Up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 each Party will pay for its own costs and expenses incurred in connection with this Agreement and the Ancillary Agreements, and the Transactions and the transactions contemplated thereby.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9.6.         Non-Recourse</w:t>
      </w:r>
      <w:r>
        <w:rPr>
          <w:rFonts w:ascii="Times New Roman" w:cs="Times New Roman" w:eastAsia="Times New Roman" w:hAnsi="Times New Roman"/>
          <w:sz w:val="18"/>
          <w:szCs w:val="18"/>
          <w:color w:val="auto"/>
        </w:rPr>
        <w:t>. This Agreement may only be enforced against, and any action based upon, arising out of or related to this Agreement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be brought against, the Persons that are expressly named as parties to this Agreement. Except to the extent named as a party to this Agreement, and then only to the extent of the specific obligations of such parties set forth in this Agreement, no past, present or future shareholder, member, partner, manager, director, officer, employee, Affiliate, agent or Advisor of any Party will have any Liability (whether in contract, tort, equity or otherwise) for any of the representations, warranties, covenants, agreements or other obligations or Liabilities of any of the parties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9.7.         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9.7.1        This Agreement becomes effective only when executed by Sellers, Parent and Buyer. After that time, it will be binding upon and inure to the benefit of Sellers, Buyer and their respective heirs, administrators, executors, legal Representatives, successors and permitted assigns.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9.7.2        Neither this Agreement nor any of the rights or obligations under this Agreement may be assigned or transferred, in whole or in part, by any Party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Sellers may transfer or assign such rights and obligations under this Agreement after the Closing to (i) a liquidation trust or similar vehicle under a confirmed chapter 11 plan of liquidation in the Chapter 11 Cases and such liquidation trust or similar vehicle may thereafter transfer, assign and sell all or any portion of its rights and obligations under this Agreement, including, but not limited to its right to receive proceeds of the Purchase Price under this Agreement and (ii) any of the Sellers’ creditors holding a valid, perfected lien or security interest the Purchased Assets, or one or more affiliates thereof formed for the purposes of acquiring the Purchased Assets, under a confirmed chapter 11 plan in the Chapter 11 Cases and (b) Buyer may transfer or assign such rights and/or obligations (or any document to be delivered by Buyer pursuant hereto) under this Agreement to one or more Affiliates of Buyer, but no such assignment shall relieve Buyer of its obligations hereunder and Buyer shall in all cases remain responsible for all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not enlarge, alter or change any obligation of any other Party or due to Buyer or Seller (including the Milestone Payment(s)).</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9.7.3        Notwithstanding any provision of this Agreement to the contrary, if the withholding Tax rate that applies to amounts payable to the Sellers under this Agreement is, solely as a result of any assignment or any similar actions taken by Buyer and only to the extent thereof (each, a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xml:space="preserve">”), increased above the withholding Tax rate that would apply if the Upfront Payment and Milestone Payments were paid by Buyer to the Sellers on the date hereof, then any amount payable under this Agreement shall be increased to take into account such increased withholding Tax rate as may be necessary so that, after making all withholding Tax payments (including any Taxes imposed on such additional amounts), the Sellers receive a sum equal to the sum which they would have received had the withholding Tax rate not increased as a result of any such Triggering Event. For the avoidance of doubt, the cooperation obligations set forth in this Agreement, including the obligation of the Payee to provide the forms and documentation described in </w:t>
      </w:r>
      <w:r>
        <w:rPr>
          <w:rFonts w:ascii="Times New Roman" w:cs="Times New Roman" w:eastAsia="Times New Roman" w:hAnsi="Times New Roman"/>
          <w:sz w:val="18"/>
          <w:szCs w:val="18"/>
          <w:u w:val="single" w:color="auto"/>
          <w:color w:val="auto"/>
        </w:rPr>
        <w:t>Section 5.3.1(a)</w:t>
      </w:r>
      <w:r>
        <w:rPr>
          <w:rFonts w:ascii="Times New Roman" w:cs="Times New Roman" w:eastAsia="Times New Roman" w:hAnsi="Times New Roman"/>
          <w:sz w:val="18"/>
          <w:szCs w:val="18"/>
          <w:color w:val="auto"/>
        </w:rPr>
        <w:t xml:space="preserve">, shall continue to apply in connection with any gross-up under this </w:t>
      </w:r>
      <w:r>
        <w:rPr>
          <w:rFonts w:ascii="Times New Roman" w:cs="Times New Roman" w:eastAsia="Times New Roman" w:hAnsi="Times New Roman"/>
          <w:sz w:val="18"/>
          <w:szCs w:val="18"/>
          <w:u w:val="single" w:color="auto"/>
          <w:color w:val="auto"/>
        </w:rPr>
        <w:t>Section 9.7.3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9.8.         Amendment</w:t>
      </w:r>
      <w:r>
        <w:rPr>
          <w:rFonts w:ascii="Times New Roman" w:cs="Times New Roman" w:eastAsia="Times New Roman" w:hAnsi="Times New Roman"/>
          <w:sz w:val="18"/>
          <w:szCs w:val="18"/>
          <w:color w:val="auto"/>
        </w:rPr>
        <w:t>. This Agreement may only be amended, supplemented or otherwise modified by written agreement signed by Buyer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9.9.         Severability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8.2.10</w:t>
      </w:r>
      <w:r>
        <w:rPr>
          <w:rFonts w:ascii="Times New Roman" w:cs="Times New Roman" w:eastAsia="Times New Roman" w:hAnsi="Times New Roman"/>
          <w:sz w:val="18"/>
          <w:szCs w:val="18"/>
          <w:color w:val="auto"/>
        </w:rPr>
        <w:t>, if any provision of this Agreement is determined to be illegal, invalid or unenforceable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arbitrator or any court of competent jurisdiction, that provision will be severed from this Agreement and the remaining provisions shall remain in full force and effect.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9.10.       Equitable Relief</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9.10.1      The Parties agree that irreparable damage would occur in the event that any of the provisions of this Agreement were not performed in accordance with their specific terms or were otherwise breached. It is accordingly agreed that a Party shall be entitled to an injunction or injunctions to prevent breaches of this Agreement and to enforce specifically the terms and provisions of this Agreement. Each Party hereby waives (a) any requirement that the other Party post a bond or other security as a condition for obtaining any such relief and (b) any defenses in any action for specific performance, including the defense that a remedy at law would be adequate.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9.10.2      Each Party hereby agrees not to raise any objections to the availability of equitable remedies to the extent provided for herein, and the Parties further agree that nothing set forth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shall require any Party hereto to institute any proceedings for (or limit a Party’s right to institute any proceeding for) specific performance under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prior or as a condition to exercising any termination right under this Agreement, nor shall the commencement of any legal action or legal proceeding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restrict or limit any Party’s right to terminate this Agreement in accordance with the terms hereof.</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9.11.       No Liability</w:t>
      </w:r>
      <w:r>
        <w:rPr>
          <w:rFonts w:ascii="Times New Roman" w:cs="Times New Roman" w:eastAsia="Times New Roman" w:hAnsi="Times New Roman"/>
          <w:sz w:val="18"/>
          <w:szCs w:val="18"/>
          <w:color w:val="auto"/>
        </w:rPr>
        <w:t>. No director, officer, representative, advisor, or employee of Buyer or its Affiliates shall have any personal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to Sellers under this Agreement or any other document delivered in connection with the Transactions on behalf of Buyer. No director, officer, representative, advisor, or employee or Affiliate of Sellers shall have any personal liability whatsoever to Buyer or its Affiliates under this Agreement or any other document delivered in connection with the Transactions on behalf of Sellers.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9.12.       Bulk Sales Statutes</w:t>
      </w:r>
      <w:r>
        <w:rPr>
          <w:rFonts w:ascii="Times New Roman" w:cs="Times New Roman" w:eastAsia="Times New Roman" w:hAnsi="Times New Roman"/>
          <w:sz w:val="18"/>
          <w:szCs w:val="18"/>
          <w:color w:val="auto"/>
        </w:rPr>
        <w:t>. The Parties intend that pursuant to Section 363(f) of the Bankruptcy Code, the transfer of the Purchased Assets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free and clear of any Encumbrances in the Purchased Assets including any liens or claims arising out of the bulk transfer laws, and the Parties shall take such steps as may be necessary or appropriate to so provide in the Sale Order. In furtherance of the foregoing, each Party hereby waives compliance by the Parties with the “bulk sales,” “bulk transfers” or similar Laws and all other similar Laws in all applicable jurisdictions in respect of the Transactions.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9.13.       Representation by Counsel</w:t>
      </w:r>
      <w:r>
        <w:rPr>
          <w:rFonts w:ascii="Times New Roman" w:cs="Times New Roman" w:eastAsia="Times New Roman" w:hAnsi="Times New Roman"/>
          <w:sz w:val="18"/>
          <w:szCs w:val="18"/>
          <w:color w:val="auto"/>
        </w:rPr>
        <w:t>. Each Party represents and agrees with the other that (a) it has been represented by, or had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represented by, independent counsel of its own choosing, and that it has had the full right and opportunity to consult with its respective attorney(s) to the extent that it desired, (b) it availed itself of this right and opportunity, (c) that it or its authorized officers (as the case may be) have carefully read and fully understand this Agreement and the Ancillary Agreements in their entirety and have had them fully explained to them by such Party’s respective counsel,</w:t>
      </w:r>
    </w:p>
    <w:p>
      <w:pPr>
        <w:spacing w:after="0" w:line="3" w:lineRule="exact"/>
        <w:rPr>
          <w:sz w:val="20"/>
          <w:szCs w:val="20"/>
          <w:color w:val="auto"/>
        </w:rPr>
      </w:pPr>
    </w:p>
    <w:p>
      <w:pPr>
        <w:ind w:firstLine="8"/>
        <w:spacing w:after="0" w:line="260"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is fully aware of the contents hereof and thereof and their meaning, intent and legal effect, and (e) that it or its authorized officers (as the case may be) is competent to execute this Agreement and has executed this Agreement free from coercion, duress or undue influence.</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9.14.       Counterparts</w:t>
      </w:r>
      <w:r>
        <w:rPr>
          <w:rFonts w:ascii="Times New Roman" w:cs="Times New Roman" w:eastAsia="Times New Roman" w:hAnsi="Times New Roman"/>
          <w:sz w:val="18"/>
          <w:szCs w:val="18"/>
          <w:color w:val="auto"/>
        </w:rPr>
        <w:t>. This Agreement may be executed in any number of counterparts, each of which is deemed to be an original,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together constitute one and the same instrument. Transmission of an executed signature page by email or other electronic means is as effective as a manually executed counterpart of this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9.15.       Entire Agreement</w:t>
      </w:r>
      <w:r>
        <w:rPr>
          <w:rFonts w:ascii="Times New Roman" w:cs="Times New Roman" w:eastAsia="Times New Roman" w:hAnsi="Times New Roman"/>
          <w:sz w:val="18"/>
          <w:szCs w:val="18"/>
          <w:color w:val="auto"/>
        </w:rPr>
        <w:t>. This Agreement, together with the Schedules and Exhibits expressly contemplated hereby and attached 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Disclosure Schedules, the Ancillary Agreements, the Confidentiality Agreement and the other agreements, certificates and documents delivered in connection herewith or therewith or otherwise in connection with the Transactions and the transactions contemplated thereby, contain the entire agreement between the Parties with respect to the Transactions or the transactions contemplated thereby and supersede all prior agreements, understandings, promises and representations, whether written or oral, between the Parties with respect to the subject matter hereof and thereof, including the Confidentiality Agreement. In the event of any inconsistency between any such Schedules and Exhibits and this Agreement, the terms of this Agreement shall govern.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b w:val="1"/>
          <w:bCs w:val="1"/>
          <w:color w:val="auto"/>
        </w:rPr>
        <w:t>9.16.       Parent Guarantee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9.16.1      Without limiting any other term of this Agreement, Parent hereby unconditionally and irrevocably guarantees to Sellers payment of any Milestone Payment pursuant to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color w:val="auto"/>
        </w:rPr>
        <w:t>Parent’s 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Liabilities become performable or are due in accordance therewith, (ii) Parent’s liabilities and obligations under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with respect to the obligations and liabilities of Buyer, or any of Buyer’s applicable Affiliates, as the case may be, shall not exceed or otherwise extend beyond the Liabilities of such party, and (iii) the remedies available against Parent under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shall not exceed or otherwise extend beyond those remedies available to Sellers in relation to such Liabilities, as the case may be. The foregoing obligation of Parent constitutes a continuing guaranty of performance, not merely of collection, to the extent that Buyer, or any of its applicable Affiliates has defaulted or breached hereunder, and has failed to take actions as may be necessary to cure such default or breach within fifteen (15) days following receipt of notice thereof from Sellers.</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9.16.2      In the event that Buyer or its applicable Affiliate defaults for any reason whatsoever in the performance of any of the Parent’s Guaranteed Obligations, Parent shall, upon demand from Sellers, perform, or procure performance of, and satisfy, or procure satisfaction of, Parent’s Guaranteed Obligations in respect of which such default has been made in the manner prescribed by this Agreement so that the same benefits shall be conferred on Sellers as they would have received if Parent’s Guaranteed Obligations had been duly performed and satisfied by Buyer and/or its applicable Affiliates.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9.16.3    </w:t>
      </w:r>
      <w:r>
        <w:rPr>
          <w:rFonts w:ascii="Times New Roman" w:cs="Times New Roman" w:eastAsia="Times New Roman" w:hAnsi="Times New Roman"/>
          <w:sz w:val="18"/>
          <w:szCs w:val="18"/>
          <w:u w:val="single" w:color="auto"/>
          <w:color w:val="auto"/>
        </w:rPr>
        <w:t>  Defenses; Relief</w:t>
      </w:r>
      <w:r>
        <w:rPr>
          <w:rFonts w:ascii="Times New Roman" w:cs="Times New Roman" w:eastAsia="Times New Roman" w:hAnsi="Times New Roman"/>
          <w:sz w:val="18"/>
          <w:szCs w:val="18"/>
          <w:color w:val="auto"/>
        </w:rPr>
        <w:t xml:space="preserve">. Notwithstanding the foregoing, Parent shall be entitled to assert, as a defense to, or as a basis for release or discharge of, any of its obligations under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any material breach of or Fraud by Sellers or any of their respective Affiliates in connection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defense shall not excuse or delay any payment obligation of Parent hereunder unless such material breach directly relates to the obligation giving rise to the applicable Milestone Payment. To the extent Parent or any of its applicable Affiliates is validly relieved, discharged or released from any of Parent’s Guaranteed Obligations (in whole or in part) pursuant to or in accordance with this Agreement, Parent shall be similarly and automatically relieved, discharged or released from its corresponding obligations under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to the same extent, without any further action on the part of any Person.</w:t>
      </w:r>
    </w:p>
    <w:p>
      <w:pPr>
        <w:spacing w:after="0" w:line="18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9.16.4    </w:t>
      </w:r>
      <w:r>
        <w:rPr>
          <w:rFonts w:ascii="Times New Roman" w:cs="Times New Roman" w:eastAsia="Times New Roman" w:hAnsi="Times New Roman"/>
          <w:sz w:val="17"/>
          <w:szCs w:val="17"/>
          <w:u w:val="single" w:color="auto"/>
          <w:color w:val="auto"/>
        </w:rPr>
        <w:t>  No Recourse</w:t>
      </w:r>
      <w:r>
        <w:rPr>
          <w:rFonts w:ascii="Times New Roman" w:cs="Times New Roman" w:eastAsia="Times New Roman" w:hAnsi="Times New Roman"/>
          <w:sz w:val="17"/>
          <w:szCs w:val="17"/>
          <w:color w:val="auto"/>
        </w:rPr>
        <w:t xml:space="preserve">. Each Seller acknowledges and agrees that: (a) the guarantee set forth in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is limited solely to Parent, and no recourse shall be had, whether by or through attempted piercing of the corporate veil, by any claim (whether at Law or in equity, in contract, tort or otherwise), by the enforcement of any assessment or otherwise, against any current or future director, officer, manager, employee, agent, stockholder, member, partner, owner or Affiliate of Parent (in each case, other than Parent itself) (collectively, “</w:t>
      </w:r>
      <w:r>
        <w:rPr>
          <w:rFonts w:ascii="Times New Roman" w:cs="Times New Roman" w:eastAsia="Times New Roman" w:hAnsi="Times New Roman"/>
          <w:sz w:val="17"/>
          <w:szCs w:val="17"/>
          <w:b w:val="1"/>
          <w:bCs w:val="1"/>
          <w:color w:val="auto"/>
        </w:rPr>
        <w:t>Non-Recourse Parties</w:t>
      </w:r>
      <w:r>
        <w:rPr>
          <w:rFonts w:ascii="Times New Roman" w:cs="Times New Roman" w:eastAsia="Times New Roman" w:hAnsi="Times New Roman"/>
          <w:sz w:val="17"/>
          <w:szCs w:val="17"/>
          <w:color w:val="auto"/>
        </w:rPr>
        <w:t xml:space="preserve">”); (b) no Person other than Parent shall have any obligation or liability of any nature (whether known or unknown, whether due or to become due, whether absolute, contingent or otherwise) under or in connection with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and (c) Sellers’ sole recourse with respect to Parent’s Guaranteed Obligations against any Non-Recourse Party is limited to the obligations of Buyer and Parent under this Agreement, and the obligations of Parent expressly set forth in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left="1300"/>
        <w:spacing w:after="0"/>
        <w:rPr>
          <w:sz w:val="20"/>
          <w:szCs w:val="20"/>
          <w:color w:val="auto"/>
        </w:rPr>
      </w:pPr>
      <w:r>
        <w:rPr>
          <w:rFonts w:ascii="Times New Roman" w:cs="Times New Roman" w:eastAsia="Times New Roman" w:hAnsi="Times New Roman"/>
          <w:sz w:val="18"/>
          <w:szCs w:val="18"/>
          <w:color w:val="auto"/>
        </w:rPr>
        <w:t>9.16.5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shall terminate and Parent shall have no further obligations hereunder upon the earliest to occur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 the full and final performance and satisfaction of all Parent’s Guaranteed Obligations; (ii) the termination of this Agreement in accordance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under circumstances in which Parent and its Affiliates have no remaining obligations under this Agreement; (iii) the written agreement of Sellers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Parent to terminate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or (iv) any Seller or any of its Affiliates brings any Claim or Litigation against any Non-Recourse Party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unrelated to the enforcement of Parent’s Guaranteed Obligations or the rights of Sellers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termination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any obligations of Parent in respect of Parent’s Guaranteed Obligations that have accrued and remain unsatisfied prior to such termination.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Execution Date.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9"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ONKOSXCEL THERAPEUTICS,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ONKOSXCEL EMPLOYEE HOLDINGS, LLC</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6" w:name="page97"/>
    <w:bookmarkEnd w:id="96"/>
    <w:p>
      <w:pPr>
        <w:ind w:left="4520"/>
        <w:spacing w:after="0"/>
        <w:rPr>
          <w:sz w:val="20"/>
          <w:szCs w:val="20"/>
          <w:color w:val="auto"/>
        </w:rPr>
      </w:pPr>
      <w:r>
        <w:rPr>
          <w:rFonts w:ascii="Times New Roman" w:cs="Times New Roman" w:eastAsia="Times New Roman" w:hAnsi="Times New Roman"/>
          <w:sz w:val="17"/>
          <w:szCs w:val="17"/>
          <w:b w:val="1"/>
          <w:bCs w:val="1"/>
          <w:color w:val="auto"/>
        </w:rPr>
        <w:t>TEVA PHARMACEUTICALS INTERNATIONAL GMBH</w:t>
      </w:r>
    </w:p>
    <w:p>
      <w:pPr>
        <w:spacing w:after="0" w:line="241"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3"/>
          <w:szCs w:val="13"/>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53975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5"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TEVA PHARMACEUTICAL INDUSTRIES LIMITED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solely for purposes of Section 9.16</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80"/>
          </w:cols>
          <w:pgMar w:left="1440" w:top="900" w:right="1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(Pursuant to Section 242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General Corporation Law of the State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BioXcel Therapeutics, Inc., a corporation organized and existing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         The name of the corporation is BioXcel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The Corporation was incorporated under the name BioXcel Therapeutics, Inc. pursuant to an original Certificate of Incorporation filed with the Secretary of State of the State of Delaware (the “</w:t>
      </w:r>
      <w:r>
        <w:rPr>
          <w:rFonts w:ascii="Times New Roman" w:cs="Times New Roman" w:eastAsia="Times New Roman" w:hAnsi="Times New Roman"/>
          <w:sz w:val="18"/>
          <w:szCs w:val="18"/>
          <w:b w:val="1"/>
          <w:bCs w:val="1"/>
          <w:color w:val="auto"/>
        </w:rPr>
        <w:t>Delaware Secretary</w:t>
      </w:r>
      <w:r>
        <w:rPr>
          <w:rFonts w:ascii="Times New Roman" w:cs="Times New Roman" w:eastAsia="Times New Roman" w:hAnsi="Times New Roman"/>
          <w:sz w:val="18"/>
          <w:szCs w:val="18"/>
          <w:color w:val="auto"/>
        </w:rPr>
        <w:t>”) on March 29, 2017, as amended and restated by the Amended and Restated Certificate of Incorporation filed with the Delaware Secretary on March 7, 2018, as amended by the Certificates of Amendment to the Amended and Restated Certificate of Incorporation filed with the Delaware Secretary on June 14, 2021, June 10, 2024 and February 6, 2025 (as so amended, the “</w:t>
      </w:r>
      <w:r>
        <w:rPr>
          <w:rFonts w:ascii="Times New Roman" w:cs="Times New Roman" w:eastAsia="Times New Roman" w:hAnsi="Times New Roman"/>
          <w:sz w:val="18"/>
          <w:szCs w:val="18"/>
          <w:b w:val="1"/>
          <w:bCs w:val="1"/>
          <w:color w:val="auto"/>
        </w:rPr>
        <w:t>Prior Certificate</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Article FIRST of the Prior Certificate is hereby amended and restated in its entirety to read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“FIRST: The name of the Corporation is BX Liquidation, Inc.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3.         The foregoing amendment was duly adopted by the Board of Directors of the Corporation in accordance with Sections 242(a)(1) and 242(d) (1)(A) of the DGCL. No meeting or vote of the stockholders of the Corporation was required to adopt the foregoing amendment.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This Certificate of Amendment shall become effective at 12:01 a.m., Eastern Time, on [_____],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executed by its duly authorized officer on this [__]</w:t>
            </w:r>
          </w:p>
        </w:tc>
        <w:tc>
          <w:tcPr>
            <w:tcW w:w="0" w:type="dxa"/>
            <w:vAlign w:val="bottom"/>
          </w:tcPr>
          <w:p>
            <w:pPr>
              <w:spacing w:after="0"/>
              <w:rPr>
                <w:sz w:val="1"/>
                <w:szCs w:val="1"/>
                <w:color w:val="auto"/>
              </w:rPr>
            </w:pPr>
          </w:p>
        </w:tc>
      </w:tr>
      <w:tr>
        <w:trPr>
          <w:trHeight w:val="234"/>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day of [____], 2026.</w:t>
            </w:r>
          </w:p>
        </w:tc>
        <w:tc>
          <w:tcPr>
            <w:tcW w:w="0" w:type="dxa"/>
            <w:vAlign w:val="bottom"/>
          </w:tcPr>
          <w:p>
            <w:pPr>
              <w:spacing w:after="0"/>
              <w:rPr>
                <w:sz w:val="1"/>
                <w:szCs w:val="1"/>
                <w:color w:val="auto"/>
              </w:rPr>
            </w:pP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BIOXCEL THERAPEUTICS,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Samir Saleem</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vMerge w:val="continue"/>
          </w:tcPr>
          <w:p>
            <w:pPr>
              <w:spacing w:after="0"/>
              <w:rPr>
                <w:sz w:val="15"/>
                <w:szCs w:val="15"/>
                <w:color w:val="auto"/>
              </w:rPr>
            </w:pPr>
          </w:p>
        </w:tc>
        <w:tc>
          <w:tcPr>
            <w:tcW w:w="10880" w:type="dxa"/>
            <w:vAlign w:val="bottom"/>
            <w:gridSpan w:val="2"/>
          </w:tcPr>
          <w:p>
            <w:pPr>
              <w:ind w:left="5280"/>
              <w:spacing w:after="0" w:line="177" w:lineRule="exact"/>
              <w:rPr>
                <w:sz w:val="20"/>
                <w:szCs w:val="20"/>
                <w:color w:val="auto"/>
              </w:rPr>
            </w:pPr>
            <w:r>
              <w:rPr>
                <w:rFonts w:ascii="Times New Roman" w:cs="Times New Roman" w:eastAsia="Times New Roman" w:hAnsi="Times New Roman"/>
                <w:sz w:val="18"/>
                <w:szCs w:val="18"/>
                <w:color w:val="auto"/>
              </w:rPr>
              <w:t>Name: Samir Saleem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Title: President and Chief Restructuring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47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 THE UNITED STATES BANKRUPTCY COURT</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47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FOR THE DISTRICT OF DELAWARE</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3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42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re:</w:t>
            </w:r>
          </w:p>
        </w:tc>
        <w:tc>
          <w:tcPr>
            <w:tcW w:w="2340" w:type="dxa"/>
            <w:vAlign w:val="bottom"/>
            <w:tcBorders>
              <w:right w:val="single" w:sz="8" w:color="auto"/>
            </w:tcBorders>
          </w:tcPr>
          <w:p>
            <w:pPr>
              <w:spacing w:after="0"/>
              <w:rPr>
                <w:sz w:val="24"/>
                <w:szCs w:val="24"/>
                <w:color w:val="auto"/>
              </w:rPr>
            </w:pPr>
          </w:p>
        </w:tc>
        <w:tc>
          <w:tcPr>
            <w:tcW w:w="2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BIOXCEL THERAPEUTICS,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p>
        </w:tc>
        <w:tc>
          <w:tcPr>
            <w:tcW w:w="2340" w:type="dxa"/>
            <w:vAlign w:val="bottom"/>
            <w:tcBorders>
              <w:right w:val="single" w:sz="8" w:color="auto"/>
            </w:tcBorders>
          </w:tcPr>
          <w:p>
            <w:pPr>
              <w:spacing w:after="0"/>
              <w:rPr>
                <w:sz w:val="24"/>
                <w:szCs w:val="24"/>
                <w:color w:val="auto"/>
              </w:rPr>
            </w:pPr>
          </w:p>
        </w:tc>
        <w:tc>
          <w:tcPr>
            <w:tcW w:w="23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Case No. 26-11360 (TMH)</w:t>
            </w:r>
          </w:p>
        </w:tc>
        <w:tc>
          <w:tcPr>
            <w:tcW w:w="0" w:type="dxa"/>
            <w:vAlign w:val="bottom"/>
          </w:tcPr>
          <w:p>
            <w:pPr>
              <w:spacing w:after="0"/>
              <w:rPr>
                <w:sz w:val="1"/>
                <w:szCs w:val="1"/>
                <w:color w:val="auto"/>
              </w:rPr>
            </w:pPr>
          </w:p>
        </w:tc>
      </w:tr>
      <w:tr>
        <w:trPr>
          <w:trHeight w:val="309"/>
        </w:trPr>
        <w:tc>
          <w:tcPr>
            <w:tcW w:w="34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Debtors.</w:t>
            </w:r>
          </w:p>
        </w:tc>
        <w:tc>
          <w:tcPr>
            <w:tcW w:w="2340" w:type="dxa"/>
            <w:vAlign w:val="bottom"/>
            <w:tcBorders>
              <w:right w:val="single" w:sz="8" w:color="auto"/>
            </w:tcBorders>
          </w:tcPr>
          <w:p>
            <w:pPr>
              <w:spacing w:after="0"/>
              <w:rPr>
                <w:sz w:val="24"/>
                <w:szCs w:val="24"/>
                <w:color w:val="auto"/>
              </w:rPr>
            </w:pPr>
          </w:p>
        </w:tc>
        <w:tc>
          <w:tcPr>
            <w:tcW w:w="2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(Jointly Administered)</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ORDER (A) APPROVING THE SALE OF THE DEBTORS’ ASSETS FREE</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AND CLEAR OF LIENS, CLAIMS, INTERESTS, AND ENCUMBRANCES,</w:t>
      </w:r>
    </w:p>
    <w:p>
      <w:pPr>
        <w:spacing w:after="0" w:line="9" w:lineRule="exact"/>
        <w:rPr>
          <w:sz w:val="20"/>
          <w:szCs w:val="20"/>
          <w:color w:val="auto"/>
        </w:rPr>
      </w:pPr>
    </w:p>
    <w:p>
      <w:pPr>
        <w:ind w:left="2200" w:right="2200" w:firstLine="324"/>
        <w:spacing w:after="0" w:line="290" w:lineRule="auto"/>
        <w:tabs>
          <w:tab w:leader="none" w:pos="2795"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APPROVING THE ASSUMPTION AND ASSIGNMENT OF EXECUTORY </w:t>
      </w:r>
      <w:r>
        <w:rPr>
          <w:rFonts w:ascii="Times New Roman" w:cs="Times New Roman" w:eastAsia="Times New Roman" w:hAnsi="Times New Roman"/>
          <w:sz w:val="17"/>
          <w:szCs w:val="17"/>
          <w:b w:val="1"/>
          <w:bCs w:val="1"/>
          <w:u w:val="single" w:color="auto"/>
          <w:color w:val="auto"/>
        </w:rPr>
        <w:t>CONTRACTS AND UNEXPIRED LEASES, AND (C) GRANTING RELATED RELIEF</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Upon the </w:t>
      </w:r>
      <w:r>
        <w:rPr>
          <w:rFonts w:ascii="Times New Roman" w:cs="Times New Roman" w:eastAsia="Times New Roman" w:hAnsi="Times New Roman"/>
          <w:sz w:val="18"/>
          <w:szCs w:val="18"/>
          <w:i w:val="1"/>
          <w:iCs w:val="1"/>
          <w:color w:val="auto"/>
        </w:rPr>
        <w:t>Motion of Debtors for an Order (I) Approving the Sale of the Debtors’ Assets Free and Clear of all Liens, Claims, Interests,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Encumbrances, (II) Approving the Assumption and Assignment of Executory Contracts and Unexpired Leases, and (III) Granting Certain Related Relief</w:t>
      </w:r>
    </w:p>
    <w:p>
      <w:pPr>
        <w:jc w:val="both"/>
        <w:spacing w:after="0" w:line="246" w:lineRule="auto"/>
        <w:rPr>
          <w:sz w:val="20"/>
          <w:szCs w:val="20"/>
          <w:color w:val="auto"/>
        </w:rPr>
      </w:pPr>
      <w:r>
        <w:rPr>
          <w:rFonts w:ascii="Times New Roman" w:cs="Times New Roman" w:eastAsia="Times New Roman" w:hAnsi="Times New Roman"/>
          <w:sz w:val="18"/>
          <w:szCs w:val="18"/>
          <w:color w:val="auto"/>
        </w:rPr>
        <w:t>[Docket No. 13] (the “</w:t>
      </w:r>
      <w:r>
        <w:rPr>
          <w:rFonts w:ascii="Times New Roman" w:cs="Times New Roman" w:eastAsia="Times New Roman" w:hAnsi="Times New Roman"/>
          <w:sz w:val="18"/>
          <w:szCs w:val="18"/>
          <w:u w:val="single" w:color="auto"/>
          <w:color w:val="auto"/>
        </w:rPr>
        <w:t>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pursuant to sections 105(a), 363, and 365 of the Bankruptcy Code, Bankruptcy Rules 2002, 6004, 6006, and 9014, and Local Rules for the United States Bankruptcy Court for the District of Delaware (the “</w:t>
      </w:r>
      <w:r>
        <w:rPr>
          <w:rFonts w:ascii="Times New Roman" w:cs="Times New Roman" w:eastAsia="Times New Roman" w:hAnsi="Times New Roman"/>
          <w:sz w:val="18"/>
          <w:szCs w:val="18"/>
          <w:u w:val="single" w:color="auto"/>
          <w:color w:val="auto"/>
        </w:rPr>
        <w:t>Local Rules</w:t>
      </w:r>
      <w:r>
        <w:rPr>
          <w:rFonts w:ascii="Times New Roman" w:cs="Times New Roman" w:eastAsia="Times New Roman" w:hAnsi="Times New Roman"/>
          <w:sz w:val="18"/>
          <w:szCs w:val="18"/>
          <w:color w:val="auto"/>
        </w:rPr>
        <w:t>”) 2002-1, 6004-1, and 9006-1, seeking entry of an order (this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(a) authorizing and approving the sale of the Purchased Assets to Teva Pharmaceuticals International GmbH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in accordance with the terms and conditions contained in that certain Asset Purchase Agreement, dated as of August 27, 2026, by and among the Debtors, as Sellers, and the Buyer (the “</w:t>
      </w:r>
      <w:r>
        <w:rPr>
          <w:rFonts w:ascii="Times New Roman" w:cs="Times New Roman" w:eastAsia="Times New Roman" w:hAnsi="Times New Roman"/>
          <w:sz w:val="18"/>
          <w:szCs w:val="18"/>
          <w:u w:val="single" w:color="auto"/>
          <w:color w:val="auto"/>
        </w:rPr>
        <w:t>Stalking Horse APA</w:t>
      </w:r>
      <w:r>
        <w:rPr>
          <w:rFonts w:ascii="Times New Roman" w:cs="Times New Roman" w:eastAsia="Times New Roman" w:hAnsi="Times New Roman"/>
          <w:sz w:val="18"/>
          <w:szCs w:val="18"/>
          <w:color w:val="auto"/>
        </w:rPr>
        <w:t>”), free and clear of all liens, claims, and encumbrances to the fullest extent permitted by law, except for those liabilities of the Debtors that the Buyer has expressly agreed to assume, and the Permitted Encumbrances (solely to the extent expressly set forth and defined in the Stalking Horse APA,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(b) authorizing the assumption and assignment of the Purchased Contracts; and (c) granting related relief; and the Court having entered an order on September 28, 2026 [Docket No. 179] (the “</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approving, among other things, (a) the Debtors’ entry into the Stalking Horse APA and approving the Bid Protections in connection therewith, and (b) the Bidding Procedures in connection with the Sale (as defined below), including the process, timeline, and notice thereof; and the Debtors having determined after an extensive marketing and sale process, that the Buyer has submitted the highest or otherwise best bid to purchase the Purchased Assets; and the Debtors having selected the Buyer as the Successful Bidder in accordance with the Bidding Procedures; and upon due, adequate, and sufficient notice of the Motion, the Stalking Horse APA, and all other related transactions contemplated thereunder and in this Order (such transactions collectively, the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and upon the declarations of Daun Chung in support of the Motion [Docket Nos. 14, 161, &amp; 251] (the “</w:t>
      </w:r>
      <w:r>
        <w:rPr>
          <w:rFonts w:ascii="Times New Roman" w:cs="Times New Roman" w:eastAsia="Times New Roman" w:hAnsi="Times New Roman"/>
          <w:sz w:val="18"/>
          <w:szCs w:val="18"/>
          <w:u w:val="single" w:color="auto"/>
          <w:color w:val="auto"/>
        </w:rPr>
        <w:t>Chung Declaration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Amended Standing Order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Reference </w:t>
      </w:r>
      <w:r>
        <w:rPr>
          <w:rFonts w:ascii="Times New Roman" w:cs="Times New Roman" w:eastAsia="Times New Roman" w:hAnsi="Times New Roman"/>
          <w:sz w:val="18"/>
          <w:szCs w:val="18"/>
          <w:color w:val="auto"/>
        </w:rPr>
        <w:t>from the United States District Court for the District of Delaware, dated as of February 29, 2012; and the Court having jurisdiction to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Motion and the relief requested therein pursuant to 28 U.S.C. §§ 157 and 1334; and consideration of the Motion and the relief requested therein being a core proceeding under 28 U.S.C. § 157(b); and venue being proper before the Court pursuant to 28 U.S.C. §§ 1408 and 1409; and due and proper notice of the Motion having been provided to the Notice Parties, and it appearing that no other or further notice need be provided; and the Court having reviewed and considered the Motion, the Chung Declarations, the Stalking Horse APA, and all relief related thereto and any objections or other responses thereto; and the Court having held a hearing to consider the relief requested in the Motion (the “</w:t>
      </w:r>
      <w:r>
        <w:rPr>
          <w:rFonts w:ascii="Times New Roman" w:cs="Times New Roman" w:eastAsia="Times New Roman" w:hAnsi="Times New Roman"/>
          <w:sz w:val="18"/>
          <w:szCs w:val="18"/>
          <w:u w:val="single" w:color="auto"/>
          <w:color w:val="auto"/>
        </w:rPr>
        <w:t>Sale Hearing</w:t>
      </w:r>
      <w:r>
        <w:rPr>
          <w:rFonts w:ascii="Times New Roman" w:cs="Times New Roman" w:eastAsia="Times New Roman" w:hAnsi="Times New Roman"/>
          <w:sz w:val="18"/>
          <w:szCs w:val="18"/>
          <w:color w:val="auto"/>
        </w:rPr>
        <w:t>”); and, after due deliberation, the Court having determined that the legal and factual bases set forth in the Motion and at the Sale Hearing establish just cause for the relief granted herein; and the Court having determined that the relief requested is in the best interests of the Debtors, their estates, their creditors, and all parties in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783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10"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Debtors in these Chapter 11 Cases, along with the last four digits of their U.S. federal tax identification numbers, are: BioXcel Therapeutics, Inc. (6754), OnkosXcel Therapeutics, LLC (2522), and OnkosXcel Employee Holdings, LLC (0534). The Debtors’ address for purposes of service in these Chapter 11 Cases is 555 Long Wharf Drive, 12th Floor, New Haven, Connecticut 06511.</w:t>
      </w:r>
    </w:p>
    <w:p>
      <w:pPr>
        <w:spacing w:after="0" w:line="200" w:lineRule="exact"/>
        <w:rPr>
          <w:sz w:val="20"/>
          <w:szCs w:val="20"/>
          <w:color w:val="auto"/>
        </w:rPr>
      </w:pPr>
    </w:p>
    <w:p>
      <w:pPr>
        <w:ind w:left="340" w:right="2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Capitalized terms used but not otherwise defined herein have the meanings ascribed to them in the Motion, the Bidding Procedures Order, or the Stalking Horse APA,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b w:val="1"/>
          <w:bCs w:val="1"/>
          <w:color w:val="auto"/>
        </w:rPr>
        <w:t>THE COURT HEREBY FINDS THAT:</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Jurisdiction, Final Order, and Statutory Predicates.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This Court has jurisdiction over the Chapter 11 Cases and the Motion pursuant to 28 U.S.C. §§ 157 and 1334 and the Amended Standing Order of Reference from the United States District Court for the District of Delaware dated as of February 29, 2012.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This matter is a core proceeding pursuant to 28 U.S.C. § 157(b)(2). Venue is proper under 28 U.S.C. §§ 1408 and 1409. Pursuant to Local Rule 9013-1(f), the Debtors consent to the entry of a final order by this Court in accordance with the terms set forth herein to the extent it is later determined that this Court, absent consent of the parties, cannot enter final orders or judgments consistent with Article III of the United States Constitution.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statutory predicates for the relief sought in the Motion are sections 105(a), 363, and 365 of the Bankruptcy Code, Bankruptcy Rules 2002, 6004, 6006, 9007, 9008, and 9014, and the applicable Local Rules 2002-1, 6004-1, and 9006-1.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consummation of the Sale is legal, valid, and properly authorized under all applicable provisions of the Bankruptcy Code, Bankruptcy Rules, and applicable Local Rules. The Debtors, on the one hand, and the Buyer, on the other hand, have complied with all applicable requirements of such provisions and rules in respect of the Sale.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This Order constitutes a final order within the meaning of 28 U.S.C. § 158(a). Notwithstanding Bankruptcy Rules 6004(h) and 6006(d), and to the extent necessary under Bankruptcy Rule 9014 and Rule 54(b) of the Federal Rules of Civil Procedure, as made applicable by Bankruptcy Rule 7054, the terms and conditions of this Order shall be immediately effective upon its entry.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As further evidenced by the affidavits of service previously filed with the Court [Docket Nos. 119, 198, 208, 209, 211 &amp; 266], and based on the representations of counsel at the Sale Hearing, due, proper, timely, adequate, and sufficient notice of the Motion, the Sale Hearing, the Sale, the cancellation of the Auction and designation of the Successful Bidder, the assumption and assignment of the Purchased Contracts to be assumed and assigned to the Buyer pursuant to this Order, the cure payments, if any, proposed in respect of each Purchased Contract (each, a “</w:t>
      </w:r>
      <w:r>
        <w:rPr>
          <w:rFonts w:ascii="Times New Roman" w:cs="Times New Roman" w:eastAsia="Times New Roman" w:hAnsi="Times New Roman"/>
          <w:sz w:val="18"/>
          <w:szCs w:val="18"/>
          <w:b w:val="1"/>
          <w:bCs w:val="1"/>
          <w:color w:val="auto"/>
        </w:rPr>
        <w:t>Cure Cost</w:t>
      </w:r>
      <w:r>
        <w:rPr>
          <w:rFonts w:ascii="Times New Roman" w:cs="Times New Roman" w:eastAsia="Times New Roman" w:hAnsi="Times New Roman"/>
          <w:sz w:val="18"/>
          <w:szCs w:val="18"/>
          <w:color w:val="auto"/>
        </w:rPr>
        <w:t>”), and all deadlines related thereto, has been provided to all interested parties and entities, including the sale notice parties, in accordance with the Bankruptcy Code, the Bankruptcy Rules, and the Local Rules. The aforementioned notices were and are timely, proper, sufficient, appropriate, fair, and equitable under the circumstances, and reasonably calculated to provide the sale notice parties and all other interested parties with timely and proper notice under the circumstances of these Chapter 11 Cases. No other or further notice with respect to such matters is, or shall be, required.</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A reasonable opportunity to object and be heard with respect to the Sale, the Motion, and the relief requested therein has been afforded to all interested parties.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            The disclosures made by the Debtors concerning the Motion, the Stalking Horse APA, the Bidding Procedures, the Auction and cancellation thereof, the designation of the Successful Bidder, and the Sale Hearing were good, complete, and adequate.</w:t>
      </w:r>
    </w:p>
    <w:p>
      <w:pPr>
        <w:spacing w:after="0" w:line="158"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Justification.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The Debtors have demonstrated compelling circumstances and a good, sufficient, and sound business purpose and justification for entering into the Stalking Horse APA, which provides for, among other things, the sale of the Purchased Assets to the Buyer. The Debtors have, among other things, determined in their business judgment that, under the circumstances, the benefits of consummating the Sale on the terms and conditions embodied in the Stalking Horse APA are in the best interests of the Debtors, their estates and creditors, and all other parties in interest.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Compliance with Bidding Procedures and Bidding Procedures Order.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As demonstrated by the Chung Declarations, the testimony and other evidence proffered or adduced at the Sale Hearing and the representations of counsel made on the record at the Sale Hearing, the Debtors have adequately marketed the Purchased Assets and conducted the sale process in compliance with the Bidding Procedures and the Bidding Procedures Order, and the sale process was conducted in a non-collusive, fair, and good-faith manner. The Debtors have afforded potential purchasers a full and fair opportunity to participate in the bidding process for the Purchased Assets and to make higher or otherwise better offers. In accordance with the Bidding Procedures Order, the bid submitted by the Buyer and memorialized by the Stalking Horse APA was deemed a Qualified Bid and the Buyer was a Qualified Bidder. In accordance with the Bidding Procedures and the Bidding Procedures Order, the Debtors determined that the bid submitted by the Buyer and memorialized by the Stalking Horse APA is the highest or otherwise best offer for the Purchased Assets received by the Debtors.</w:t>
      </w:r>
    </w:p>
    <w:p>
      <w:pPr>
        <w:spacing w:after="0" w:line="18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in Best Interests.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Approval of the Stalking Horse APA, the Sale, and all related transactions at this time, and the actions to be taken by the Debtors and the Buyer, are appropriate under the circumstances of these Chapter 11 Cases and are in the best interests of the Debtors, their estates and creditors, and all other parties in interest. The Debtors have demonstrated both (i) good, sufficient, and sound business purposes and justifications, and (ii) compelling circumstances for the Sale other than in the ordinary course of business, pursuant to section 363(b) of the Bankruptcy Code, outside of a plan, in that, among other things, the immediate consummation of the Sale to the Buyer is necessary and appropriate to maximize the value of the Debtors’ estates.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The Debtors determined, in their reasonable business judgment, in a manner consistent with their fiduciary duties and after consultation with the Consultation Parties that the Buyer’s Qualified Bid, as documented in the Stalking Horse APA, was the highest or otherwise best Qualified Bid for the Purchased Assets. The Debtors’ decision to enter into the Stalking Horse APA and to pursue and consummate the Sale constitutes a proper exercise of the fiduciary duties of the Debtors and their respective directors and officers. Consummating the Sale will yield greater value to the Debtors’ estates than would have been provided by any other available alternative transaction.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Good Faith Purchaser.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           The Debtors and the Buyer, and their respective counsel and other advisors, have not engaged in any conduct that would cause or permit the Stalking Horse APA or the consummation of the Sale to be avoided, or costs or damages to be imposed, under Bankruptcy Code section 363(n). The Buyer has not acted in a collusive manner with any Person, and the purchase price was not controlled by any agreement among bidders, all of whom acted in good faith, at arm’s length, and in a non-collusive manner. The Stalking Horse APA was negotiated, proposed, and entered into by the Debtors and the Buyer without collusion, in good faith, and from arm’s-length bargaining positions.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The Buyer has acted in “good faith” within the meaning of section 363(m) of the Bankruptcy Code with respect to the Sale and the negotiation and performance of the Stalking Horse APA.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            None of the Debtors or the Buyer has engaged in any conduct that would prevent the application of section 363(m) of the Bankruptcy Code. Among other things, (i) the Buyer recognized that the Debtors were free to deal with any other party interested in acquiring the Purchased Assets; (ii) the Debtors and the Buyer complied with the provisions of the Bidding Procedures Order and the Bidding Procedures; (iii) the Buyer agreed to subject its bid to the competitive bidding procedures set forth in the Bidding Procedures Order; (iv) the Debtors and the Buyer, and their respective management, board of directors, board of managers (or comparable governing authority), employees, agents, advisors, and representatives, each actively participated in the bidding process, and each acted in good faith and without collusion or fraud of any kind; (v) all payments to be made by the Buyer, and other agreements or arrangements entered into by the Buyer in connection with the Sale have been disclosed; (vi) the Buyer was designated the Successful Bidder for the Purchased Assets in accordance with the Bidding Procedures and the Bidding Procedures Order; and (vii) no common identity of directors or controlling stockholders exists between the Buyer, on the one hand, and the Debtors, on the other hand.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            The Buyer is purchasing the Purchased Assets in good faith and for fair and reasonable consideration, and the Buyer is a good-faith purchaser within the meaning of section 363(m) of the Bankruptcy Code and is not an “insider” of any Debtor (as defined under section 101(31) of the Bankruptcy Code). The protections afforded by section 363(m) of the Bankruptcy Code are integral to the Sale, and the Buyer would not consummate the Sale without such protections. The Buyer is therefore entitled to the full rights, benefits, privileges, and protections afforded under section 363(m) of the Bankruptcy Code and any other applicable or similar bankruptcy and nonbankruptcy law in connection with this proceeding, the Sale, each term of the Stalking Horse APA (and any ancillary documents executed in connection therewith), and each term of this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Highest or Otherwise Best Offer.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Q.            As demonstrated by the Chung Declarations, the evidence proffered or adduced at the Sale Hearing, and the arguments of counsel made on the record at the Sale Hearing, the Debtors’ marketing and sale process with respect to the Purchased Assets in accordance with the Bidding Procedures (including the Debtors’ stalking horse marketing process with respect to the Purchased Assets and the marketing process set forth in the Bidding Procedures and the Bidding Procedures Order) afforded a full, fair, and reasonable opportunity for any Person to make a higher or otherwise better offer to purchase the Purchased Assets. The Debtors conducted a marketing process in accordance with, and have otherwise complied in all respects with, the Bidding Procedures and the Bidding Procedures Order.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            As demonstrated by the Chung Declarations, the evidence proffered or adduced at the Sale Hearing, and the arguments of counsel made on the record at the Sale Hearing, the Sale constitutes the highest or otherwise best offer for the Purchased Assets, and the Debtors’ determination (after consultation with the Consultation Parties) that the Sale maximizes value for the benefit of the Debtors’ estates and constitutes the highest or otherwise best offer for the Purchased Assets each constitutes a valid and sound exercise of the Debtors’ business judgment and is in accordance and compliance with the Bidding Procedures and the Bidding Procedures Order. The Stalking Horse APA provides fair and reasonable terms for the purchase of the Purchased Assets.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Approval of the Motion and the Sale and the prompt consummation of the transactions contemplated thereby will maximize the value of each of the Debtors’ estates and are in the best interests of the Debtors, their estates, their creditors, and other parties in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Corporate Authority.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            Each applicable Debtor (i) has full requisite corporate or other organizational power and authority to execute, deliver, and perform the Stalking Horse APA and the Ancillary Agreements, and to consummate the Sale contemplated thereby, and such execution, delivery, and performance have been duly and validly authorized by all necessary corporate or other organizational action of each applicable Debtor, (ii) has taken all requisite corporate or other organizational action and formalities necessary to authorize and approve the execution, delivery, and performance of the Stalking Horse APA and the Ancillary Agreements and the consummation by the Debtors of the Sale contemplated thereby, including as required by their respective organizational documents, and, upon execution thereof, each such agreement executed by such Debtor will be duly and validly executed and delivered by such Debtor and enforceable against such Debtor in accordance with its terms and, assuming due authorization, execution, and delivery thereof by the other parties thereto, will constitute a valid and binding obligation of such Debtor. No government, regulatory, or other consents or approvals, other than those expressly provided for in the Stalking Horse APA, are required for the execution, delivery, and performance by the Debtors of the Stalking Horse APA or for the consummation of the Sale contemplated thereby, or to take, or cause to be taken, all such other actions as may be reasonably necessary to effectuate or evidence the Sale contemplated by the Stalking Horse APA.</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No Merger; Buyer Not an Insider; No Successor Liability.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            The Buyer is not a “successor” to, a mere continuation of, or an alter ego of the Debtors or their estates, and there is no continuity of enterprise or common identity between the Buyer and the Debtors by reason of any theory of law or equity. The Buyer is not holding itself out to the public as a successor to or a continuation of the Debtors or their estates. The Sale does not amount to a consolidation, succession, merger, or de facto merger of the Buyer and the Debtors. Immediately prior to the Closing Date, the Buyer was not an “insider” or “affiliate” of the Debtors, as those terms are defined in the Bankruptcy Code, and no common identity of incorporators, directors, or controlling stockholders existed between the Debtors and the Buyer. The transfer of the Purchased Assets to the Buyer, and the assumption of the Assumed Liabilities by the Buyer, except as otherwise explicitly set forth in the Stalking Horse APA or this Order and except with respect to the Assumed Liabilities, does not, and will not, subject the Buyer to any liability whatsoever, with respect to the Debtors or the operation of the Debtors’ businesses prior to the Closing or by reason of such transfer, including under the laws of the United States, any state, territory, or possession thereof, or the District of Columbia, or any foreign jurisdiction, based, in whole or in part, directly or indirectly, on any, or any theory of, successor, vicarious, antitrust, environmental, revenue, pension, ERISA, tax, labor (including any WARN Act), employment or benefits, de facto merger, business continuation, substantial continuity, alter ego, derivative, transferee, veil piercing, escheat, continuity of enterprise, mere continuation, product line, products liability, or other applicable law, rule, or regulation (including filing requirements under any such law, rule, or regulation), or theory of liability, whether legal, equitable, or otherwise (collectively, the “</w:t>
      </w:r>
      <w:r>
        <w:rPr>
          <w:rFonts w:ascii="Times New Roman" w:cs="Times New Roman" w:eastAsia="Times New Roman" w:hAnsi="Times New Roman"/>
          <w:sz w:val="18"/>
          <w:szCs w:val="18"/>
          <w:u w:val="single" w:color="auto"/>
          <w:color w:val="auto"/>
        </w:rPr>
        <w:t>Successor or Other Liabilities</w:t>
      </w:r>
      <w:r>
        <w:rPr>
          <w:rFonts w:ascii="Times New Roman" w:cs="Times New Roman" w:eastAsia="Times New Roman" w:hAnsi="Times New Roman"/>
          <w:sz w:val="18"/>
          <w:szCs w:val="18"/>
          <w:color w:val="auto"/>
        </w:rPr>
        <w:t>”). Pursuant to the Stalking Horse APA, the Buyer shall have no liability for the Excluded Liabilities.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and Valid Transfer.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            The transfer of the Purchased Assets to the Buyer will be a legal, valid, and effective transfer of the Purchased Assets, and will vest the Buyer with all right, title, and interest of the Debtors to the Purchased Assets free and clear, to the fullest extent permitted by law, of all Interests (as defined below) (other than the Permitted Encumbrances and Assumed Liabilities), as set forth in the Stalking Horse APA. Immediately prior to consummating the Sale, the Purchased Assets constitute property of the Debtors’ estates, good title is vested in the Debtors’ estates within the meaning of section 541(a) of the Bankruptcy Code, and the Debtors are the sole and rightful owners of the Purchased Assets. Upon and following the consummation of the Sale, the Buyer shall be vested with good and marketable title to the Purchased Assets, and shall be the sole and rightful owner of the Purchased Assets.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            The Stalking Horse APA and the Ancillary Agreements are valid and binding contracts between the Debtors and the Buyer. The Stalking Horse APA and the Ancillary Agreements were not entered into for the purpose of hindering, delaying, or defrauding creditors under the Bankruptcy Code or under the laws of the United States, any state, territory, possession, or the District of Columbia, or foreign jurisdiction. As demonstrated by the Chung Declarations, the consideration provided by the Buyer in respect of the Sale (i) is fair and reasonable, (ii) is the highest or otherwise best offer for the Purchased Assets, (iii) will provide a greater recovery for the Debtors’ creditors more expeditiously than would be provided by any other practical available alternative, and (iv) constitutes reasonably equivalent value and fair consideration under the Bankruptcy Code and under the laws of the United States, any state, territory, possession, or the District of Columbia, and any foreign jurisdiction (including the Uniform Fraudulent Conveyance Act, the Uniform Voidable Transactions Act, the Uniform Fraudulent Transfer Act, and similar laws and acts). Neither the Debtors nor the Buyer is entering into the Sale contemplated by the Stalking Horse APA fraudulently for the purpose of statutory and common-law fraudulent conveyance and fraudulent transfer claims.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Section 363(f) Is Satisfied.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            The conditions of section 363(f) of the Bankruptcy Code have been satisfied in full with respect to each Interest in the Purchased Assets; therefore, the Debtors may sell the Purchased Assets free and clear of all Interests (other than the Permitted Encumbrances and the Assumed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            The Buyer would not have entered into the Stalking Horse APA and would not consummate the transactions contemplated thereby if (i) the sale of the Purchased Assets to the Buyer was not free and clear of all Interests (other than the Permitted Encumbrances and the Assumed Liabilities) of any kind or nature whatsoever, or (ii) if the Buyer would, or in the future could, be liable for any of the Interests (other than the Permitted Encumbrances and the Assumed Liabilities). The Buyer will not consummate the transactions contemplated by the Stalking Horse APA unless this Court expressly orders that none of the Buyer, any of the Buyer’s Affiliates or Subsidiaries, or any of their respective officers, directors, partners, principals, direct and indirect shareholders, professionals, or representatives, successors, or assigns, or their respective assets or properties, including, without limitation, the Purchased Assets will have any liability whatsoever with respect to, or be required to satisfy in any manner, whether at law or in equity, or by payment, setoff, recoupment, or otherwise, directly or indirectly, any Interests (other than the Permitted Encumbrances and the Assumed Liabilities), including rights or claims based on any Successor or Other Liabilities. The total consideration to be provided under the Stalking Horse APA reflects the Buyer’s reliance on this Order to provide it, pursuant to sections 105(a) and 363 of the Bankruptcy Code, with title to and possession of the Purchased Assets free and clear of all Interests (other than the Permitted Encumbrances and the Assumed Liabilities) of any kind or nature whatsoever (including, without limitation, any potential Successor or Other Liabilities).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Z.            Not transferring the Purchased Assets free and clear of all Interests (other than the Permitted Encumbrances and the Assumed Liabilities), including rights or claims based on any successor, transferee, derivative, or vicarious liability or any similar theory and/or applicable state, federal, or foreign law or otherwise, would adversely impact the Debtors’ efforts to maximize the value of their estates, and the transfer of the Purchased Assets other than pursuant to a transfer that is free and clear of all Interests (other than the Permitted Encumbrances and the Assumed Liabilities) of any kind or nature whatsoever would be of substantially less benefit to the Debtors’ estates.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AA.        The Debtors may sell the Purchased Assets free and clear of all Interests (other than the Permitted Encumbrances and the Assumed Liabilities) because, in each case, one or more of the standards set forth in section 363(f)(1)–(5) of the Bankruptcy Code has been satisfied. Those holders of Interests that did not timely object to the Sale or the Motion or withdrew objections to the Sale or the Motion are deemed to have consented to the Sale and the Motion pursuant to section 363(f)(2) of the Bankruptcy Code. All Interests (except to the extent that such Encumbrances are Permitted Encumbrances and Assumed Liabilities) fall within one or more of the other subsections of section 363(f) of the Bankruptcy Code. All holders of Interests are adequately protected by having their Interests, if any, in each instance against the Debtors, their estates, or any of the Purchased Assets attach to the net cash proceeds of the Sale ultimately attributable to the Purchased Assets in which such holder alleges an Interest, in the same order of priority, with the same validity, force, and effect that such Interest had prior to the Sale, subject to any claims and defenses the Debtors and their estates may possess thereto.</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Cure Costs and Adequate Assurance of Future Performance.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BB.         The assumption and assignment of the Purchased Contracts pursuant to the terms of this Order is integral to the Stalking Horse APA and is in the best interests of the Debtors and their estates, their creditors, and all other parties in interest, and represents the reasonable exercise of sound and prudent business judgment by the Debtors. The assumption and assignment of the Purchased Contracts (i) is necessary to sell the Purchased Assets to the Buyer, (ii) allows the Debtors to maximize the value of the Purchased Assets, including the Purchased Contracts, (iii) limits the losses suffered by the counterparties to the Purchased Contracts (the “</w:t>
      </w:r>
      <w:r>
        <w:rPr>
          <w:rFonts w:ascii="Times New Roman" w:cs="Times New Roman" w:eastAsia="Times New Roman" w:hAnsi="Times New Roman"/>
          <w:sz w:val="18"/>
          <w:szCs w:val="18"/>
          <w:u w:val="single" w:color="auto"/>
          <w:color w:val="auto"/>
        </w:rPr>
        <w:t>Counterparties</w:t>
      </w:r>
      <w:r>
        <w:rPr>
          <w:rFonts w:ascii="Times New Roman" w:cs="Times New Roman" w:eastAsia="Times New Roman" w:hAnsi="Times New Roman"/>
          <w:sz w:val="18"/>
          <w:szCs w:val="18"/>
          <w:color w:val="auto"/>
        </w:rPr>
        <w:t>”), and (iv) maximizes the recoveries to other creditors of the Debtors by limiting the amount of claims against the Debtors’ estates by avoiding the rejection of the Purchased Contracts. For these reasons, the Debtors have exercised sound business judgment in assuming and assigning the Purchased Contracts and such assumption and/or assignment is in the best interests of the Debtors’ estates.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CC.        Pursuant to section 365(f) of the Bankruptcy Code, each Purchased Contract to be assumed and assigned under the Stalking Horse APA shall be assigned and transferred to, and remain in full force and effect for the benefit of, the Buyer, notwithstanding any provision in such contract prohibiting, restricting, or conditioning its assignment or transfer. No section of any of the Purchased Contracts that would prohibit, restrict, or condition, whether directly or indirectly, the use, assumption, or assignment of any of the Purchased Contracts in connection with the Sale shall have any force or effect.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DD.        Subject to the terms of the Stalking Horse APA, the Debtors or the Buyer, as the case may be, have cured or have demonstrated the ability to cure any default under any Purchased Contract with respect to any act or omission that occurred prior to the date of assignment of such Purchased Contract. The Debtors’ or Buyer’s, as applicable, promise to pay the Cure Costs on or prior to the applicable assignment date and the Buyer’s promises to perform the obligations under the Purchased Contracts thereafter shall constitute adequate assurance of its future performance of and under the Purchased Contracts, within the meaning of sections 365(b)(1) and 365(f)(2) of the Bankruptcy Code. Pursuant to the Bidding Procedures Order, all Counterparties that failed to file with the Court and serve on the objection notice parties a timely objection are forever barred from asserting any such objection with regard to the assumption or assignment of their Purchased Contract. The Court finds that, with respect to all such Purchased Contracts, the payment of Cure Costs is appropriate and is deemed to fully satisfy the Debtors’ obligations under section 365(b) of the Bankruptcy Code. Accordingly, all of the requirements of sections 365(b) and 365(f) of the Bankruptcy Code have been satisfied for the assumption and the assignment by the applicable Debtor to the Buyer of each of the Purchased Contracts. To the extent any Purchased Contract is not an executory contract or unexpired lease within the meaning of section 365 of the Bankruptcy Code, it shall be transferred to the Buyer in accordance with the terms of this Order.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XIII.</w:t>
        <w:tab/>
        <w:t xml:space="preserve">Not a </w:t>
      </w:r>
      <w:r>
        <w:rPr>
          <w:rFonts w:ascii="Times New Roman" w:cs="Times New Roman" w:eastAsia="Times New Roman" w:hAnsi="Times New Roman"/>
          <w:sz w:val="18"/>
          <w:szCs w:val="18"/>
          <w:b w:val="1"/>
          <w:bCs w:val="1"/>
          <w:i w:val="1"/>
          <w:iCs w:val="1"/>
          <w:color w:val="auto"/>
        </w:rPr>
        <w:t>Sub Rosa</w:t>
      </w:r>
      <w:r>
        <w:rPr>
          <w:rFonts w:ascii="Times New Roman" w:cs="Times New Roman" w:eastAsia="Times New Roman" w:hAnsi="Times New Roman"/>
          <w:sz w:val="18"/>
          <w:szCs w:val="18"/>
          <w:b w:val="1"/>
          <w:bCs w:val="1"/>
          <w:color w:val="auto"/>
        </w:rPr>
        <w:t xml:space="preserve"> Plan.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EE.          The Sale does not constitute a </w:t>
      </w:r>
      <w:r>
        <w:rPr>
          <w:rFonts w:ascii="Times New Roman" w:cs="Times New Roman" w:eastAsia="Times New Roman" w:hAnsi="Times New Roman"/>
          <w:sz w:val="18"/>
          <w:szCs w:val="18"/>
          <w:i w:val="1"/>
          <w:iCs w:val="1"/>
          <w:color w:val="auto"/>
        </w:rPr>
        <w:t>sub rosa</w:t>
      </w:r>
      <w:r>
        <w:rPr>
          <w:rFonts w:ascii="Times New Roman" w:cs="Times New Roman" w:eastAsia="Times New Roman" w:hAnsi="Times New Roman"/>
          <w:sz w:val="18"/>
          <w:szCs w:val="18"/>
          <w:color w:val="auto"/>
        </w:rPr>
        <w:t xml:space="preserve"> chapter 11 plan or an element of such plan for which approval has been sought without the protection that a disclosure statement would afford. The Sale neither impermissibly restructures the rights of any Debtor’s creditors nor impermissibly dictates a liquidating plan for any Debtor.</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8"/>
          <w:szCs w:val="18"/>
          <w:b w:val="1"/>
          <w:bCs w:val="1"/>
          <w:color w:val="auto"/>
        </w:rPr>
        <w:t>Necessity of Order.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FF.          The Buyer would not have entered into the Stalking Horse APA and would not consummate the Sale without all of the relief provided for in this Order. The consummation of the Sale pursuant to this Order and the Stalking Horse APA is necessary for the Debtors to maximize the value of their estates and make cash distributions to creditors as swiftly as possible for the benefit of the Debtors, their estates and creditors, and all other parties in interest.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color w:val="auto"/>
        </w:rPr>
        <w:t>Compelling Circumstances for an Immediate Sale.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GG.          The Debtors’ decision to enter into the Stalking Horse APA and to consummate the Sale represents an exercise of sound business judgment. The Debtors have demonstrated both (i) good, sufficient, and sound business purposes and justifications for approving the Stalking Horse APA and (ii) compelling circumstances for the immediate approval and consummation of the Sale contemplated by the Stalking Horse APA and the Ancillary Agreements outside the ordinary course of business, pursuant to section 363(b) of the Bankruptcy Code before, and outside of, a plan of reorganization or liquidation, in that the prompt consummation of the Sale to the Buyer is necessary and appropriate to maximize the value of the Debtors’ estates and to expedite cash distributions to creditors. Accordingly, there is cause to lift the stay contemplated by Bankruptcy Rules 6004 and 6006 with respect to the transactions contemplated by this Order.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XVI.</w:t>
        <w:tab/>
        <w:t>Final Order.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HH.        This Order constitutes a final and appealable order within the meaning of 28 U.S.C. § 158(a). Notwithstanding Bankruptcy Rules 6004(h), 6006(d), and 7062, and to the extent necessary under Bankruptcy Rule 9014 and Rule 54(b) of the Federal Rules of Civil Procedure, as made applicable by Bankruptcy Rule 7054, the Court expressly finds that there is no just reason for delay in the implementation of this Order and expressly directs entry of judgment as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COURT HEREBY ORDERS THAT:</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The findings and conclusions set forth herein constitute the Court’s findings of fact and conclusions of law pursuant to Bankruptcy Rule 7052, made applicable to these Chapter 11 Cases pursuant to Bankruptcy Rule 9014. To the extent that any of the findings of fact constitute conclusions of law, they are adopted as such. To the extent any of the conclusions of law constitute findings of fact, they are adopted as such.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The Motion and the relief requested therein is granted and approved, and the transactions contemplated in the Motion, the Stalking Horse APA, and the Ancillary Agreements are approved, in each case as set forth herein and on the record of the Sale Hearing, which is incorporated herein as if fully set forth in this Order.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            All objections to, reservations of rights regarding, or other responses to the Motion or the relief requested therein, the Stalking Horse APA, each Ancillary Agreement, the Sale, the entry of this Order, or the relief granted herein, including any objections to Cure Costs or the assumption and/or assignment of any of the Purchased Contracts, that have not been withdrawn, waived, or settled, or that have not otherwise been resolved pursuant to the terms hereof, as announced to the Court at the Sale Hearing, or by stipulation filed with the Court, are hereby denied and overruled on the merits with prejudice. Those parties who did not timely object to the Motion or the entry of this Order, or who withdrew their objections thereto, are deemed to have consented to the relief granted herein for all purposes, including without limitation, pursuant to section 363(f)(2) of the Bankruptcy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ind w:firstLine="648"/>
        <w:spacing w:after="0" w:line="282" w:lineRule="auto"/>
        <w:rPr>
          <w:sz w:val="20"/>
          <w:szCs w:val="20"/>
          <w:color w:val="auto"/>
        </w:rPr>
      </w:pPr>
      <w:r>
        <w:rPr>
          <w:rFonts w:ascii="Times New Roman" w:cs="Times New Roman" w:eastAsia="Times New Roman" w:hAnsi="Times New Roman"/>
          <w:sz w:val="18"/>
          <w:szCs w:val="18"/>
          <w:color w:val="auto"/>
        </w:rPr>
        <w:t>4.            The Court’s findings of fact and conclusions of law in the Bidding Procedures Order are incorporated herein by reference as if fully set forth in this Order.</w:t>
      </w:r>
    </w:p>
    <w:p>
      <w:pPr>
        <w:spacing w:after="0" w:line="158"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Stalking Horse APA.</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            The Stalking Horse APA and the Ancillary Agreements, including, in each case, any amendments, supplements, and modifications thereto, and all of the terms and conditions thereof, are hereby approved.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            The consideration to be paid by the Buyer for the Purchased Assets pursuant to the Stalking Horse APA, consisting of (a) a cash payment at the Closing of $57,500,000 (the “</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less the Deposit (together with any investment interest thereon) and, to the extent Cure Costs are paid by the Buyer, less the excess, if any, of the Cure Costs over $2,500,000 (the “</w:t>
      </w:r>
      <w:r>
        <w:rPr>
          <w:rFonts w:ascii="Times New Roman" w:cs="Times New Roman" w:eastAsia="Times New Roman" w:hAnsi="Times New Roman"/>
          <w:sz w:val="18"/>
          <w:szCs w:val="18"/>
          <w:u w:val="single" w:color="auto"/>
          <w:color w:val="auto"/>
        </w:rPr>
        <w:t>Cure Costs Cap</w:t>
      </w:r>
      <w:r>
        <w:rPr>
          <w:rFonts w:ascii="Times New Roman" w:cs="Times New Roman" w:eastAsia="Times New Roman" w:hAnsi="Times New Roman"/>
          <w:sz w:val="18"/>
          <w:szCs w:val="18"/>
          <w:color w:val="auto"/>
        </w:rPr>
        <w:t>”), (b) a Development Milestone Payment, contingent on and subject to the achievement of an applicable Development Milestone Event, (c) Commercial Milestone Payments, contingent on and subject to the achievement of applicable Commercial Milestone Events, (d) the assumption of the Assumed Liabilities, and (e) cash equal to the Cure Costs (which shall not exceed the Cure Costs Cap), is hereby approved and constitutes fair and reasonable consideration and reasonably equivalent value for the Purchased Assets.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            At the Closing, the Debtors and the Buyer are authorized and directed to deliver Joint Written Instructions to the Escrow Agent directing the release of the Deposit to the Sellers, and the Deposit shall be credited against the Upfront Payment, in each case in accordance with the Stalking Horse APA. The Buyer’s obligation to pay any Milestone Payment shall arise only upon and after the Closing and the first achievement of the applicable Milestone Event, in each case in accordance with the terms of the Stalking Horse APA.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            The Buyer is authorized to designate one or more of its Affiliates to acquire title to all or any portion of the Purchased Assets, including any Purchased Regulatory Approvals, and to transfer or assign its rights and obligations under the Stalking Horse APA to one or more of its Affiliates in accordance with the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transfer, or assignment shall relieve the Buyer of its obligations thereunder, and each such designee or assignee shall be entitled to all of the rights, benefits, privileges, and protections afforded to the Buyer under this Order.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Pursuant to sections 105(a), 363, and 365 of the Bankruptcy Code, the Debtors are authorized and empowered to take any and all actions necessary or appropriate to (a) consummate the Sale pursuant to and in accordance with the terms and conditions of the Stalking Horse APA and the Ancillary Agreements, (b) close the Sale as contemplated in the Stalking Horse APA and this Order, and (c) execute and deliver, perform under, consummate, implement, and take any and all other acts or actions as may be reasonably necessary or appropriate to the performance of their obligations as contemplated by the Stalking Horse APA or the Ancillary Agreements, including the assumption and assignment to the Buyer of the Purchased Contracts and the Assumed Liabilities, in each case without further notice to or order of this Court and including any actions that otherwise would require further approval by the Counterparties, shareholders, members, or boards of directors or managers, or similar governing bodies, as the case may be, without the need of obtaining such approvals, together with all additional instruments and documents that may be reasonably necessary or desirable to implement the Stalking Horse APA, the Ancillary Agreements, and the Sale. The Debtors are further authorized to pay, without further order of this Court, whether before, at, or after the Closing, any amounts that become payable by the Debtors pursuant to the Stalking Horse APA or any Ancillary Agreement, together with other fees and expenses approved by the Court.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            The Stalking Horse APA, the Ancillary Agreements, and this Order shall be binding in all respects upon the Debtors, their estates, all creditors, all holders of equity interests in any Debtor, all holders of Claims (whether known or unknown) against the Debtors, all holders of Liens (as defined below) or other Interests against, in, or on all or any portion of the Purchased Assets, all counterparties to any executory contract or unexpired lease of the Debtors (including all Counterparties), the Buyer, and all successors and assigns of each of the foregoing, including, without limitation, any trustee subsequently appointed in these Chapter 11 Cases or upon a conversion of these Chapter 11 Cases to cases under chapter 7 under the Bankruptcy Code, and any Person seeking to assert rights on behalf of any of the foregoing or that belong to the Debtors’ estates. Neither the Sale nor the Stalking Horse APA shall be subject to rejection or avoidance under any circumstance. For the avoidance of doubt, the Debtors’ inability to satisfy in full all administrative expense claims of the Debtors’ estates shall not be a basis for termination, rejection, or avoidance (as applicable) of the Stalking Horse APA or sale transaction.</w:t>
      </w:r>
    </w:p>
    <w:p>
      <w:pPr>
        <w:spacing w:after="0" w:line="184"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Purchased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            Pursuant to sections 105(a), 363(b), 363(f), 365(b), and 365(f) of the Bankruptcy Code, the Debtors shall transfer the Purchased Assets, including, but not limited to, the Purchased Contracts, to the Buyer in accordance with the terms of the Stalking Horse APA; such transfer shall constitute a legal, valid, binding, and effective transfer of such Purchased Assets; and the Buyer shall take title to and possession of such Purchased Assets free and clear of all Interests (other than the Permitted Encumbrances and the Assumed Liabilities). Any and all valid and perfected Interests in the Purchased Assets shall attach solely to the net proceeds of the Sale with the same validity, force, and effect, if any, and in the same order of priority, that they have now as against the Purchased Assets, subject to any rights, claims, and defenses the Debtors or their estates, as applicable, may possess with respect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            The transfer of the Purchased Assets to the Buyer in accordance with the terms of the Stalking Horse APA will be a legal, valid, enforceable, and effective sale and transfer of the Purchased Assets and the Assumed Liabilities and (i) will vest the Buyer with all legal, equitable, and beneficial right, title, and interest of the Debtors to the Purchased Assets free and clear of all Interests (other than the Permitted Encumbrances and the Assumed Liabilities) of any kind or nature whatsoever, including, without limitation, rights or claims based on any successor or other Liabilities, and</w:t>
      </w:r>
    </w:p>
    <w:p>
      <w:pPr>
        <w:spacing w:after="0" w:line="3" w:lineRule="exact"/>
        <w:rPr>
          <w:sz w:val="20"/>
          <w:szCs w:val="20"/>
          <w:color w:val="auto"/>
        </w:rPr>
      </w:pPr>
    </w:p>
    <w:p>
      <w:pPr>
        <w:jc w:val="both"/>
        <w:ind w:firstLine="8"/>
        <w:spacing w:after="0" w:line="252" w:lineRule="auto"/>
        <w:tabs>
          <w:tab w:leader="none" w:pos="2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render the Buyer fully liable for any and all Assumed Liabilities, and assumption of any Assumed Liabilities by the Buyer shall constitute a legal, valid, and effective delegation of any Assumed Liabilities to the Buyer and shall divest the Debtors of all liability with respect to any Assumed Liabilities. Notwithstanding anything to the contrary in this Order or the Stalking Horse APA, upon the Closing, no Person shall be permitted to commence or continue, and all such Persons are hereby barred, estopped and permanently enjoined from commencing or continuing, any action against, or seeking payment from, the Debtors or their Affiliates with respect to the Assumed Liabilities, other than with respect to any administrative action necessary to change the applicable party in any proceeding from the Debtors or their Affiliates to the Buyer.</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13.            The transfer of each of the Purchased Assets to the Buyer will be a legal, valid, and effective transfer of the Purchased Assets, which transfer vests or will vest the Buyer with all right, title, and interest to the Purchased Assets free and clear of (i) all liens (including any liens as that term is defined in section 101(37) of the Bankruptcy Code) and Encumbrances (as defined in the Stalking Horse APA) relating to, accruing, or arising any time prior to the Closing Date (collectively, the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and (ii) all debts (as that term is defined in section 101(12) of the Bankruptcy Code) arising under, relating to, or in connection with any act of the Debtors or claims (as that term is defined in section 101(5) of the Bankruptcy Code), liabilities, obligations, demands, guaranties, options in favor of third parties, rights, contractual commitments, restrictions, interests, mortgages, hypothecations, charges, indentures, loan agreements, instruments, collective bargaining agreements, leases, licenses, deeds of trust, security interests or similar interests, conditional sale or other title retention agreements and other similar impositions, restrictions on transfer or use, pledges, judgments, claims for reimbursement, contribution, indemnity, exoneration, infringement, products liability, alter ego liability, suits, credits, allowances, options, limitations, causes of action, choses in action, rights of first refusal or first offer, rebate, chargeback, credit, or return, proxy, voting trust or agreement or transfer restriction under any shareholder or similar agreement or encumbrance, easements, rights of way, encroachments, and matters of any kind and nature, whether arising prior to or subsequent to the Petition Date, whether known or unknown, legal or equitable, matured or unmatured, contingent or noncontingent, liquidated or unliquidated, asserted or unasserted, whether imposed by agreement, understanding, law, equity, or otherwise (including, without limitation, rights with respect to Claims (as defined below) and liens (A) that purport to give to any party a right or option to effect a setoff (to the extent not taken prepetition) against, or a right or option to effect any forfeiture, modification, profit sharing interest, right of first refusal, purchase or repurchase right or option, or termination of, any of the Debtors’ or the Buyer’s interests in the Purchased Assets, or any similar rights, if any, or (B) in respect of taxes, restrictions, rights of first refusal, charges of interests of any kind or nature, if any, including without limitation, any restriction of use, voting, transfer, receipt of income, or other exercise of any attribute of ownership) (collectively, as defined in this clause (ii),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and together with the Liens and any other interests of any kind or nature whatsoever, the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relating to, accruing, or arising any time prior to the Closing Date, with the exception of the Permitted Encumbrances and the Assumed Liabilities, which Permitted Encumbrances and Assumed Liabilities are not sold free and clear of, and shall be assumed by the Buyer, pursuant to this Order or the Stalking Horse APA.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Except as expressly assumed by the Buyer under the Stalking Horse APA, the transfer of the Purchased Assets to the Buyer and the assignment to the Buyer of the Purchased Contracts will not subject the Buyer to any liability whatsoever which may become due or owing under the Purchased Contracts prior to the Closing Date, or by reason of such transfer under the laws of the United States, any state, territory, or possession thereof, or the District of Columbia, or foreign jurisdiction, based, in whole or in part, directly or indirectly, on any theory of law or equity, including any successor or other liabilities.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15.            The Stalking Horse APA and the Ancillary Agreements are valid and binding contracts between the Debtors and the Buyer and shall be enforceable pursuant to their terms. The Stalking Horse APA, the Ancillary Agreements, the Sale, and the consummation thereof shall be specifically enforceable against and binding upon (without posting any bond) the Debtors and any chapter 7 or chapter 11 trustee appointed in these Chapter 11 Cases, or any converted or successor cases, and shall not be subject to rejection or avoidance by the foregoing parties or any other Person. The Stalking Horse APA and the Ancillary Agreements were not entered into for the purpose of hindering, delaying, or defrauding creditors under the Bankruptcy Code or under the laws of the United States, any state, territory, possession, or the District of Columbia, or foreign jurisdiction. As demonstrated by the Chung Declarations, the consideration provided by the Buyer for the Purchased Assets pursuant to the Stalking Horse APA (i) is fair and reasonable, (ii) is the highest or otherwise best offer for the Purchased Assets, (iii) will provide a greater recovery for the Debtors’ creditors than would be provided by any other practical available alternative, and (iv) constitutes reasonably equivalent value and fair consideration under the Bankruptcy Code and under the laws of the United States, any state, territory, possession, or the District of Columbia, and any foreign jurisdiction (including the Uniform Fraudulent Conveyance Act, the Uniform Voidable Transactions Act, the Uniform Fraudulent Transfer Act, and similar laws and acts). Neither the Debtors nor the Buyer is entering into the transactions contemplated by the Stalking Horse APA with any fraudulent or otherwise improper purpose, including for the purpose of statutory and common-law fraudulent conveyance and fraudulent transfer.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16.            Each and every federal, state, local, and other governmental agency, governmental department, filing agent, filing officer, title agent, recording agency, secretary of state, federal, state, and local official, and any other persons and entity who may be required by operation of law, the duties of their office or contract, to accept, file, register, or otherwise record or release any documents or instruments or who may be required to report or insure any title in or to the Purchased Assets, is hereby directed to accept any and all documents and instruments necessary and appropriate to consummate the Sale contemplated by the Stalking Horse APA. Neither the Debtors nor the Buyer shall be required to execute or file releases, termination statements, assignments, consents, or other instruments or documents in order to effectuate, consummate, and implement the provisions of this Order. The Buyer may, but shall not be required to, file a certified copy of this Order in any filing or recording office in any federal, state, county, or other territory or jurisdiction in which any of the Debtors or their Affiliates is incorporated or has real or personal property, or with any other appropriate clerk or recorded with any other appropriate recorder, and such filing or recording shall be accepted and shall be sufficient to release, discharge, and terminate any of the Interests as they relate to the Purchased Assets as set forth in this Order as of the Closing Date.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17.            On the Closing Date, each of the Debtors’ creditors is authorized to execute such documents and take all other actions as may be reasonably necessary to release its Liens, if any, in the Purchased Assets, as such Liens may otherwise exist. If any Person that has filed a financing statement, mortgage, mechanic’s lien,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or other statement, document, or agreement evidencing an Interest in any portion of the Purchased Assets (other than statements or documents with respect to Permitted Encumbrances and Assumed Liabilities) shall not have delivered to the Debtors prior to the Closing, in proper form for filing and executed by the appropriate parties, termination statements, instruments of satisfaction, releases, and/or other similar documents necessary for the purpose of documenting the release of all Interests that such Person has in the Purchased Assets, then (i) the Debtors are hereby authorized to execute and file such statements, instruments, releases, and/or other similar documents on behalf of such Person with respect to the Purchased Assets, (ii) the Buyer is hereby authorized to file, register, or otherwise record a certified copy of this Order that, once filed, registered, or otherwise recorded, shall constitute conclusive evidence of the release of all Interests of any kind or nature in the Purchased Assets, and (iii) the Buyer may seek in this Court, or any other court of appropriate jurisdiction, to compel the appropriate parties to execute termination statements, instruments of satisfaction, releases, and/or other similar documents with respect to all Interests that such Person has in the Purchased Assets. This Order is deemed to be in recordable form sufficient to be placed in the filing or recording system of each and every federal, state, or local government agency, department, or office.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The Debtors and the Buyer shall have no obligation to proceed with the Closing until all conditions precedent to its obligations to proceed have been met, satisfied, or waived in accordance with the terms of the Stalking Horse APA.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19.            Unless the Buyer otherwise consents, all Persons that are in or come into possession of any portion of the Purchased Assets, at any time prior to the Closing Date, are hereby directed to surrender possession of such Purchased Assets to the Buyer on the Closing Date, or at such time thereafter as the Buyer may request. Subject to the terms of this Order, all Persons are hereby forever prohibited and enjoined from taking any action that would adversely affect or interfere with the ability of the Debtors to sell and transfer the Purchased Assets to the Buyer in accordance with the terms of the Stalking Horse APA and this Order.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20.            This Order is and shall be binding upon and govern the acts of all Persons (including, without limitation, all filing agents, filing officers, title agents, title companies, recorders of mortgages, recorders of deeds, registrars of deeds, administrative agencies, governmental departments, secretaries of state, federal, state, and local officials, and all other persons or entities) who may be required by operation of law, the duties of their office, or contract, to accept, file, register, or otherwise record or release any documents or instruments, or who may be required to report or insure any title or state of title in or to any lease; and each of the foregoing Persons shall accept for filing any and all of the documents and instruments necessary and appropriate to release, discharge, and terminate any of the Interests or to otherwise consummate the transactions contemplated by the Stalking Horse APA and this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            To the maximum extent permitted under applicable law, the Buyer shall be authorized, as of the Closing Date, to operate under any license, permit, registration, and governmental authorization or approval of the Debtors with respect to the Purchased Assets, and all such licenses, permits, registrations, and governmental authorizations or approvals are deemed to have been, and hereby are, directed to be transferred to the Buyer as of the Closing Date. To the extent provided by section 525 of the Bankruptcy Code, no governmental unit may deny, revoke, suspend, or refuse to renew any permit, license, or similar grant relating to the operation of the Purchased Assets on account of the filing or pendency of these Chapter 11 Cases or the consummation of the transactions contemplated by the Stalking Horse APA, including the Sale and the assumption and assignment of the Purchased Contracts. To the extent any license or permit necessary for the operation of the business of the Debtors is determined not to be an executory contract assumable and assignable under section 365 of the Bankruptcy Code or otherwise transferable to the Buyer, the Buyer may apply for and obtain any necessary license or permit promptly and the Debtors are hereby authorized to cooperate with the Buyer in connection with any such application as the Buyer deems reasonably necessary or desirable, pursuant to the provisions of the Stalking Horse APA.</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            Notwithstanding anything to the contrary herein, as of or following the Closing Date, as applicable, the Buyer shall assume, discharge, perform, or otherwise satisfy or address the Assumed Liabilities, subject to the terms of the Stalking Horse APA.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23.            Effective as of the Closing, the Purchased Regulatory Approvals shall be transferred and assigned to the Buyer or its designated Affiliate, and the Debtors and the Buyer are authorized and directed to execute and deliver the Regulatory Approval Transfer Documentation and to make all filings with the FDA and any other applicable Governmental Authority necessary to effect such transfer, in each case in accordance with the Stalking Horse APA. Following such transfer, no Debtor shall retain any rights in any Purchased Regulatory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24.            Notwithstanding anything to the contrary herein, the Buyer is not assuming, and shall have no liability or obligation with respect to, the sponsorship of or any Liability under any Plan or any other compensation or benefit plan, program, policy, contract, agreement, or arrangement of the Debtors, or any Liability with respect to any current or former employee or other individual service provider of the Debtors, except for Liabilities with respect to the employment of Continuing Employees arising on and after the date such Continuing Employees actually commence employment with the Buyer or its Affiliates. Each Debtor is hereby barred and permanently enjoined from enforcing any non-competition, non-solicitation, non-disclosure, or similar restrictive covenant against any Continuing Employee, the Buyer, or any of the Buyer’s Affiliates in respect of the provision of services to the Buyer or its Affiliates following the Closing, and such agreements shall be assigned to the Buyer or its applicable Affiliate as of the Closing to the extent provided in the Stalking Horse APA. Each Employee Proprietary Information and Inventions Assignment Agreement (or similar confidentiality, proprietary information, and invention assignment agreement) between Debtor BioXcel Therapeutics, Inc. and any current or former employee of such Debtor, whether or not a Continuing Employee (each, a “</w:t>
      </w:r>
      <w:r>
        <w:rPr>
          <w:rFonts w:ascii="Times New Roman" w:cs="Times New Roman" w:eastAsia="Times New Roman" w:hAnsi="Times New Roman"/>
          <w:sz w:val="18"/>
          <w:szCs w:val="18"/>
          <w:u w:val="single" w:color="auto"/>
          <w:color w:val="auto"/>
        </w:rPr>
        <w:t>PIIA</w:t>
      </w:r>
      <w:r>
        <w:rPr>
          <w:rFonts w:ascii="Times New Roman" w:cs="Times New Roman" w:eastAsia="Times New Roman" w:hAnsi="Times New Roman"/>
          <w:sz w:val="18"/>
          <w:szCs w:val="18"/>
          <w:color w:val="auto"/>
        </w:rPr>
        <w:t>”), shall remain in full force and effect, and shall be enforceable by the Buyer with respect to the Purchased Assets as of the Closing and shall be deemed a Purchased Asset under the Asset Purchase Agreement pursuant to section 363 of the Bankruptcy Code. Effective as of the Closing, the Buyer, as assignee of the Purchased Assets, shall be fully and irrevocably vested with the right to enforce each PIIA, including the confidentiality, intellectual property assignment, and related covenants set forth therein, directly against the current or former employee bound thereby, whether or not a Continuing Employee, in each case to the same extent such Debtor could have enforced such PIIA had the Sale not occurred. For the avoidance of doubt, the Buyer’s right to enforce a PIIA against a non-Continuing Employee or former employee pursuant to this paragraph does not render the Buyer liable for any Liability with respect to the employment of such non-Continuing Employee or former employee, which remains excluded pursuant to the first sentence of this paragraph. The Debtor shall retain the right to enforce each PIIA, provided that such enforcement does not interfere with the rights of the Buyer granted herein and pursuant to the Asset Purchase Agreement. To the extent any PIIA is determined by the Bankruptcy Court to be an executory contract pursuant to section 365 of the Bankruptcy Code, the Buyer reserves all rights with respect thereto, including, but not limited to, whether to designate any PIIA as a Purchased Contract, designate any PIIA as an Excluded Contract, and to contest any asserted cure amount, all in accordance with the Asset Purchase Agreement (including the Buyer’s obligations to pay all Cure Costs up to the Cure Cost Cap, and the Debtors’ obligations to pay all Cure Costs above the Cure Cost Cap), even if such determination occurs post-Closing.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Assumption and Assignment of Purchased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25.            Pursuant to sections 105(a), 363, and 365 of the Bankruptcy Code, and subject to and conditioned upon the Closing of the Sale, the applicable Debtors’ assumption and assignment, to the Buyer, and the Buyer’s acceptance of, the Purchased Contracts, on the terms set forth in the Stalking Horse APA, is hereby approved, and the requirements of sections 365(b)(1) and 365(f)(2) with respect thereto are hereby found and deemed to be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26.            The Debtors are hereby authorized to (a) assume and assign to the Buyer, effective upon the Closing Date, the Purchased Contracts free and clear of all Interests and (b) execute and deliver to the Buyer such documents or other instruments as the Buyer deems necessary to assign and transfer the Purchased Contracts to the Buyer.</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27.            With respect to the Purchased Contracts, and with respect to the Sale of the Purchased Assets to the Buyer: (a) the Debtors may assume each of the Purchased Contracts in accordance with section 365 of the Bankruptcy Code; (b) the Debtors may assign each Purchased Contract in accordance with the Stalking Horse APA and sections 363 and 365 of the Bankruptcy Code, and, to the extent provided in section 365 of the Bankruptcy Code, such assignment may occur notwithstanding and without giving effect to any provisions in any Purchased Contract that prohibit or condition the assignment of such Purchased Contract or allow the party to such Purchased Contract to terminate, recapture, impose any penalty, condition renewal or extension, or modify any term or condition upon the assignment of such Purchased Contract, which provisions constitute unenforceable anti-assignment or ipso facto provisions which are void and of no force and effect; (c) all other requirements and conditions under sections 363 and 365 of the Bankruptcy Code for the assumption by the Debtors and assignment, as applicable, to the Buyer of each Purchased Contract have been satisfied; and (d) effective upon the Closing Date, the Purchased Contracts shall be transferred and assigned to, and from and following the Closing Date remain in full force and effect for the benefit of, the Buyer, notwithstanding any provision in any Purchased Contract that prohibits, restricts, or conditions such assignment or transfer and, pursuant to section 365(k) of the Bankruptcy Code, the Debtors shall be relieved from any further liability with respect to the Purchased Contracts after such assumption and assignment to the Buyer. For the avoidance of doubt, the Buyer shall be responsible for obligations arising under Purchased Contracts solely to the extent provided for in the Stalking Horse APA. To the extent any provision in any Purchased Contract assumed and assigned pursuant to this Order (i) prohibits, restricts, or conditions, or purports to prohibit, restrict, or condition, such assumption and assignment or assignment (including, without limitation, any “change of control” provision), or (ii) is modified, breached, or terminated, or deemed modified, breached, or terminated by any of the following: (A) the commencement of these Chapter 11 Cases, (B) the insolvency or financial condition of any of the Debtors at any time before the closing of these Chapter 11 Cases, (C) the Debtors’ assumption and/or assignment of such Purchased Contract, (D) a change of control or similar occurrence, or</w:t>
      </w:r>
    </w:p>
    <w:p>
      <w:pPr>
        <w:spacing w:after="0" w:line="10" w:lineRule="exact"/>
        <w:rPr>
          <w:sz w:val="20"/>
          <w:szCs w:val="20"/>
          <w:color w:val="auto"/>
        </w:rPr>
      </w:pPr>
    </w:p>
    <w:p>
      <w:pPr>
        <w:jc w:val="both"/>
        <w:ind w:firstLine="8"/>
        <w:spacing w:after="0" w:line="253" w:lineRule="auto"/>
        <w:tabs>
          <w:tab w:leader="none" w:pos="2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then such provision shall be deemed modified so as not to entitle the non-Debtor party thereto to prohibit, restrict, or condition such assumption and assignment or assignment, to modify, terminate, or declare a breach or default under such Purchased Contract, or to exercise any other default-related rights or remedies with respect thereto. With respect to the Sale of the Purchased Assets to the Buyer, all such provisions constitute unenforceable anti-assignment or ipso facto provisions that are void and of no force and effect pursuant to sections 365(b), 365(e), and 365(f) of the Bankruptcy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All defaults or other obligations of the Debtors under the Purchased Contracts arising or accruing prior to the Closing Date, or required to be paid pursuant to section 365 of the Bankruptcy Code in connection with the assumption and assignment of the Purchased Contracts, shall be cured by the Debtors or the Buyer, as applicable, to the extent set forth in the Stalking Horse APA and this Order.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29.            All requirements and conditions under sections 363 and 365 of the Bankruptcy Code for the assumption by the Debtors and assignment to the Buyer of the Purchased Contracts have been satisfied. Each of the Purchased Contracts shall be deemed to be valid and binding and in full force and effect and enforceable in accordance with their terms as of the Closing Date, subject to any amendments or modifications agreed to between a Counterparty and the Buyer. Upon the Closing Date, in accordance with sections 363 and 365 of the Bankruptcy Code, the Buyer shall be fully and irrevocably vested with all right, title, and interest of the Debtors in and under the Purchased Contracts and each Purchased Contract shall be fully enforceable by the Buyer in accordance with its respective terms and conditions, except as limited or modified by this Order. To the extent provided in the Stalking Horse APA, the Debtors shall cooperate with, and take all actions reasonably requested by, the Buyer to effectuate the foregoing.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30.            Upon payment of the Cure Costs pursuant to the terms hereof and the Stalking Horse APA, and the Debtors’ assignment of the Purchased Contracts to the Buyer under the provisions of this Order, no default or other obligations arising prior to the Closing Date shall exist under any Purchased Contract, and each Counterparty is forever barred, estopped, and permanently enjoined from (a) declaring a default by the Debtors or the Buyer under such Purchased Contract based on acts or occurrences arising prior to or existing as of the Closing Date, (b) raising or asserting against the Debtors or the Buyer, or the property of either of them, any assignment fee, default, breach, or claim of pecuniary loss, or condition to assignment, arising under or related to the Purchased Contracts, or (c) taking any other action against the Buyer as a result of any Debtor’s financial condition, bankruptcy, or failure to perform any of its obligations under the relevant Purchased Contract. Each Counterparty hereby is also forever barred, estopped, and permanently enjoined from</w:t>
      </w:r>
    </w:p>
    <w:p>
      <w:pPr>
        <w:spacing w:after="0" w:line="3" w:lineRule="exact"/>
        <w:rPr>
          <w:sz w:val="20"/>
          <w:szCs w:val="20"/>
          <w:color w:val="auto"/>
        </w:rPr>
      </w:pPr>
    </w:p>
    <w:p>
      <w:pPr>
        <w:jc w:val="both"/>
        <w:ind w:right="20" w:firstLine="8"/>
        <w:spacing w:after="0" w:line="255" w:lineRule="auto"/>
        <w:tabs>
          <w:tab w:leader="none" w:pos="2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against the Debtors or the Buyer, or the property of any of them, any default or Claim arising out of any indemnity or other obligation or warranties for acts or occurrences arising prior to or existing as of the Closing Date, and (ii) imposing or charging against Buyer or its Affiliates any rent accelerations, assignment fees, increases, or any other fees as a result of the Debtors’ assumption and assignment to Buyer of the Purchased Contracts.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31.            Subject to the terms and conditions of the Stalking Horse APA, and upon the Closing Date, the Debtors shall have: (i) to the extent necessary, cured or provided adequate assurance of cure of, any default existing prior to the date hereof under the Purchased Contracts, within the meaning of sections 365(b)(1)(A) and 365(f)(2)(A) of the Bankruptcy Code and (ii) to the extent necessary, provided compensation or adequate assurance of compensation to any party for any actual pecuniary loss to such party resulting from a default prior to the date hereof under the Purchased Contracts, within the meaning of sections 365(b)(1)(B) and 365(f)(2)(B) of the Bankruptcy Code. The Debtors’ and Buyer’s obligations to pay the Cure Costs under the Stalking Horse APA and the Buyer’s agreement to perform the obligations under the Purchased Contracts in accordance with the terms of the Stalking Horse APA shall constitute adequate assurance of future performance within the meaning of sections 365(b)(1)(C) and 365(f)(2)(B) of the Bankruptcy Code to the extent that any such assurance is required and not waived by the Counterparties.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32.            To the furthest extent permitted by law, any party that may have had the right to consent to the assumption or assignment of a Purchased Contract is deemed to have consented to such assumption and assignment or assignment for purposes of section 365(e)(2)(A)(ii) of the Bankruptcy Code if such party failed to timely object to the assumption or assignment of such Purchased Contract in accordance with the Bidding Procedures Order, and the Buyer shall be deemed to have demonstrated adequate assurance of future performance with respect to such Purchased Contract pursuant to sections 365(b)</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(1)(C) and 365(f)(2)(B) of the Bankruptcy Code. Any counterparty to an applicable Purchased Contract that may be assumed and assigned to the Buyer who has not timely filed and served an objection shall be barred from objecting, or asserting monetary or non-monetary defaults, with respect to any such applicable Purchased Contract, and such applicable Purchased Contract, if designated as a Purchased Contract in accordance with the terms of the Stalking Horse APA, shall be deemed assumed by the Debtors and assigned to the Buyer on the Closing Date pursuant to this Order.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33.            To the extent a Counterparty failed to timely object to the Cure Costs for any applicable Purchased Contract in accordance with the Bidding Procedures Order, such Cure Costs shall be deemed to be finally determined and any such counterparty shall be prohibited from challenging, objecting to, or denying the validity and finality of the Cure Costs at any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The requirements of Bankruptcy Rule 6006(f)(6) are hereby waived, for cause shown, with respect to the Motion and the relief requested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35.            Upon and as of the Closing Date, the Buyer shall be deemed to be substituted for the applicable Debtor as a party to the applicable Purchased Contracts and the Debtors shall be relieved, pursuant to section 365(k) of the Bankruptcy Code, from any further liability under the Purchased Contracts.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36.            The Counterparties shall cooperate and expeditiously execute and deliver, upon the reasonable requests of the Buyer, any instruments, applications, consents, or other documents that may be required or requested by any public authority or other party or entity to effectuate the applicable transfers in connection with the Sale of the Purchased Assets.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37.            From the date of the entry of the Order, the Debtors may, with the express prior written consent of the Buyer, settle objections to assumption and assignment of any applicable Purchased Contract, including to proposed Cure Costs, without, except as required herein, any further notice to or action by any party or order of the Court (including by paying any agreed Cure Cost). Unless the Court orders otherwise, contemporaneously with the resolution of any such objection, the executory contract or unexpired lease underlying such objection shall be deemed a Purchased Contract without the necessity of obtaining any further order of the Court.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38.            Notwithstanding anything to the contrary herein, no executory contract or unexpired lease as to which a Counterparty timely files and serves an objection shall be considered a Purchased Contract under this Order unless and until any timely objection to the assumption and assignment of such executory contract or unexpired lease has been resolved or overruled in accordance with the procedures set forth in the Bidding Procedures Order.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39.            The Buyer or Debtors, as applicable, shall pay the Cure Costs pursuant to the terms of the Stalking Horse APA, with respect to each Purchased Contract at the Closing (or, with respect to any Purchased Contract that is assigned following the Closing, on or prior to the date of such assignment). The Buyer may elect, upon written notice to the Debtors delivered no later than two (2) Business Days prior to the Closing Date, to satisfy such obligation by either (a) paying such Cure Costs directly to the applicable Counterparties or (b) providing such funds to the Debtors for disbursement to the applicable Counterparties on the Buyer’s behalf, in which case the Debtors shall disburse such funds to the applicable Counterparties within two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Business Days following receipt thereof and shall provide the Buyer with reasonable evidence of such disbursement.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40.            Notwithstanding the occurrence of the Closing, the Debtors are authorized and directed to assume and assign to the Buyer any Available Contract that remains a Disputed Contract as of the Closing, effective upon the resolution of the applicable dispute and the Buyer’s designation of such Contract as a Purchased Contract in accordance with the Stalking Horse APA, in each case without further notice to or order of this Court and with the same force and effect as if such Contract had been assumed and assigned as of the Closing Date. The Buyer’s right, in its sole discretion and in accordance with the Stalking Horse APA, to designate additional Contracts as Purchased Contracts or to remove Contracts from the Purchased Contracts prior to the Designation Deadline, in each case without any adjustment to the Purchase Price, is hereby approved.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41.            All Available Contracts that Buyer does not designate as Purchased Contracts pursuant to the Stalking Horse APA shall not constitute Purchased Contracts or Purchased Assets and shall automatically be deemed Excluded Contracts; provided, however, that if there is a Cure Cost dispute with respect to an Available Contract or any other dispute as to the assumption or assignment of such Available Contract (such Available Contract, a “</w:t>
      </w:r>
      <w:r>
        <w:rPr>
          <w:rFonts w:ascii="Times New Roman" w:cs="Times New Roman" w:eastAsia="Times New Roman" w:hAnsi="Times New Roman"/>
          <w:sz w:val="18"/>
          <w:szCs w:val="18"/>
          <w:u w:val="single" w:color="auto"/>
          <w:color w:val="auto"/>
        </w:rPr>
        <w:t>Disputed Contract</w:t>
      </w:r>
      <w:r>
        <w:rPr>
          <w:rFonts w:ascii="Times New Roman" w:cs="Times New Roman" w:eastAsia="Times New Roman" w:hAnsi="Times New Roman"/>
          <w:sz w:val="18"/>
          <w:szCs w:val="18"/>
          <w:color w:val="auto"/>
        </w:rPr>
        <w:t>”) that has not been resolved to the satisfaction of Buyer prior to two (2) Business Days prior to Closing (the “</w:t>
      </w:r>
      <w:r>
        <w:rPr>
          <w:rFonts w:ascii="Times New Roman" w:cs="Times New Roman" w:eastAsia="Times New Roman" w:hAnsi="Times New Roman"/>
          <w:sz w:val="18"/>
          <w:szCs w:val="18"/>
          <w:u w:val="single" w:color="auto"/>
          <w:color w:val="auto"/>
        </w:rPr>
        <w:t>Designation Deadline</w:t>
      </w:r>
      <w:r>
        <w:rPr>
          <w:rFonts w:ascii="Times New Roman" w:cs="Times New Roman" w:eastAsia="Times New Roman" w:hAnsi="Times New Roman"/>
          <w:sz w:val="18"/>
          <w:szCs w:val="18"/>
          <w:color w:val="auto"/>
        </w:rPr>
        <w:t>”), then the Designation Deadline shall be extended (but only with respect to such Disputed Contract) to no later than the earlier of (A) the date on which such Available Contract is deemed rejected by operation of section 365 of the Bankruptcy Code, and (B) the date upon which such dispute is finally determined by the Bankruptcy Court or mutually resolved by the Sellers and any counterparty to such Disputed Contract, which resolution shall be approved by Buyer in its sole discretion (the “</w:t>
      </w:r>
      <w:r>
        <w:rPr>
          <w:rFonts w:ascii="Times New Roman" w:cs="Times New Roman" w:eastAsia="Times New Roman" w:hAnsi="Times New Roman"/>
          <w:sz w:val="18"/>
          <w:szCs w:val="18"/>
          <w:u w:val="single" w:color="auto"/>
          <w:color w:val="auto"/>
        </w:rPr>
        <w:t>Extended Contract Period</w:t>
      </w:r>
      <w:r>
        <w:rPr>
          <w:rFonts w:ascii="Times New Roman" w:cs="Times New Roman" w:eastAsia="Times New Roman" w:hAnsi="Times New Roman"/>
          <w:sz w:val="18"/>
          <w:szCs w:val="18"/>
          <w:color w:val="auto"/>
        </w:rPr>
        <w:t>”). If a Designation Notice with respect to a Disputed Contract is not delivered by Buyer in writing by the date which is ten (10) Business Days following the expiration of such Extended Contract Period, such Disputed Contract shall not constitute a Purchased Contract or Purchased Asset.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42.            Nothing in this Order, the Motion, or any other notice or any other document is or shall be deemed an admission by the Debtors or the Buyer that any contract is an executory contract or must be assumed and assigned pursuant to the Stalking Horse APA or in order to consummate the Sale.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Successor Liability; Prohibition of Actions Against the Buyer.</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43.            The Buyer is not a “successor” to, a mere continuation of, or an alter ego of, any of the Debtors or their estates, and there is no continuity of enterprise or common identity between the Buyer and the Debtors by reason of any theory of law or equity. Neither the purchase of the Purchased Assets by the Buyer nor the fact that the Buyer is using any of the Purchased Assets previously operated by the Debtors will cause the Buyer to be deemed a successor to, combination of, or alter ego of, in any respect, any of the Debtors or the Debtors’ businesses, or incur any liability derived therefrom within the meaning of any foreign, federal, state, or local revenue, pension, ERISA, tax, antitrust, environmental, labor law (including any WARN Act), employment or benefits law, de facto merger, business continuation, substantial continuity, successor, vicarious, alter ego, derivative, transferee, veil piercing, escheat, continuity of enterprise, mere continuation, product line, or other law, rule, regulation (including filing requirements under any such laws, rules, or regulations), or under any products liability law or doctrine with respect to the Debtors’ liability under such law, rule, or regulation or doctrine, whether now known or unknown, now existing or hereafter arising, whether fixed or contingent, whether asserted or unasserted, whether legal or equitable, whether matured or unmatured, whether contingent or noncontingent, whether liquidated or unliquidated, whether arising prior to or subsequent to the Petition Date, whether imposed by agreement, understanding, law, equity, or otherwise, including, but not limited to, liabilities on account of warranties, intercompany loans, and receivables among the Debtors, and any taxes arising, accruing, or payable under, out of, in connection with, or in any way relating to the cancellation of debt of the Debtors or their Affiliates, or in any way relating to the operation of any of the Purchased Assets or ratings experience of the Debtors prior to the Closing Date, in each case other than the Permitted Encumbrances and Assumed Liabilities.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44.            Except with respect to the Permitted Encumbrances and Assumed Liabilities, the Buyer shall not have, assume, or be deemed to assume, or in any way be responsible for, any liability or obligation of any of the Debtors or their estates, or any of the Debtors’ predecessors or Affiliates with respect to the Purchased Assets or otherwise. Without limiting the generality of the foregoing, and except as otherwise specifically agreed in the Stalking Horse APA, the Buyer shall not have any liability, responsibility, or obligation for any Interests of the Debtors or their estates, including any claims, liabilities, or other obligations related to the Purchased Assets, including, for the avoidance of doubt, and without limiting the generality of the foregoing, any successor or other liabilities, which may become due or owing (a) prior to the Closing Date or (b) from and after the Closing Date but which arise out of or relate to any act, omission, circumstance, breach, default, or other event occurring prior to the Closing Date.</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45.            Except with respect to the Permitted Encumbrances and Assumed Liabilities or as otherwise specifically set forth in the Stalking Horse APA, all Persons (including but not limited to, all debt holders, equity security holders, governmental, tax, and regulatory authorities, lenders, trade creditors, litigation claimants, contract counterparties, customers, landlords, licensors, employees), and other holders of Interests against or in any of the Debtors or any portion of the Purchased Assets (whether legal or equitable, secured or unsecured, matured or unmatured, known or unknown, contingent or noncontingent, liquidated or unliquidated, senior or subordinate, asserted or unasserted, whether arising prior to or subsequent to the Petition Date, whether imposed by agreement, understanding, law, equity, or otherwise), arising under or out of, in connection with, or in any way relating to, the Debtors, the Purchased Assets, the operation of the Debtors’ business prior to the Closing, or the transfer of the Purchased Assets to the Buyer (including without limitation any successor or other liabilities or rights or claims based thereon) shall be, and hereby are, forever barred, estopped, and permanently enjoined from asserting, prosecuting, or otherwise pursuing against the Buyer, any of the Buyer’s Affiliates or Subsidiaries, or any of their respective officers, directors, partners, principals, direct and indirect shareholders, professionals, or representatives, successors, or assigns, or their respective assets or properties, including, without limitation, the Purchased Assets, the Interests of any kind or nature whatsoever such Person had, has, or may have against or in the Debtors, their estates, officers, directors, shareholders, or the Purchased Assets, including, without limitation, the following actions: (a) commencing or continuing in any manner any action or other proceeding, the employment of process, or any act (whether in law or equity, in any judicial, administrative, arbitral, or other proceeding) against the Buyer, the Buyer’s Affiliates or Subsidiaries, or any of their respective officers, directors, partners, principals, direct and indirect shareholders, professionals, or representatives, successors, or assigns, or their respective assets or properties, including the Purchased Assets; (b) enforcing, attaching, collecting, or recovering in any manner any judgment, award, decree, or order against the Buyer, any of the Buyer’s Affiliates or Subsidiaries, or any of their respective officers, directors, partners, principals, direct and indirect shareholders, professionals, or representatives, successors, or assigns, or their respective assets or properties, including the Purchased Assets; (c) creating, perfecting, or enforcing any Interest against the Buyer, any of the Buyer’s Affiliates or Subsidiaries, or any of their respective officers, directors, partners, principals, direct and indirect shareholders, professionals, or representatives, successors, or assigns, or their respective assets or properties, including the Purchased Assets; (d) asserting any setoff (to the extent not taken prepetition), or right of subrogation, of any kind against any obligation due the Buyer, any of its Affiliates or Subsidiaries, or any of their respective officers, directors, partners, principals, direct and indirect shareholders, professionals, or representatives, successors, or assigns, or their respective assets or properties, including the Purchased Assets; (e) commencing or continuing any action, in any manner or place, that does not comply or is inconsistent with the provisions of this Order or other orders of the Court, or the agreements or actions contemplated or taken in respect thereof; or (f) to the extent prohibited by section 525 of the Bankruptcy Code, revoking, terminating, or failing or refusing to transfer or renew any license, permit, or authorization to operate any of the Purchased Assets or conduct any of the businesses operated with the Purchased Assets.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46.            Except as provided in the Stalking Horse APA and except with respect to the Permitted Encumbrances and Assumed Liabilities and without limiting other applicable provisions of this Order, the Buyer is not, by virtue of the consummation of the Sale, assuming, nor shall it be liable or responsible for any liabilities, debts, commitments, or obligations (whether known or unknown, disclosed or undisclosed, absolute, contingent, inchoate, fixed, or otherwise) in any way whatsoever relating to or arising from the Debtors, the Purchased Assets, or the Debtors’ operation of their businesses or use of the Purchased Assets on or prior to the Closing Date or any such liabilities, debts, commitments, or obligations that in any way whatsoever relate to periods on or prior to the Closing Date or are to be observed, paid, discharged, or performed on or prior to the Closing Date (in each case, including, without limitation, Successor or Other Liabilities and any liabilities that result from, relate to, or arise out of tort or product liability claims), or any liabilities calculable by reference to the Debtors or their assets or operations (including, without limitation, by reference to the Debtors’ experience or similar ratings), or relating to continuing conditions existing on or prior to the Closing Date, including with respect to any of the Debtors’ predecessors or Affiliates, which liabilities, debts, commitments, and obligations are hereby extinguished insofar as they may give rise to Successor or Other Liability.</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Releases.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47.            Effective as of the Closing, each of the Sellers on their own behalf and on behalf of their past, present, and future predecessors, successors and assigns hereby unconditionally, irrevocably, and fully forever releases, remises, acquits, relinquishes, irrevocably waives, and discharges, in its capacity as buyer of the Purchased Assets, the Buyer and each of its and their respective predecessors, successors, assigns, Subsidiaries and Affiliates, and each of their respective former, current or future, direct or indirect, equity holders, officers, employees, directors, agents, advisory board members, representatives, owners, members, partners, employees, management companies, direct and indirect parent entities, “controlling persons” (within the meaning of federal securities law), heirs, administrators and executors, financial advisors, legal advisors, shareholders, managers, principals, consultants, accountants, attorneys, actuaries, investment bankers and other professionals in each case acting in such capacity whether current or former, as applicable (collectively, the “</w:t>
      </w:r>
      <w:r>
        <w:rPr>
          <w:rFonts w:ascii="Times New Roman" w:cs="Times New Roman" w:eastAsia="Times New Roman" w:hAnsi="Times New Roman"/>
          <w:sz w:val="18"/>
          <w:szCs w:val="18"/>
          <w:u w:val="single" w:color="auto"/>
          <w:color w:val="auto"/>
        </w:rPr>
        <w:t>Buyer Released Persons</w:t>
      </w:r>
      <w:r>
        <w:rPr>
          <w:rFonts w:ascii="Times New Roman" w:cs="Times New Roman" w:eastAsia="Times New Roman" w:hAnsi="Times New Roman"/>
          <w:sz w:val="18"/>
          <w:szCs w:val="18"/>
          <w:color w:val="auto"/>
        </w:rPr>
        <w:t xml:space="preserve">”), of and from any and all Claims, demands, liabilities, responsibilities, disputes, remedies, causes of action, indebtedness and obligations, accounts, defenses, offsets, powers, privileges, licenses, Liens, indemnities, guaranties, franchises, rights, assertions, allegations, actions, suits, controversies, proceedings, losses, damages, injuries, attorneys’ fees, costs, expenses, or judgments of every type, whether known, unknown, asserted, unasserted, suspected, unsuspected, foreseen or unforeseen, accrued, unaccrued, fixed, contingent, liquidated or unliquidated, secured or unsecured, direct or derivative, matured or unmatured, pending, or threatened, including all legal and equitable theories of recovery, arising under common law, statute, or regulation or by contract or otherwise, including any derivative claims asserted or assertable on behalf of any of the Sellers, each of the Sellers Released Persons and Buyer Released Persons, of every nature and description that exist on the date hereof or that such Person would have been legally entitled to assert (whether individually or collectively) with respect to, based on or relating to, or in any manner arising from, in whole or in part, Purchased Assets, or the Business (including the capital structure, management, ownership or operation thereof), the business operations of the Sellers and the Purchased Assets, actions taken by the Sellers’ boards of directors, the purchase, sale or rescission of any security of the Sellers, the subject matter of the business or contractual arrangements between or among any of the Sellers Released Persons or Buyer Released Persons, the Sellers’ restructuring efforts, the ownership or operation of the Sellers by any Sellers Released Persons, the distribution of any cash or other property of the Sellers to any Sellers Released Persons (as defined below) or Buyer Released Persons, the assertion or enforcement of rights or remedies against the Sellers, the Sellers’ in- or out-of-court restructuring efforts, any Avoidance Actions, intercompany transactions, the restructuring transactions and the respective Sale Transactions, entry into the Chapter 11 Cases, the formulation, preparation, dissemination, negotiation, entry into, or filing of, as applicable, any term sheets, any restructuring support agreement, the DIP Loan Documents (as defined in the Final DIP Order), the Stalking Horse APA, the respective Sale Transaction documents or any other documents relating to any of the foregoing created or entered into in connection with the respective Sale Transactions, the respective Stalking Horse APA or the DIP Loan Documents, or any other act or omission, transaction, agreement, conduct, circumstance, event or other occurrence with respect to the foregoing occurring or taking place on or prior to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release the Buyer, the Parent, or any assignee or successor, thereof, as applicable, of its obligations under the respective Stalking Horse APA, this Order, and the other respective Sale Transaction documents, or otherwise constitute a release by Seller or any of its Affiliates of any claims that Seller or any of its Affiliates have in the Chapter 11 Cases. Nothing herein or in either Stalking Horse APA shall limit Sellers’ or their respective Affiliates’ rights in the case of actual fraud (but not, for the avoidance of doubt, fraudulent conveyance claims). Effective as of the Closing (with any discrepancy between the release provided in this Order and the respective Stalking Horse APA being controlled by this Order), each of the Sellers on their own behalf and on behalf of their past, present, and future predecessors, successors and assigns, covenants not to sue either Buyer or any Buyer Released Person, or to instigate, initiate, or pursue against any of them, in any manner of judicial or administrative proceeding on such Seller’s own behalf or on behalf of any of the Sellers Released Persons, or any other Person, regarding or in connection with any of the claims released pursuant hereto or the Stalking Horse APA.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48.            Effective as of the Closing, the Buyer on its own behalf and on behalf of its past, present, and future Affiliates, predecessors, successors and assigns hereby unconditionally, irrevocably, and fully forever releases, remises, acquits, relinquishes, irrevocably waives, and discharges, the Sellers and each of their predecessors, successors, assigns, Subsidiaries and Affiliates, and each of their respective former, current or future, direct or indirect, equity holders, officers, employees, directors, agents, advisory board members, representatives, owners, members, partners, employees, management companies, direct and indirect parent entities, “controlling persons” (within the meaning of federal securities law), heirs, administrators and executors, financial advisors, legal advisors, shareholders, managers, principals, consultants, accountants, attorneys, actuaries, investment bankers and other professionals in each case acting in such capacity whether current or former, including in their capacity as directors of any of the Debtors, as applicable (collectively, the “</w:t>
      </w:r>
      <w:r>
        <w:rPr>
          <w:rFonts w:ascii="Times New Roman" w:cs="Times New Roman" w:eastAsia="Times New Roman" w:hAnsi="Times New Roman"/>
          <w:sz w:val="18"/>
          <w:szCs w:val="18"/>
          <w:u w:val="single" w:color="auto"/>
          <w:color w:val="auto"/>
        </w:rPr>
        <w:t>Sellers Released Persons</w:t>
      </w:r>
      <w:r>
        <w:rPr>
          <w:rFonts w:ascii="Times New Roman" w:cs="Times New Roman" w:eastAsia="Times New Roman" w:hAnsi="Times New Roman"/>
          <w:sz w:val="18"/>
          <w:szCs w:val="18"/>
          <w:color w:val="auto"/>
        </w:rPr>
        <w:t xml:space="preserve">”), of and from any and all Claims, demands, liabilities, responsibilities, disputes, remedies, causes of action, indebtedness and obligations, accounts, defenses, offsets, powers, privileges, licenses, Liens, indemnities, guaranties, franchises, rights, assertions, allegations, actions, suits, controversies, proceedings, losses, damages, injuries, attorneys’ fees, costs, expenses, or judgments of every type, whether known, unknown, asserted, unasserted, suspected, unsuspected, foreseen or unforeseen, accrued, unaccrued, fixed, contingent, liquidated or unliquidated, secured or unsecured, direct or derivative, matured or unmatured, pending, or threatened, including all legal and equitable theories of recovery, arising under common law, statute, or regulation or by contract or otherwise, including any derivative claims asserted or assertable on behalf of the Buyer, each of the Sellers Released Persons and Buyer Released Persons, of every nature and description that exist on the date hereof or that such Person would have been legally entitled to assert (whether individually or collectively) with respect to, based on or relating to, or in any manner arising from, in whole or in part, Purchased Assets or the Business (including the capital structure, management, ownership or operation thereof), the business operations of the Sellers and the Purchased Assets, actions taken by the Sellers’ boards of directors, the purchase, sale or rescission of any security of the Sellers, the subject matter of the business or contractual arrangements between or among any Sellers Released Persons or Buyer Released Persons, the Sellers’ restructuring efforts, the ownership or operation of the Sellers by any Sellers Released Persons, the distribution of any cash or other property of the Sellers to any Sellers Released Persons or Buyer Released Persons, the assertion or enforcement of rights or remedies against the Sellers, the Sellers’ in- or out-of-court restructuring efforts, any Avoidance Actions, intercompany transactions, the restructuring transactions and the Sale Transaction, entry into the Chapter 11 Cases, the formulation, preparation, dissemination, negotiation, entry into, or filing of, as applicable, any term sheets, any restructuring support agreement, the DIP Loan Documents, any Stalking Horse APA, any Sale Transaction documents or any other documents relating to any of the foregoing created or entered into in connection with a Sale Transaction, a Stalking Horse APA or the DIP Loan Documents, or any other act or omission, transaction, agreement, conduct, circumstance, event or other occurrence with respect to the foregoing occurring or taking place on or prior to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release the Sellers of their obligations under the Stalking Horse APA, this Order, and the other Sale Transaction documents. Nothing herein or in the Stalking Horse APA shall limit Buyer’s rights in the case of actual fraud (but not, for the avoidance of doubt, fraudulent conveyance claims). Effective as of the Closing, the Buyer, on its own behalf and on behalf of its past, present, and future Affiliates, predecessors, successors and assigns, covenants not to sue any Seller or any Sellers Released Person, or to instigate, initiate, or pursue against any of them, in any manner of judicial or administrative proceeding on the Buyer’s own behalf or on behalf of any of the Buyer Released Persons, or any other Person, regarding or in connection with any of the claims released pursuant hereto or the Stalking Horse APA.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49.            Without limiting in any way the scope of the releases contained herein and effective upon the Closing, each Seller and the Buyer, to the fullest extent allowed under applicable Law, hereby waives and relinquishes all statutory and common law protections purporting to limit the scope or effect of a general release, whether due to lack of knowledge of any claim or otherwise, including, waiving and relinquishing the terms of any Law which provides that a release may not apply to material unknown Claims. Each Seller and the Buyer hereby affirms its intent to waive and relinquish such unknown Claims and to waive and relinquish any statutory or common law protection available in any applicable jurisdiction with respect thereto. Each Seller and the Buyer hereby represents and warrants that it has access to adequate information regarding the terms hereof and all matters encompassed by the Stalking Horse APA to make an informed and knowledgeable decision with regard to entering into the Stalking Horse APA.</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50.            The transactions contemplated by the Stalking Horse APA and this Order are undertaken by the Buyer without collusion and in good faith, as that term is defined in section 363(m) of the Bankruptcy Code, and, accordingly, the reversal or modification on appeal of the authorization provided herein to consummate the Sale shall not alter, affect, limit, or otherwise impair the validity of the Sale (including the assumption, assignment, and/or transfer of the Purchased Contracts), unless such authorization and consummation of the Sale are duly stayed pending such appeal. The Buyer is a good-faith purchaser within the meaning of section 363(m) of the Bankruptcy Code and, as such, is entitled to, and hereby granted, the full rights, benefits, privileges, and protections of section 363(m) of the Bankruptcy Code. As a good-faith purchaser of the Purchased Assets, the Buyer has not entered into any agreement with any other potential bidders and has not colluded with any potential or actual bidders, and therefore, neither the Debtors nor any successor in interest to the Debtors’ estates shall be entitled to bring an action against the Buyer, and the Sale may not be avoided, pursuant to section 363(n) of the Bankruptcy Code.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            No bulk sales law or any similar law of any state or other jurisdiction shall apply in any way to the transactions contemplated under the Stalking Horse APA.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            The Buyer is not a successor to any of the Debtors for any Tax purpose, and neither the Buyer nor any of its Affiliates shall have any derivative, successor, transferee, or vicarious Tax liability of any kind or character, whether fixed or contingent, for any Taxes of the Debtors arising, accruing, or payable in connection with the operation of the Business prior to the Closing. All Persons are hereby barred, estopped, and permanently enjoined from commencing or continuing any proceeding, or taking any action, against the Buyer or any of its Affiliates to recover any pre-Closing Tax liability of the Debtors.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53.            Transfer Taxes shall be borne and paid fifty percent (50%) by Buyer, on the one hand, and fifty percent (50%) by Sellers, on the other hand. The party required by applicable Law shall timely file all necessary Tax Returns and other documentation with respect to such Transfer Taxes and timely pay the Transfer Taxes shown as due thereon. No later than ten (10) days after the filing of such Tax Return, such filing party shall provide a copy of such Tax Return to the non-filing party with evidence that such Transfer Taxes have been paid, and the non-filing party shall remit the portion of such Transfer Taxes that it is responsible for within ten (10) days of receipt of a copy of such Tax Return. Buyer and Debtors shall reasonably cooperate to establish any available exemption from, or other reduction of, any Transfer Taxes.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54.            For cause shown, pursuant to Bankruptcy Rules 6004(h), 6006(d), 7062, and 9014, this Order shall not be stayed after the entry hereof, but shall be effective and enforceable immediately upon entry, and the stays provided in Bankruptcy Rules 6004(h) and 6006(d) are hereby expressly waived and shall not apply. Accordingly, the Debtors and Buyer are authorized and empowered to close the Sale immediately upon entry of this Order.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55.            The failure to include or specifically reference any particular provision of the Stalking Horse APA or any Ancillary Agreement in this Order shall not diminish or impair the effectiveness of such provision, it being the intent of the Court that the Stalking Horse APA and the Ancillary Agreements be authorized and approved in their entirety.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56.            Nothing contained in any chapter 11 plan confirmed in these Chapter 11 Cases, the order confirming any chapter 11 plan, or any order in these Chapter 11 Cases (including any order approving a wind-down or dismissal of these Chapter 11 Cases or any order entered as part of or after any conversion of these Chapter 11 Cases to cases under chapter 7 of the Bankruptcy Code) shall alter, conflict with, or derogate from the provisions of any Stalking Horse APA or this Order, and to the extent of any conflict or derogation between this Order or either Stalking Horse APA and such future chapter 11 plan or order, the terms of this Order and the Stalking Horse APA shall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57.            To the extent that this Order is inconsistent with the Motion, the terms of this Order shall control and govern. To the extent that there are any inconsistencies between the terms of this Order, on the one hand, and the Stalking Horse APA or any Ancillary Agreement, on the other hand, the terms of this Order shall control and govern. To the extent that this Order is inconsistent with any prior order or pleading with respect to the Motion in these Chapter 11 Cases, the terms of the Stalking Horse APA or Ancillary Agreement, as applicable, shall control and govern. To the extent that any plan of reorganization or liquidation, or any order of any type or kind entered in these Chapter 11 Cases or any subsequent chapter 7 case into which these Chapter 11 Cases may be converted, conflicts with or derogates from the terms of the applicable Agreement or Ancillary Agreement or this Order, the terms of the Stalking Horse APA or any Ancillary Agreement and this Order shall control and govern to the extent of any such conflict or derogation. Unless otherwise provided herein, to the extent this Order is inconsistent with the Bidding Procedures Order or any other prior order or pleading in these Chapter 11 Cases, this Order shall govern.</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58.            The Stalking Horse APA may be modified, amended, or supplemented only by a written agreement signed by the Buyer and the Sellers and in accordance with the terms thereof without further notice to or order of the Court, so long as any such modification, amendment or supplement does not have a material adverse effect on the Debtors’ estates and does not otherwise conflict with this Order.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59.            The automatic stay pursuant to section 362 of the Bankruptcy Code is hereby lifted to the extent necessary, without further order of the Court, to allow the Buyer and the Debtors to deliver any notice provided for in the Stalking Horse APA and allow the Buyer and the Debtors to take any and all actions permitted under the Stalking Horse APA and the Ancillary Agreements.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60.            Pursuant to and in accordance with Section 6.2.4(d) of the Stalking Horse APA, prior to Closing, the Sellers may share with the Buyer, through a web portal, storage device, or other medium agreed to by the Sellers and the Buyer in good faith, any IT data, systems information and records, and Purchased Product Records (collectively, the “</w:t>
      </w:r>
      <w:r>
        <w:rPr>
          <w:rFonts w:ascii="Times New Roman" w:cs="Times New Roman" w:eastAsia="Times New Roman" w:hAnsi="Times New Roman"/>
          <w:sz w:val="18"/>
          <w:szCs w:val="18"/>
          <w:u w:val="single" w:color="auto"/>
          <w:color w:val="auto"/>
        </w:rPr>
        <w:t>Pre-Closing Access Materials</w:t>
      </w:r>
      <w:r>
        <w:rPr>
          <w:rFonts w:ascii="Times New Roman" w:cs="Times New Roman" w:eastAsia="Times New Roman" w:hAnsi="Times New Roman"/>
          <w:sz w:val="18"/>
          <w:szCs w:val="18"/>
          <w:color w:val="auto"/>
        </w:rPr>
        <w:t>”), in form and content capable of being analyzed by, and reasonably satisfactory to, the Buyer. Any such delivery of Pre-Closing Access Materials in advance of the Closing is solely for the purposes contemplated by Section 6.2.4(d) of the Stalking Horse APA and shall not constitute, and shall not be deemed to constitute, a transfer, conveyance, or assignment of any right, title, or interest in the Purchased Assets (including the Pre-Closing Access Materials), or a waiver of any right, title, or interest of the Sellers or their estates therein, prior to the occurrence of the Closing. Unless otherwise agreed by the Sellers, if the Closing does not occur for any reason prior to the Outside Date or the Stalking Horse APA is terminated, then, following such non-occurrence or termination, the Buyer shall (a) immediately cease and terminate use or access of the Pre-Closing Access Materials by the Buyer or its Representatives or any other Person with access to the Pre-Closing Access Materials, and (b) promptly (and in no event later than ten (10) Business Days following the written request of Sellers following the earlier of the termination of the Stalking Horse APA or the Outside Date), at the Sellers’ election, either (i) return, or cause to be returned, to the Sellers all Pre-Closing Access Materials in the possession, custody, or control of the Buyer or its Representatives or any other Person with access to the Pre-Closing Materials, in whatever form maintained, or (ii) destroy, or cause to be destroyed, all such Pre-Closing Access Materials, including any copies, extracts, or summaries thereof and any derivatives created therefrom, whether or not in the possession, custody, or control of the Buyer. Until the Closing, any Pre-Closing Access Materials provided to the Buyer or its Representatives shall be subject to the Confidentiality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61.            From time to time, as and when requested by the other, the Debtors and the Buyer, as the case may be, shall execute and deliver, or cause to be executed and delivered, all such documents and instruments and shall take, or cause to be taken, all such further or other actions as such other party may reasonably deem necessary or desirable to consummate the Sale, including, such actions as may be necessary to vest, perfect or confirm, or record or otherwise, in the Buyer its right, title, and interest in and to the Purchased Assets and the Purchased Contracts, subject to the provisions of the applicable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62.            The proceeds of the Sale shall be applied at Closing as set forth in paragraph 29 of the </w:t>
      </w:r>
      <w:r>
        <w:rPr>
          <w:rFonts w:ascii="Times New Roman" w:cs="Times New Roman" w:eastAsia="Times New Roman" w:hAnsi="Times New Roman"/>
          <w:sz w:val="18"/>
          <w:szCs w:val="18"/>
          <w:i w:val="1"/>
          <w:iCs w:val="1"/>
          <w:color w:val="auto"/>
        </w:rPr>
        <w:t>Final Order (I) Authorizing the Debtors to Obtain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Postpetition Financing, Granting Senior Postpetition Security Interests and According Superpriority Administrative Expense Status Pursuant to Sections 364(c) and 364(d) of the Bankruptcy Code, (II) Authorizing the Use of Cash Collateral, (III) Granting Adequate Protection; (IV) Modifying the Automatic Stay, and (V) Granting Related Relief </w:t>
      </w:r>
      <w:r>
        <w:rPr>
          <w:rFonts w:ascii="Times New Roman" w:cs="Times New Roman" w:eastAsia="Times New Roman" w:hAnsi="Times New Roman"/>
          <w:sz w:val="18"/>
          <w:szCs w:val="18"/>
          <w:color w:val="auto"/>
        </w:rPr>
        <w:t>[Docket No. 149] (the “</w:t>
      </w:r>
      <w:r>
        <w:rPr>
          <w:rFonts w:ascii="Times New Roman" w:cs="Times New Roman" w:eastAsia="Times New Roman" w:hAnsi="Times New Roman"/>
          <w:sz w:val="18"/>
          <w:szCs w:val="18"/>
          <w:u w:val="single" w:color="auto"/>
          <w:color w:val="auto"/>
        </w:rPr>
        <w:t>Final DIP Order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63.            The Court shall retain exclusive jurisdiction to, among other things, interpret, implement, and enforce the terms and provisions of this Order, the Stalking Horse APA, the Ancillary Agreements, and any amendments thereto and any waivers and consents given thereunder, and to adjudicate, if necessary, any and all disputes concerning or in any way relating to the Sale, including, but not limited to, retaining jurisdiction to (a) compel delivery of the Purchased Assets to the Buyer, (b) interpret, implement, and enforce the provisions of this Order, including but not limited to the injunctions and limitations of liability set forth in this Order, (c) decide any disputes concerning this Order and the Stalking Horse APA, or the rights and duties of the parties hereunder or thereunder or any issues relating to the Stalking Horse APA and this Order including, but not limited to, the interpretation of the terms, conditions, and provisions hereof and thereof, the status, nature, and extent of the Purchased Assets and any Purchased Contracts and all issues and disputes arising in connection with the relief authorized herein, inclusive of those concerning the transfer of the assets free and clear of all Interests (other than the Permitted Encumbrances and the Assumed Liabilities), and (d) enter any orders under sections 105, 363, and 365 of the Bankruptcy Code, or otherwise, with respect to the Purchased Assets and the Purchased Contracts.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64.            Notwithstanding anything to the contrary herein, the Debtors, the Buyer, and ProPharma Group Holdings, LLC (“</w:t>
      </w:r>
      <w:r>
        <w:rPr>
          <w:rFonts w:ascii="Times New Roman" w:cs="Times New Roman" w:eastAsia="Times New Roman" w:hAnsi="Times New Roman"/>
          <w:sz w:val="18"/>
          <w:szCs w:val="18"/>
          <w:u w:val="single" w:color="auto"/>
          <w:color w:val="auto"/>
        </w:rPr>
        <w:t>ProPharma</w:t>
      </w:r>
      <w:r>
        <w:rPr>
          <w:rFonts w:ascii="Times New Roman" w:cs="Times New Roman" w:eastAsia="Times New Roman" w:hAnsi="Times New Roman"/>
          <w:sz w:val="18"/>
          <w:szCs w:val="18"/>
          <w:color w:val="auto"/>
        </w:rPr>
        <w:t>”) expressly reserve all rights and objections with respect to the assumption and assignment of the contracts between ProPharma and the Debtors, including all matters raised in the limited objection of ProPharma filed at Docket No. 233 in these chapter 11 cases.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lowerRoman"/>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upperLetter"/>
      <w:start w:val="35"/>
    </w:lvl>
  </w:abstractNum>
  <w:abstractNum w:abstractNumId="7">
    <w:nsid w:val="614FD4A1"/>
    <w:multiLevelType w:val="hybridMultilevel"/>
    <w:lvl w:ilvl="0">
      <w:lvlJc w:val="left"/>
      <w:lvlText w:val="(%1)"/>
      <w:numFmt w:val="lowerLetter"/>
      <w:start w:val="6"/>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lowerRoman"/>
      <w:start w:val="4"/>
    </w:lvl>
  </w:abstractNum>
  <w:abstractNum w:abstractNumId="10">
    <w:nsid w:val="440BADFC"/>
    <w:multiLevelType w:val="hybridMultilevel"/>
    <w:lvl w:ilvl="0">
      <w:lvlJc w:val="left"/>
      <w:lvlText w:val="(%1)"/>
      <w:numFmt w:val="lowerLetter"/>
      <w:start w:val="10"/>
    </w:lvl>
  </w:abstractNum>
  <w:abstractNum w:abstractNumId="11">
    <w:nsid w:val="5072367"/>
    <w:multiLevelType w:val="hybridMultilevel"/>
    <w:lvl w:ilvl="0">
      <w:lvlJc w:val="left"/>
      <w:lvlText w:val="(%1)"/>
      <w:numFmt w:val="lowerLetter"/>
      <w:start w:val="18"/>
    </w:lvl>
  </w:abstractNum>
  <w:abstractNum w:abstractNumId="12">
    <w:nsid w:val="3804823E"/>
    <w:multiLevelType w:val="hybridMultilevel"/>
    <w:lvl w:ilvl="0">
      <w:lvlJc w:val="left"/>
      <w:lvlText w:val="(%1)"/>
      <w:numFmt w:val="lowerRoman"/>
      <w:start w:val="2"/>
    </w:lvl>
  </w:abstractNum>
  <w:abstractNum w:abstractNumId="13">
    <w:nsid w:val="77465F01"/>
    <w:multiLevelType w:val="hybridMultilevel"/>
    <w:lvl w:ilvl="0">
      <w:lvlJc w:val="left"/>
      <w:lvlText w:val="(%1)"/>
      <w:numFmt w:val="lowerLetter"/>
      <w:start w:val="3"/>
    </w:lvl>
  </w:abstractNum>
  <w:abstractNum w:abstractNumId="14">
    <w:nsid w:val="7724C67E"/>
    <w:multiLevelType w:val="hybridMultilevel"/>
    <w:lvl w:ilvl="0">
      <w:lvlJc w:val="left"/>
      <w:lvlText w:val="(%1)"/>
      <w:numFmt w:val="upperLetter"/>
      <w:start w:val="3"/>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Roman"/>
      <w:start w:val="1"/>
    </w:lvl>
  </w:abstractNum>
  <w:abstractNum w:abstractNumId="17">
    <w:nsid w:val="5E884ADC"/>
    <w:multiLevelType w:val="hybridMultilevel"/>
    <w:lvl w:ilvl="0">
      <w:lvlJc w:val="left"/>
      <w:lvlText w:val="(%1)"/>
      <w:numFmt w:val="decimal"/>
      <w:start w:val="10"/>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1."/>
      <w:numFmt w:val="decimal"/>
      <w:start w:val="3"/>
    </w:lvl>
  </w:abstractNum>
  <w:abstractNum w:abstractNumId="20">
    <w:nsid w:val="580BD78F"/>
    <w:multiLevelType w:val="hybridMultilevel"/>
    <w:lvl w:ilvl="0">
      <w:lvlJc w:val="left"/>
      <w:lvlText w:val="%1."/>
      <w:numFmt w:val="decimal"/>
      <w:start w:val="4"/>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2"/>
    </w:lvl>
  </w:abstractNum>
  <w:abstractNum w:abstractNumId="23">
    <w:nsid w:val="70A64E2A"/>
    <w:multiLevelType w:val="hybridMultilevel"/>
    <w:lvl w:ilvl="0">
      <w:lvlJc w:val="left"/>
      <w:lvlText w:val="(%1)"/>
      <w:numFmt w:val="lowerRoman"/>
      <w:start w:val="2"/>
    </w:lvl>
  </w:abstractNum>
  <w:abstractNum w:abstractNumId="24">
    <w:nsid w:val="6A2342EC"/>
    <w:multiLevelType w:val="hybridMultilevel"/>
    <w:lvl w:ilvl="0">
      <w:lvlJc w:val="left"/>
      <w:lvlText w:val="(%1)"/>
      <w:numFmt w:val="lowerLetter"/>
      <w:start w:val="24"/>
    </w:lvl>
  </w:abstractNum>
  <w:abstractNum w:abstractNumId="25">
    <w:nsid w:val="2A487CB0"/>
    <w:multiLevelType w:val="hybridMultilevel"/>
    <w:lvl w:ilvl="0">
      <w:lvlJc w:val="left"/>
      <w:lvlText w:val="(%1)"/>
      <w:numFmt w:val="decimal"/>
      <w:start w:val="30"/>
    </w:lvl>
  </w:abstractNum>
  <w:abstractNum w:abstractNumId="26">
    <w:nsid w:val="1D4ED43B"/>
    <w:multiLevelType w:val="hybridMultilevel"/>
    <w:lvl w:ilvl="0">
      <w:lvlJc w:val="left"/>
      <w:lvlText w:val="(%1)"/>
      <w:numFmt w:val="lowerRoman"/>
      <w:start w:val="3"/>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1)"/>
      <w:numFmt w:val="upperLetter"/>
      <w:start w:val="2"/>
    </w:lvl>
  </w:abstractNum>
  <w:abstractNum w:abstractNumId="30">
    <w:nsid w:val="7A6D8D3C"/>
    <w:multiLevelType w:val="hybridMultilevel"/>
    <w:lvl w:ilvl="0">
      <w:lvlJc w:val="left"/>
      <w:lvlText w:val="(%1)"/>
      <w:numFmt w:val="lowerRoman"/>
      <w:start w:val="5"/>
    </w:lvl>
  </w:abstractNum>
  <w:abstractNum w:abstractNumId="31">
    <w:nsid w:val="4B588F54"/>
    <w:multiLevelType w:val="hybridMultilevel"/>
    <w:lvl w:ilvl="0">
      <w:lvlJc w:val="left"/>
      <w:lvlText w:val="(%1)"/>
      <w:numFmt w:val="lowerRoman"/>
      <w:start w:val="3"/>
    </w:lvl>
  </w:abstractNum>
  <w:abstractNum w:abstractNumId="32">
    <w:nsid w:val="542289EC"/>
    <w:multiLevelType w:val="hybridMultilevel"/>
    <w:lvl w:ilvl="0">
      <w:lvlJc w:val="left"/>
      <w:lvlText w:val="(%1)"/>
      <w:numFmt w:val="lowerRoman"/>
      <w:start w:val="1"/>
    </w:lvl>
  </w:abstractNum>
  <w:abstractNum w:abstractNumId="33">
    <w:nsid w:val="6DE91B18"/>
    <w:multiLevelType w:val="hybridMultilevel"/>
    <w:lvl w:ilvl="0">
      <w:lvlJc w:val="left"/>
      <w:lvlText w:val="(%1)"/>
      <w:numFmt w:val="lowerRoman"/>
      <w:start w:val="3"/>
    </w:lvl>
  </w:abstractNum>
  <w:abstractNum w:abstractNumId="34">
    <w:nsid w:val="38437FDB"/>
    <w:multiLevelType w:val="hybridMultilevel"/>
    <w:lvl w:ilvl="0">
      <w:lvlJc w:val="left"/>
      <w:lvlText w:val="(%1)"/>
      <w:numFmt w:val="lowerRoman"/>
      <w:start w:val="2"/>
    </w:lvl>
  </w:abstractNum>
  <w:abstractNum w:abstractNumId="35">
    <w:nsid w:val="7644A45C"/>
    <w:multiLevelType w:val="hybridMultilevel"/>
    <w:lvl w:ilvl="0">
      <w:lvlJc w:val="left"/>
      <w:lvlText w:val="(%1)"/>
      <w:numFmt w:val="lowerRoman"/>
      <w:start w:val="10"/>
    </w:lvl>
  </w:abstractNum>
  <w:abstractNum w:abstractNumId="36">
    <w:nsid w:val="32FFF902"/>
    <w:multiLevelType w:val="hybridMultilevel"/>
    <w:lvl w:ilvl="0">
      <w:lvlJc w:val="left"/>
      <w:lvlText w:val="(%1)"/>
      <w:numFmt w:val="upp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26"/>
    </w:lvl>
  </w:abstractNum>
  <w:abstractNum w:abstractNumId="39">
    <w:nsid w:val="749ABB43"/>
    <w:multiLevelType w:val="hybridMultilevel"/>
    <w:lvl w:ilvl="0">
      <w:lvlJc w:val="left"/>
      <w:lvlText w:val="(%1)"/>
      <w:numFmt w:val="lowerLetter"/>
      <w:start w:val="25"/>
    </w:lvl>
  </w:abstractNum>
  <w:abstractNum w:abstractNumId="40">
    <w:nsid w:val="3DC240FB"/>
    <w:multiLevelType w:val="hybridMultilevel"/>
    <w:lvl w:ilvl="0">
      <w:lvlJc w:val="left"/>
      <w:lvlText w:val="(%1)"/>
      <w:numFmt w:val="lowerRoman"/>
      <w:start w:val="2"/>
    </w:lvl>
  </w:abstractNum>
  <w:abstractNum w:abstractNumId="41">
    <w:nsid w:val="1BA026FA"/>
    <w:multiLevelType w:val="hybridMultilevel"/>
    <w:lvl w:ilvl="0">
      <w:lvlJc w:val="left"/>
      <w:lvlText w:val="(%1)"/>
      <w:numFmt w:val="decimal"/>
      <w:start w:val="5"/>
    </w:lvl>
  </w:abstractNum>
  <w:abstractNum w:abstractNumId="42">
    <w:nsid w:val="79A1DEAA"/>
    <w:multiLevelType w:val="hybridMultilevel"/>
    <w:lvl w:ilvl="0">
      <w:lvlJc w:val="left"/>
      <w:lvlText w:val="(%1)"/>
      <w:numFmt w:val="lowerLetter"/>
      <w:start w:val="2"/>
    </w:lvl>
  </w:abstractNum>
  <w:abstractNum w:abstractNumId="43">
    <w:nsid w:val="75C6C33A"/>
    <w:multiLevelType w:val="hybridMultilevel"/>
    <w:lvl w:ilvl="0">
      <w:lvlJc w:val="left"/>
      <w:lvlText w:val="(%1)"/>
      <w:numFmt w:val="decimal"/>
      <w:start w:val="2"/>
    </w:lvl>
  </w:abstractNum>
  <w:abstractNum w:abstractNumId="44">
    <w:nsid w:val="12E685FB"/>
    <w:multiLevelType w:val="hybridMultilevel"/>
    <w:lvl w:ilvl="0">
      <w:lvlJc w:val="left"/>
      <w:lvlText w:val="(%1)"/>
      <w:numFmt w:val="lowerLetter"/>
      <w:start w:val="4"/>
    </w:lvl>
  </w:abstractNum>
  <w:abstractNum w:abstractNumId="45">
    <w:nsid w:val="70C6A529"/>
    <w:multiLevelType w:val="hybridMultilevel"/>
    <w:lvl w:ilvl="0">
      <w:lvlJc w:val="left"/>
      <w:lvlText w:val="(%1)"/>
      <w:numFmt w:val="upperLetter"/>
      <w:start w:val="2"/>
    </w:lvl>
  </w:abstractNum>
  <w:abstractNum w:abstractNumId="46">
    <w:nsid w:val="520EEDD1"/>
    <w:multiLevelType w:val="hybridMultilevel"/>
    <w:lvl w:ilvl="0">
      <w:lvlJc w:val="left"/>
      <w:lvlText w:val="1"/>
      <w:numFmt w:val="bullet"/>
      <w:start w:val="1"/>
    </w:lvl>
  </w:abstractNum>
  <w:abstractNum w:abstractNumId="47">
    <w:nsid w:val="374A3FE6"/>
    <w:multiLevelType w:val="hybridMultilevel"/>
    <w:lvl w:ilvl="0">
      <w:lvlJc w:val="left"/>
      <w:lvlText w:val="2"/>
      <w:numFmt w:val="bullet"/>
      <w:start w:val="1"/>
    </w:lvl>
  </w:abstractNum>
  <w:abstractNum w:abstractNumId="48">
    <w:nsid w:val="4F4EF005"/>
    <w:multiLevelType w:val="hybridMultilevel"/>
    <w:lvl w:ilvl="0">
      <w:lvlJc w:val="left"/>
      <w:lvlText w:val="%1."/>
      <w:numFmt w:val="upperLetter"/>
      <w:start w:val="9"/>
    </w:lvl>
  </w:abstractNum>
  <w:abstractNum w:abstractNumId="49">
    <w:nsid w:val="23F9C13C"/>
    <w:multiLevelType w:val="hybridMultilevel"/>
    <w:lvl w:ilvl="0">
      <w:lvlJc w:val="left"/>
      <w:lvlText w:val="%1."/>
      <w:numFmt w:val="upperLetter"/>
      <w:start w:val="35"/>
    </w:lvl>
  </w:abstractNum>
  <w:abstractNum w:abstractNumId="50">
    <w:nsid w:val="649BB77C"/>
    <w:multiLevelType w:val="hybridMultilevel"/>
    <w:lvl w:ilvl="0">
      <w:lvlJc w:val="left"/>
      <w:lvlText w:val="%1."/>
      <w:numFmt w:val="upperLetter"/>
      <w:start w:val="61"/>
    </w:lvl>
  </w:abstractNum>
  <w:abstractNum w:abstractNumId="51">
    <w:nsid w:val="275AC794"/>
    <w:multiLevelType w:val="hybridMultilevel"/>
    <w:lvl w:ilvl="0">
      <w:lvlJc w:val="left"/>
      <w:lvlText w:val="%1."/>
      <w:numFmt w:val="upperLetter"/>
      <w:start w:val="22"/>
    </w:lvl>
  </w:abstractNum>
  <w:abstractNum w:abstractNumId="52">
    <w:nsid w:val="39386575"/>
    <w:multiLevelType w:val="hybridMultilevel"/>
    <w:lvl w:ilvl="0">
      <w:lvlJc w:val="left"/>
      <w:lvlText w:val="%1."/>
      <w:numFmt w:val="upperLetter"/>
      <w:start w:val="24"/>
    </w:lvl>
  </w:abstractNum>
  <w:abstractNum w:abstractNumId="53">
    <w:nsid w:val="1CF10FD8"/>
    <w:multiLevelType w:val="hybridMultilevel"/>
    <w:lvl w:ilvl="0">
      <w:lvlJc w:val="left"/>
      <w:lvlText w:val="%1."/>
      <w:numFmt w:val="upperLetter"/>
      <w:start w:val="9"/>
    </w:lvl>
  </w:abstractNum>
  <w:abstractNum w:abstractNumId="54">
    <w:nsid w:val="180115BE"/>
    <w:multiLevelType w:val="hybridMultilevel"/>
    <w:lvl w:ilvl="0">
      <w:lvlJc w:val="left"/>
      <w:lvlText w:val="%1."/>
      <w:numFmt w:val="upperLetter"/>
      <w:start w:val="35"/>
    </w:lvl>
  </w:abstractNum>
  <w:abstractNum w:abstractNumId="55">
    <w:nsid w:val="235BA861"/>
    <w:multiLevelType w:val="hybridMultilevel"/>
    <w:lvl w:ilvl="0">
      <w:lvlJc w:val="left"/>
      <w:lvlText w:val="%1."/>
      <w:numFmt w:val="upperLetter"/>
      <w:start w:val="61"/>
    </w:lvl>
  </w:abstractNum>
  <w:abstractNum w:abstractNumId="56">
    <w:nsid w:val="47398C89"/>
    <w:multiLevelType w:val="hybridMultilevel"/>
    <w:lvl w:ilvl="0">
      <w:lvlJc w:val="left"/>
      <w:lvlText w:val="(%1)"/>
      <w:numFmt w:val="lowerRoman"/>
      <w:start w:val="2"/>
    </w:lvl>
  </w:abstractNum>
  <w:abstractNum w:abstractNumId="57">
    <w:nsid w:val="354FE9F9"/>
    <w:multiLevelType w:val="hybridMultilevel"/>
    <w:lvl w:ilvl="0">
      <w:lvlJc w:val="left"/>
      <w:lvlText w:val="(%1)"/>
      <w:numFmt w:val="upperLetter"/>
      <w:start w:val="5"/>
    </w:lvl>
  </w:abstractNum>
  <w:abstractNum w:abstractNumId="58">
    <w:nsid w:val="15B5AF5C"/>
    <w:multiLevelType w:val="hybridMultilevel"/>
    <w:lvl w:ilvl="0">
      <w:lvlJc w:val="left"/>
      <w:lvlText w:val="(%1)"/>
      <w:numFmt w:val="lowerRoman"/>
      <w:start w:val="1"/>
    </w:lvl>
  </w:abstractNum>
  <w:abstractNum w:abstractNumId="59">
    <w:nsid w:val="741226B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2026-10-30T16:44:15Z</dcterms:created>
  <dcterms:modified xsi:type="dcterms:W3CDTF">2026-10-30T16:44:15Z</dcterms:modified>
</cp:coreProperties>
</file>