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72390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89535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jc w:val="center"/>
        <w:ind w:left="3380" w:right="360" w:hanging="3088"/>
        <w:spacing w:after="0" w:line="375" w:lineRule="auto"/>
        <w:tabs>
          <w:tab w:leader="none" w:pos="75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60" w:hanging="468"/>
        <w:spacing w:after="0"/>
        <w:tabs>
          <w:tab w:leader="none" w:pos="7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554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transition period from</w:t>
            </w:r>
          </w:p>
        </w:tc>
        <w:tc>
          <w:tcPr>
            <w:tcW w:w="1340" w:type="dxa"/>
            <w:vAlign w:val="bottom"/>
          </w:tcPr>
          <w:p>
            <w:pPr>
              <w:ind w:left="4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3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Commission File Number: 001-38410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55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2"/>
              </w:rPr>
              <w:t>BioXcel Therapeutics,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40" w:type="dxa"/>
            <w:vAlign w:val="bottom"/>
            <w:gridSpan w:val="3"/>
          </w:tcPr>
          <w:p>
            <w:pPr>
              <w:jc w:val="center"/>
              <w:ind w:left="1761"/>
              <w:spacing w:after="0"/>
              <w:rPr>
                <w:sz w:val="20"/>
                <w:szCs w:val="20"/>
                <w:color w:val="auto"/>
              </w:rPr>
            </w:pPr>
            <w:r>
              <w:rPr>
                <w:rFonts w:ascii="Arial" w:cs="Arial" w:eastAsia="Arial" w:hAnsi="Arial"/>
                <w:sz w:val="14"/>
                <w:szCs w:val="14"/>
                <w:color w:val="auto"/>
                <w:w w:val="93"/>
              </w:rPr>
              <w:t>(Exact Name of Registrant as Specified in its Charter)</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5540" w:type="dxa"/>
            <w:vAlign w:val="bottom"/>
            <w:gridSpan w:val="3"/>
          </w:tcPr>
          <w:p>
            <w:pPr>
              <w:jc w:val="center"/>
              <w:ind w:right="3240"/>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left="205"/>
              <w:spacing w:after="0" w:line="161" w:lineRule="exact"/>
              <w:rPr>
                <w:sz w:val="20"/>
                <w:szCs w:val="20"/>
                <w:color w:val="auto"/>
              </w:rPr>
            </w:pPr>
            <w:r>
              <w:rPr>
                <w:rFonts w:ascii="Arial" w:cs="Arial" w:eastAsia="Arial" w:hAnsi="Arial"/>
                <w:sz w:val="14"/>
                <w:szCs w:val="14"/>
                <w:b w:val="1"/>
                <w:bCs w:val="1"/>
                <w:color w:val="auto"/>
                <w:w w:val="94"/>
              </w:rPr>
              <w:t>82</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1386754</w:t>
            </w:r>
          </w:p>
        </w:tc>
        <w:tc>
          <w:tcPr>
            <w:tcW w:w="0" w:type="dxa"/>
            <w:vAlign w:val="bottom"/>
          </w:tcPr>
          <w:p>
            <w:pPr>
              <w:spacing w:after="0"/>
              <w:rPr>
                <w:sz w:val="1"/>
                <w:szCs w:val="1"/>
                <w:color w:val="auto"/>
              </w:rPr>
            </w:pPr>
          </w:p>
        </w:tc>
      </w:tr>
      <w:tr>
        <w:trPr>
          <w:trHeight w:val="149"/>
        </w:trPr>
        <w:tc>
          <w:tcPr>
            <w:tcW w:w="5540" w:type="dxa"/>
            <w:vAlign w:val="bottom"/>
            <w:gridSpan w:val="3"/>
          </w:tcPr>
          <w:p>
            <w:pPr>
              <w:jc w:val="center"/>
              <w:ind w:right="32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40" w:type="dxa"/>
            <w:vAlign w:val="bottom"/>
          </w:tcPr>
          <w:p>
            <w:pPr>
              <w:jc w:val="center"/>
              <w:ind w:left="20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5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05"/>
        </w:trPr>
        <w:tc>
          <w:tcPr>
            <w:tcW w:w="5540" w:type="dxa"/>
            <w:vAlign w:val="bottom"/>
            <w:gridSpan w:val="3"/>
          </w:tcPr>
          <w:p>
            <w:pPr>
              <w:jc w:val="center"/>
              <w:ind w:right="3240"/>
              <w:spacing w:after="0"/>
              <w:rPr>
                <w:sz w:val="20"/>
                <w:szCs w:val="20"/>
                <w:color w:val="auto"/>
              </w:rPr>
            </w:pPr>
            <w:r>
              <w:rPr>
                <w:rFonts w:ascii="Arial" w:cs="Arial" w:eastAsia="Arial" w:hAnsi="Arial"/>
                <w:sz w:val="14"/>
                <w:szCs w:val="14"/>
                <w:b w:val="1"/>
                <w:bCs w:val="1"/>
                <w:color w:val="auto"/>
                <w:w w:val="95"/>
              </w:rPr>
              <w:t>555 Long Wharf Drive</w:t>
            </w:r>
          </w:p>
        </w:tc>
        <w:tc>
          <w:tcPr>
            <w:tcW w:w="13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540" w:type="dxa"/>
            <w:vAlign w:val="bottom"/>
            <w:gridSpan w:val="3"/>
          </w:tcPr>
          <w:p>
            <w:pPr>
              <w:jc w:val="center"/>
              <w:ind w:right="3240"/>
              <w:spacing w:after="0" w:line="153" w:lineRule="exact"/>
              <w:rPr>
                <w:sz w:val="20"/>
                <w:szCs w:val="20"/>
                <w:color w:val="auto"/>
              </w:rPr>
            </w:pPr>
            <w:r>
              <w:rPr>
                <w:rFonts w:ascii="Arial" w:cs="Arial" w:eastAsia="Arial" w:hAnsi="Arial"/>
                <w:sz w:val="14"/>
                <w:szCs w:val="14"/>
                <w:b w:val="1"/>
                <w:bCs w:val="1"/>
                <w:color w:val="auto"/>
              </w:rPr>
              <w:t>New Haven, CT</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40" w:type="dxa"/>
            <w:vAlign w:val="bottom"/>
            <w:gridSpan w:val="3"/>
          </w:tcPr>
          <w:p>
            <w:pPr>
              <w:jc w:val="center"/>
              <w:ind w:right="3260"/>
              <w:spacing w:after="0"/>
              <w:rPr>
                <w:sz w:val="20"/>
                <w:szCs w:val="20"/>
                <w:color w:val="auto"/>
              </w:rPr>
            </w:pPr>
            <w:r>
              <w:rPr>
                <w:rFonts w:ascii="Arial" w:cs="Arial" w:eastAsia="Arial" w:hAnsi="Arial"/>
                <w:sz w:val="14"/>
                <w:szCs w:val="14"/>
                <w:color w:val="auto"/>
                <w:w w:val="95"/>
              </w:rPr>
              <w:t>(Address of principal executive offices)</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3140" w:type="dxa"/>
            <w:vAlign w:val="bottom"/>
            <w:gridSpan w:val="2"/>
          </w:tcPr>
          <w:p>
            <w:pPr>
              <w:jc w:val="center"/>
              <w:ind w:right="560"/>
              <w:spacing w:after="0" w:line="161" w:lineRule="exact"/>
              <w:rPr>
                <w:sz w:val="20"/>
                <w:szCs w:val="20"/>
                <w:color w:val="auto"/>
              </w:rPr>
            </w:pPr>
            <w:r>
              <w:rPr>
                <w:rFonts w:ascii="Arial" w:cs="Arial" w:eastAsia="Arial" w:hAnsi="Arial"/>
                <w:sz w:val="14"/>
                <w:szCs w:val="14"/>
                <w:b w:val="1"/>
                <w:bCs w:val="1"/>
                <w:color w:val="auto"/>
                <w:w w:val="94"/>
              </w:rPr>
              <w:t>(475) 238</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6837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40" w:type="dxa"/>
            <w:vAlign w:val="bottom"/>
            <w:gridSpan w:val="3"/>
          </w:tcPr>
          <w:p>
            <w:pPr>
              <w:jc w:val="center"/>
              <w:ind w:left="1781"/>
              <w:spacing w:after="0"/>
              <w:rPr>
                <w:sz w:val="20"/>
                <w:szCs w:val="20"/>
                <w:color w:val="auto"/>
              </w:rPr>
            </w:pPr>
            <w:r>
              <w:rPr>
                <w:rFonts w:ascii="Arial" w:cs="Arial" w:eastAsia="Arial" w:hAnsi="Arial"/>
                <w:sz w:val="14"/>
                <w:szCs w:val="14"/>
                <w:color w:val="auto"/>
                <w:w w:val="92"/>
              </w:rPr>
              <w:t>(Registrant’s telephone number, including area code)</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125095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74"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100"/>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760" w:top="233" w:right="879" w:bottom="1440" w:gutter="0" w:footer="0" w:header="0"/>
        </w:sectPr>
      </w:pPr>
    </w:p>
    <w:p>
      <w:pPr>
        <w:spacing w:after="0" w:line="15" w:lineRule="exact"/>
        <w:rPr>
          <w:sz w:val="24"/>
          <w:szCs w:val="24"/>
          <w:color w:val="auto"/>
        </w:rPr>
      </w:pPr>
    </w:p>
    <w:p>
      <w:pPr>
        <w:ind w:left="1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20" w:space="720"/>
            <w:col w:w="3020"/>
          </w:cols>
          <w:pgMar w:left="760" w:top="233" w:right="879" w:bottom="1440" w:gutter="0" w:footer="0" w:header="0"/>
          <w:type w:val="continuous"/>
        </w:sectPr>
      </w:pPr>
    </w:p>
    <w:p>
      <w:pPr>
        <w:ind w:left="19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260" w:space="720"/>
            <w:col w:w="3280"/>
          </w:cols>
          <w:pgMar w:left="760" w:top="233" w:right="879" w:bottom="1440" w:gutter="0" w:footer="0" w:header="0"/>
          <w:type w:val="continuous"/>
        </w:sectPr>
      </w:pPr>
    </w:p>
    <w:p>
      <w:pPr>
        <w:ind w:left="69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260"/>
          </w:cols>
          <w:pgMar w:left="760" w:top="233" w:right="879" w:bottom="1440" w:gutter="0" w:footer="0" w:header="0"/>
          <w:type w:val="continuous"/>
        </w:sectPr>
      </w:pPr>
    </w:p>
    <w:p>
      <w:pPr>
        <w:spacing w:after="0" w:line="134"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260"/>
          </w:cols>
          <w:pgMar w:left="760" w:top="233" w:right="879" w:bottom="1440" w:gutter="0" w:footer="0" w:header="0"/>
          <w:type w:val="continuous"/>
        </w:sectPr>
      </w:pPr>
    </w:p>
    <w:p>
      <w:pPr>
        <w:spacing w:after="0" w:line="136" w:lineRule="exact"/>
        <w:rPr>
          <w:sz w:val="24"/>
          <w:szCs w:val="24"/>
          <w:color w:val="auto"/>
        </w:rPr>
      </w:pPr>
    </w:p>
    <w:p>
      <w:pPr>
        <w:jc w:val="center"/>
        <w:ind w:right="16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5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620" w:space="720"/>
            <w:col w:w="1980" w:space="720"/>
            <w:col w:w="3220"/>
          </w:cols>
          <w:pgMar w:left="760" w:top="233" w:right="879" w:bottom="1440" w:gutter="0" w:footer="0" w:header="0"/>
          <w:type w:val="continuous"/>
        </w:sectPr>
      </w:pPr>
    </w:p>
    <w:p>
      <w:pPr>
        <w:ind w:left="96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260"/>
          </w:cols>
          <w:pgMar w:left="760" w:top="233" w:right="879" w:bottom="1440" w:gutter="0" w:footer="0" w:header="0"/>
          <w:type w:val="continuous"/>
        </w:sectPr>
      </w:pPr>
    </w:p>
    <w:p>
      <w:pPr>
        <w:spacing w:after="0" w:line="71"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the registrant’s common stock, $0.001 par value per share, outstanding at May 1, 2019 was 15,665,802.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wp:posOffset>
            </wp:positionV>
            <wp:extent cx="66122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430530</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60"/>
          </w:cols>
          <w:pgMar w:left="760" w:top="233" w:right="87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gridSpan w:val="12"/>
            <w:vMerge w:val="restart"/>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20" w:type="dxa"/>
            <w:vAlign w:val="bottom"/>
            <w:gridSpan w:val="12"/>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 Looking Statements</w:t>
              </w:r>
            </w:hyperlink>
          </w:p>
        </w:tc>
        <w:tc>
          <w:tcPr>
            <w:tcW w:w="562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340" w:type="dxa"/>
            <w:vAlign w:val="bottom"/>
            <w:gridSpan w:val="3"/>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622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Balance Sheets as of March 31, 2019 (unaudited) and December 31, 2018</w:t>
              </w:r>
            </w:hyperlink>
          </w:p>
        </w:tc>
        <w:tc>
          <w:tcPr>
            <w:tcW w:w="23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Operations for the three months ended March 31, 2019 and 2018 (unaudited)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Statements of Changes in Stockholders’ Equity for the three months ended March 31, 2019 and 2018</w:t>
              </w:r>
            </w:hyperlink>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676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Statements of Cash Flows for the three months ended March 31, 2019 and 2018 (unaudited)</w:t>
              </w:r>
            </w:hyperlink>
          </w:p>
        </w:tc>
        <w:tc>
          <w:tcPr>
            <w:tcW w:w="11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 (unaudited)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34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26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33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77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620" w:type="dxa"/>
            <w:vAlign w:val="bottom"/>
            <w:gridSpan w:val="12"/>
          </w:tcPr>
          <w:p>
            <w:pPr>
              <w:ind w:left="20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340" w:type="dxa"/>
            <w:vAlign w:val="bottom"/>
            <w:gridSpan w:val="3"/>
          </w:tcPr>
          <w:p>
            <w:pPr>
              <w:spacing w:after="0"/>
              <w:rPr>
                <w:sz w:val="24"/>
                <w:szCs w:val="24"/>
                <w:color w:val="auto"/>
              </w:rPr>
            </w:pPr>
          </w:p>
        </w:tc>
        <w:tc>
          <w:tcPr>
            <w:tcW w:w="230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720" w:type="dxa"/>
            <w:vAlign w:val="bottom"/>
            <w:tcBorders>
              <w:top w:val="single" w:sz="8" w:color="0000EE"/>
            </w:tcBorders>
            <w:gridSpan w:val="5"/>
          </w:tcPr>
          <w:p>
            <w:pPr>
              <w:spacing w:after="0"/>
              <w:rPr>
                <w:sz w:val="24"/>
                <w:szCs w:val="24"/>
                <w:color w:val="auto"/>
              </w:rPr>
            </w:pPr>
          </w:p>
        </w:tc>
        <w:tc>
          <w:tcPr>
            <w:tcW w:w="270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77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3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4.</w:t>
              </w:r>
            </w:hyperlink>
          </w:p>
        </w:tc>
        <w:tc>
          <w:tcPr>
            <w:tcW w:w="340" w:type="dxa"/>
            <w:vAlign w:val="bottom"/>
            <w:gridSpan w:val="3"/>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5.</w:t>
              </w:r>
            </w:hyperlink>
          </w:p>
        </w:tc>
        <w:tc>
          <w:tcPr>
            <w:tcW w:w="340" w:type="dxa"/>
            <w:vAlign w:val="bottom"/>
            <w:gridSpan w:val="3"/>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596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6.</w:t>
              </w:r>
            </w:hyperlink>
          </w:p>
        </w:tc>
        <w:tc>
          <w:tcPr>
            <w:tcW w:w="34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17"/>
                <w:szCs w:val="17"/>
                <w:color w:val="auto"/>
              </w:rPr>
            </w:pPr>
          </w:p>
        </w:tc>
        <w:tc>
          <w:tcPr>
            <w:tcW w:w="640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Signatures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2"/>
          </w:tcPr>
          <w:p>
            <w:pPr>
              <w:ind w:left="36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This Quarterly Report on Form 10-Q, or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78"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initiate clinical trials for BXCL501, BXCL701 and our other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225" w:lineRule="exact"/>
        <w:rPr>
          <w:rFonts w:ascii="Arial" w:cs="Arial" w:eastAsia="Arial" w:hAnsi="Arial"/>
          <w:sz w:val="18"/>
          <w:szCs w:val="18"/>
          <w:color w:val="auto"/>
        </w:rPr>
      </w:pPr>
    </w:p>
    <w:p>
      <w:pPr>
        <w:ind w:left="660" w:right="70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225" w:lineRule="exact"/>
        <w:rPr>
          <w:rFonts w:ascii="Arial" w:cs="Arial" w:eastAsia="Arial" w:hAnsi="Arial"/>
          <w:sz w:val="18"/>
          <w:szCs w:val="18"/>
          <w:color w:val="auto"/>
        </w:rPr>
      </w:pPr>
    </w:p>
    <w:p>
      <w:pPr>
        <w:ind w:left="660" w:right="62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from Parent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2,128</w:t>
            </w:r>
          </w:p>
        </w:tc>
        <w:tc>
          <w:tcPr>
            <w:tcW w:w="200" w:type="dxa"/>
            <w:vAlign w:val="bottom"/>
          </w:tcPr>
          <w:p>
            <w:pPr>
              <w:spacing w:after="0"/>
              <w:rPr>
                <w:sz w:val="18"/>
                <w:szCs w:val="18"/>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Due to Parent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10,000,000 shares authorized; no shares issued or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50,000,000 shares authorized; 15,665,802 and 15,663,221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4"/>
              </w:rPr>
              <w:t>shares issued and outstanding as of March 31, 2019 and December 31, 2018,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(30,924)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40,328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15,663,795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11,456,325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 DEFICIT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0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8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9,907,548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Issuance of common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283,452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Issuance of common shares, upon completion of</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Initial Public Offering, net of issuance costs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$5,898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5,454,545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March 31,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15,645,545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15,663,221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62,593</w:t>
            </w:r>
          </w:p>
        </w:tc>
        <w:tc>
          <w:tcPr>
            <w:tcW w:w="1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(23,720)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15,665,802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63,276</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70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Due to Parent under asset contribution agreement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16"/>
        </w:trPr>
        <w:tc>
          <w:tcPr>
            <w:tcW w:w="7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Due to related party</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Purchases of equipment and leasehold improvements</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56,512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Due to Parent</w:t>
            </w: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Note Payable — Parent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55,590</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(6,269)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54,578</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1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55,465</w:t>
            </w: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Supplemental disclosure of non-cash Financing Activity: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issuance costs, unpaid as of December 31, 2017</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02"/>
        </w:trPr>
        <w:tc>
          <w:tcPr>
            <w:tcW w:w="7020" w:type="dxa"/>
            <w:vAlign w:val="bottom"/>
          </w:tcPr>
          <w:p>
            <w:pPr>
              <w:ind w:left="220"/>
              <w:spacing w:after="0" w:line="201" w:lineRule="exact"/>
              <w:rPr>
                <w:sz w:val="20"/>
                <w:szCs w:val="20"/>
                <w:color w:val="auto"/>
              </w:rPr>
            </w:pPr>
            <w:r>
              <w:rPr>
                <w:rFonts w:ascii="Arial" w:cs="Arial" w:eastAsia="Arial" w:hAnsi="Arial"/>
                <w:sz w:val="18"/>
                <w:szCs w:val="18"/>
                <w:color w:val="auto"/>
                <w:w w:val="95"/>
              </w:rPr>
              <w:t>Deferred issuance costs reclassified to additional paid-in-capital upon completion of initial</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public offering.</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net Parent Investment in the Company to accumulated deficit.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BioXcel Therapeutics, Inc. (the “Company” or “BTI”) is a clinical stage biopharmaceutical company utilizing novel artificial intelligence-based approaches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New Haven, Connecticut. Unless otherwise indicated or the context requires otherwise, references in this report to “we,” “our,” “us” and similar expressions refer to BioXcel Therapeutics, Inc.</w:t>
      </w:r>
    </w:p>
    <w:p>
      <w:pPr>
        <w:spacing w:after="0" w:line="19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unaudited financial information for the three months ended March 31, 2019 and 2018 is presented on the same basis as the financial statements included in the Company’s Annual Report on Form 10-K for the year ended December 31, 2018.</w:t>
      </w:r>
    </w:p>
    <w:p>
      <w:pPr>
        <w:spacing w:after="0" w:line="12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 contribution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jc w:val="both"/>
        <w:ind w:right="20" w:firstLine="324"/>
        <w:spacing w:after="0" w:line="221"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its initial public offering of its common stock (the “IPO”) was declared effective by the Securities and Exchange Commission (“SEC”). The IPO closed on March 12, 2018, and the Company issued and sold 5,454,545 shares of common stock at a public offering price of $11.00 per share.</w:t>
      </w:r>
    </w:p>
    <w:p>
      <w:pPr>
        <w:ind w:right="60"/>
        <w:spacing w:after="0" w:line="261" w:lineRule="auto"/>
        <w:rPr>
          <w:sz w:val="20"/>
          <w:szCs w:val="20"/>
          <w:color w:val="auto"/>
        </w:rPr>
      </w:pPr>
      <w:r>
        <w:rPr>
          <w:rFonts w:ascii="Arial" w:cs="Arial" w:eastAsia="Arial" w:hAnsi="Arial"/>
          <w:sz w:val="18"/>
          <w:szCs w:val="18"/>
          <w:color w:val="auto"/>
        </w:rPr>
        <w:t>Gross proceeds totaled $60,000 and net proceeds totaled $54,102 after deducting underwriting discounts and commissions of $4,200 and other offering expenses of approximately $1,698.</w:t>
      </w:r>
    </w:p>
    <w:p>
      <w:pPr>
        <w:spacing w:after="0" w:line="18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each.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Going Concern</w:t>
      </w:r>
    </w:p>
    <w:p>
      <w:pPr>
        <w:spacing w:after="0" w:line="229" w:lineRule="exact"/>
        <w:rPr>
          <w:sz w:val="20"/>
          <w:szCs w:val="20"/>
          <w:color w:val="auto"/>
        </w:rPr>
      </w:pPr>
    </w:p>
    <w:p>
      <w:pPr>
        <w:ind w:right="200" w:firstLine="324"/>
        <w:spacing w:after="0" w:line="220" w:lineRule="exact"/>
        <w:rPr>
          <w:sz w:val="20"/>
          <w:szCs w:val="20"/>
          <w:color w:val="auto"/>
        </w:rPr>
      </w:pPr>
      <w:r>
        <w:rPr>
          <w:rFonts w:ascii="Arial" w:cs="Arial" w:eastAsia="Arial" w:hAnsi="Arial"/>
          <w:sz w:val="18"/>
          <w:szCs w:val="18"/>
          <w:color w:val="auto"/>
        </w:rPr>
        <w:t>In accordance with Accounting Standards Update (“ASU”) 2014</w:t>
      </w:r>
      <w:r>
        <w:rPr>
          <w:rFonts w:ascii="MS PGothic" w:cs="MS PGothic" w:eastAsia="MS PGothic" w:hAnsi="MS PGothic"/>
          <w:sz w:val="18"/>
          <w:szCs w:val="18"/>
          <w:color w:val="auto"/>
        </w:rPr>
        <w:t>‑</w:t>
      </w:r>
      <w:r>
        <w:rPr>
          <w:rFonts w:ascii="Arial" w:cs="Arial" w:eastAsia="Arial" w:hAnsi="Arial"/>
          <w:sz w:val="18"/>
          <w:szCs w:val="18"/>
          <w:color w:val="auto"/>
        </w:rPr>
        <w:t>15, Disclosure of Uncertainties about an Entity’s Ability to Continue as a Going Concern (Subtopic 205</w:t>
      </w:r>
      <w:r>
        <w:rPr>
          <w:rFonts w:ascii="MS PGothic" w:cs="MS PGothic" w:eastAsia="MS PGothic" w:hAnsi="MS PGothic"/>
          <w:sz w:val="18"/>
          <w:szCs w:val="18"/>
          <w:color w:val="auto"/>
        </w:rPr>
        <w:t>‑</w:t>
      </w:r>
      <w:r>
        <w:rPr>
          <w:rFonts w:ascii="Arial" w:cs="Arial" w:eastAsia="Arial" w:hAnsi="Arial"/>
          <w:sz w:val="18"/>
          <w:szCs w:val="18"/>
          <w:color w:val="auto"/>
        </w:rPr>
        <w:t>40), management must evaluate whether there are conditions or events, considered in the aggregate, that raise substantial doubt about the Company’s ability to continue as a going concern within one year after the date that the financial statements are issued.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March 31, 2019, we had cash and cash equivalents of $36,296, working capital of $31,272 and stockholders’ equity of $32,368. Net cash used in operating activities was $5,670 and $1,012 for the three months ended March 31, 2019 and 2018, respectively. We incurred losses of approximately $7,204 and $4,282 for the three months ended March 31, 2019 and 2018, respectively.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w:t>
      </w:r>
    </w:p>
    <w:p>
      <w:pPr>
        <w:spacing w:after="0" w:line="17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believe that our existing cash and cash equivalents as of March 31, 2019, and a review of projected project timing, will enable us to fund our operating expenses and capital expenditure requirements for at least one year from the date of this Quarterly Report on Form 10-Q.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and cash equivalents will not be sufficient to fund all of the efforts that we plan to undertake or to fund the completion of development of our product candidates or our other preclinical programs.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 and we may be forced to curtail or cease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Company’s financial statements are prepared in accordance with GAAP. The preparation of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accompanying unaudited financial statements do not include all of the information and footnotes required by accounting principles generally accepted in the United States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2019, and the results of its operations for the three months ended March 31, 2019 and 2018 and its cash flows for the three months ended March 31, 2019 and 2018, respectively. The results for the three months ended March 31, 2019 are not necessarily indicative of results to be expected for the year ending December 31, 2019, any other interim periods or any future year or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March 31, 2019, cash equivalents were comprised of money market funds.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Company capitalized certain legal, professional accounting and other third-party fees that were directly associated with in-process equity financings as deferred offering costs until the equity financing was consummated. After consummation of an equity financing, these costs were recorded in shareholders’ equity (deficit) as a reduction of proceeds generated as a result of the offering. 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Equipment consists of computers and related equipment and furniture that are stated at cost and depreciated using the straight-line method over estimated useful life of 5 years. Leasehold improvements are being amortized over the shorter of the life of the lease or the asset.</w:t>
      </w:r>
    </w:p>
    <w:p>
      <w:pPr>
        <w:spacing w:after="0" w:line="181"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The Company follows the guidance provided by the Financial Accounting Standards Board (“FASB”) ASC Topic 360</w:t>
      </w:r>
      <w:r>
        <w:rPr>
          <w:rFonts w:ascii="MS PGothic" w:cs="MS PGothic" w:eastAsia="MS PGothic" w:hAnsi="MS PGothic"/>
          <w:sz w:val="16"/>
          <w:szCs w:val="16"/>
          <w:color w:val="auto"/>
        </w:rPr>
        <w:t>‑</w:t>
      </w:r>
      <w:r>
        <w:rPr>
          <w:rFonts w:ascii="Arial" w:cs="Arial" w:eastAsia="Arial" w:hAnsi="Arial"/>
          <w:sz w:val="16"/>
          <w:szCs w:val="16"/>
          <w:color w:val="auto"/>
        </w:rPr>
        <w:t xml:space="preserve">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6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Both BioXcel and the Company’s stock option awards are valued at fair value on the date of grant and that fair value is recognized over the requisite service period. The estimated fair value of stock option awards was determined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9"/>
        <w:spacing w:after="0" w:line="264" w:lineRule="auto"/>
        <w:rPr>
          <w:sz w:val="20"/>
          <w:szCs w:val="20"/>
          <w:color w:val="auto"/>
        </w:rPr>
      </w:pPr>
      <w:r>
        <w:rPr>
          <w:rFonts w:ascii="Arial" w:cs="Arial" w:eastAsia="Arial" w:hAnsi="Arial"/>
          <w:sz w:val="18"/>
          <w:szCs w:val="18"/>
          <w:color w:val="auto"/>
        </w:rPr>
        <w:t>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1" w:lineRule="exact"/>
        <w:rPr>
          <w:sz w:val="20"/>
          <w:szCs w:val="20"/>
          <w:color w:val="auto"/>
        </w:rPr>
      </w:pPr>
    </w:p>
    <w:p>
      <w:pPr>
        <w:ind w:right="259" w:firstLine="324"/>
        <w:spacing w:after="0" w:line="277" w:lineRule="auto"/>
        <w:rPr>
          <w:sz w:val="20"/>
          <w:szCs w:val="20"/>
          <w:color w:val="auto"/>
        </w:rPr>
      </w:pPr>
      <w:r>
        <w:rPr>
          <w:rFonts w:ascii="Arial" w:cs="Arial" w:eastAsia="Arial" w:hAnsi="Arial"/>
          <w:sz w:val="18"/>
          <w:szCs w:val="18"/>
          <w:color w:val="auto"/>
        </w:rPr>
        <w:t>Stock-based awards to non-employees are re-measured at fair value each financial reporting date until performance is complete.</w:t>
      </w:r>
    </w:p>
    <w:p>
      <w:pPr>
        <w:spacing w:after="0" w:line="170" w:lineRule="exact"/>
        <w:rPr>
          <w:sz w:val="20"/>
          <w:szCs w:val="20"/>
          <w:color w:val="auto"/>
        </w:rPr>
      </w:pPr>
    </w:p>
    <w:p>
      <w:pPr>
        <w:ind w:right="159" w:firstLine="324"/>
        <w:spacing w:after="0" w:line="293"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65" w:lineRule="exact"/>
        <w:rPr>
          <w:sz w:val="20"/>
          <w:szCs w:val="20"/>
          <w:color w:val="auto"/>
        </w:rPr>
      </w:pPr>
    </w:p>
    <w:p>
      <w:pPr>
        <w:ind w:right="419" w:firstLine="324"/>
        <w:spacing w:after="0" w:line="277" w:lineRule="auto"/>
        <w:rPr>
          <w:sz w:val="20"/>
          <w:szCs w:val="20"/>
          <w:color w:val="auto"/>
        </w:rPr>
      </w:pPr>
      <w:r>
        <w:rPr>
          <w:rFonts w:ascii="Arial" w:cs="Arial" w:eastAsia="Arial" w:hAnsi="Arial"/>
          <w:sz w:val="18"/>
          <w:szCs w:val="18"/>
          <w:color w:val="auto"/>
        </w:rPr>
        <w:t>The Company adopted FASB ASU 2016-09 as of January 1, 2018 and has elected to account for forfeitures as they occur, by reversing compensation cost when the award is forfeited.</w:t>
      </w:r>
    </w:p>
    <w:p>
      <w:pPr>
        <w:spacing w:after="0" w:line="170" w:lineRule="exact"/>
        <w:rPr>
          <w:sz w:val="20"/>
          <w:szCs w:val="20"/>
          <w:color w:val="auto"/>
        </w:rPr>
      </w:pPr>
    </w:p>
    <w:p>
      <w:pPr>
        <w:ind w:right="199" w:firstLine="324"/>
        <w:spacing w:after="0" w:line="264" w:lineRule="auto"/>
        <w:rPr>
          <w:sz w:val="20"/>
          <w:szCs w:val="20"/>
          <w:color w:val="auto"/>
        </w:rPr>
      </w:pPr>
      <w:r>
        <w:rPr>
          <w:rFonts w:ascii="Arial" w:cs="Arial" w:eastAsia="Arial" w:hAnsi="Arial"/>
          <w:sz w:val="18"/>
          <w:szCs w:val="18"/>
          <w:color w:val="auto"/>
        </w:rPr>
        <w:t>The Company adopted FASB ASU 2018-07 as of January 1, 2019 which allows non-employee options to be expensed using the adoption date fair value. This is expected to reduce the volatility of stock based compensation in future periods. Historically, such options were re-measured at each 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3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59"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7" w:lineRule="exact"/>
        <w:rPr>
          <w:sz w:val="20"/>
          <w:szCs w:val="20"/>
          <w:color w:val="auto"/>
        </w:rPr>
      </w:pPr>
    </w:p>
    <w:p>
      <w:pPr>
        <w:ind w:left="660" w:right="379"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rFonts w:ascii="Arial" w:cs="Arial" w:eastAsia="Arial" w:hAnsi="Arial"/>
          <w:sz w:val="18"/>
          <w:szCs w:val="18"/>
          <w:color w:val="auto"/>
        </w:rPr>
      </w:pPr>
    </w:p>
    <w:p>
      <w:pPr>
        <w:jc w:val="both"/>
        <w:ind w:left="660" w:right="399" w:hanging="333"/>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2—Directly or indirectly observable inputs as of the reporting date through correlation with market data, including quoted prices for similar assets and liabilities in active markets and quoted prices in markets that are</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7" w:lineRule="exact"/>
        <w:rPr>
          <w:sz w:val="20"/>
          <w:szCs w:val="20"/>
          <w:color w:val="auto"/>
        </w:rPr>
      </w:pPr>
    </w:p>
    <w:p>
      <w:pPr>
        <w:jc w:val="both"/>
        <w:ind w:left="660" w:right="36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carrying amounts of cash, accounts payable and accrued expenses approximate fair value due to the short-term nature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months ended March 31, 2019 and 2018. Such securities have not been included in the loss per share calculation since their impact would be anti-dilutive. There were 2,682,545 and 2,525,811 shares of options that were excluded from the calculation of the loss per share for the three months ended March 31, 2019 and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324"/>
        <w:spacing w:after="0" w:line="217" w:lineRule="exact"/>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02 Lease Accounting Topic 842</w:t>
      </w:r>
      <w:r>
        <w:rPr>
          <w:rFonts w:ascii="Arial" w:cs="Arial" w:eastAsia="Arial" w:hAnsi="Arial"/>
          <w:sz w:val="16"/>
          <w:szCs w:val="16"/>
          <w:color w:val="auto"/>
        </w:rPr>
        <w:t>.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adopted the new standard in January 2019 and recorded a ROU asset and related liability in the amount of $1,308 on commencement of a new office lease.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Company has entered into an asset contribution agreement, effective June 30, 2017, with BioXcel, as amended and restated on November 7, 2017, or the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w:t>
      </w:r>
    </w:p>
    <w:p>
      <w:pPr>
        <w:spacing w:after="0" w:line="2" w:lineRule="exact"/>
        <w:rPr>
          <w:sz w:val="20"/>
          <w:szCs w:val="20"/>
          <w:color w:val="auto"/>
        </w:rPr>
      </w:pPr>
    </w:p>
    <w:p>
      <w:pPr>
        <w:ind w:right="160" w:firstLine="3"/>
        <w:spacing w:after="0" w:line="269"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PoC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$1,000 was charged to Research and Development costs in connection with (ii)</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above and was paid on April 5, 2018. The Company also paid $500 to BioXcel in connection with (iii) above in April 2019.</w:t>
      </w:r>
    </w:p>
    <w:p>
      <w:pPr>
        <w:spacing w:after="0" w:line="24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7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or before December 31, 2019, the Company will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$10,000 in the aggregate and not be payable prior to proof of concept in humans and (ii) commercialization milestones shall be based on reaching annual net sales levels, be limited to 3% of the applicable net sales level, and not exceed $30,000 in the aggregate. BioXcel shall continue to make such product identification and related services available to us for at least five years from June 30, 2017.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73" w:lineRule="exact"/>
        <w:rPr>
          <w:sz w:val="20"/>
          <w:szCs w:val="20"/>
          <w:color w:val="auto"/>
        </w:rPr>
      </w:pPr>
    </w:p>
    <w:p>
      <w:pPr>
        <w:ind w:right="160" w:firstLine="324"/>
        <w:spacing w:after="0" w:line="218" w:lineRule="exact"/>
        <w:rPr>
          <w:sz w:val="20"/>
          <w:szCs w:val="20"/>
          <w:color w:val="auto"/>
        </w:rPr>
      </w:pPr>
      <w:r>
        <w:rPr>
          <w:rFonts w:ascii="Arial" w:cs="Arial" w:eastAsia="Arial" w:hAnsi="Arial"/>
          <w:sz w:val="16"/>
          <w:szCs w:val="16"/>
          <w:color w:val="auto"/>
        </w:rPr>
        <w:t>In connection with the Services Agreement, BioXcel had agreed to provide the Company a line of credit, which was capped at $1,000, or the Total Funding Amount, pursuant to the terms of a grid note,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hereof, in each case calculated based on a 365</w:t>
      </w:r>
      <w:r>
        <w:rPr>
          <w:rFonts w:ascii="MS PGothic" w:cs="MS PGothic" w:eastAsia="MS PGothic" w:hAnsi="MS PGothic"/>
          <w:sz w:val="16"/>
          <w:szCs w:val="16"/>
          <w:color w:val="auto"/>
        </w:rPr>
        <w:t>‑</w:t>
      </w:r>
      <w:r>
        <w:rPr>
          <w:rFonts w:ascii="Arial" w:cs="Arial" w:eastAsia="Arial" w:hAnsi="Arial"/>
          <w:sz w:val="16"/>
          <w:szCs w:val="16"/>
          <w:color w:val="auto"/>
        </w:rPr>
        <w:t>day year and actual days elapsed. As of December 31, 2017, the Company had drawn down $371 under the Grid Note.</w:t>
      </w:r>
    </w:p>
    <w:p>
      <w:pPr>
        <w:spacing w:after="0" w:line="20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&amp; Equipment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r>
      <w:tr>
        <w:trPr>
          <w:trHeight w:val="142"/>
        </w:trPr>
        <w:tc>
          <w:tcPr>
            <w:tcW w:w="3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6"/>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3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3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878"/>
        </w:trPr>
        <w:tc>
          <w:tcPr>
            <w:tcW w:w="3440" w:type="dxa"/>
            <w:vAlign w:val="bottom"/>
          </w:tcPr>
          <w:p>
            <w:pPr>
              <w:spacing w:after="0"/>
              <w:rPr>
                <w:sz w:val="24"/>
                <w:szCs w:val="24"/>
                <w:color w:val="auto"/>
              </w:rPr>
            </w:pPr>
          </w:p>
        </w:tc>
        <w:tc>
          <w:tcPr>
            <w:tcW w:w="3560" w:type="dxa"/>
            <w:vAlign w:val="bottom"/>
          </w:tcPr>
          <w:p>
            <w:pPr>
              <w:jc w:val="right"/>
              <w:ind w:right="22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Service Agreements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has entered into a Master Services Agreement (“MSA”) with a Contract Research Organization (“CRO”) for strategic planning, expert consultation, clinical trial services, statistical programming and analysis, data processing, data management, regulatory, clerical, project management, medical device services, and other research and development services as set forth in specific work orders. This agreement is for a period of five (5) years.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18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entered into a series of cancellable work orders to support its clinical trial activities, related to the first of the Company’s BXCL 701 clinical trials. This clinical trial is expected to aggregate approximately $8,000 and is anticipated to take place over the next two years. During the first quarter of 2019 the company has incurred $810 of costs associated with the CRO for this trial. To date, the Company has incurred $2,512 in costs for the work surrounding this trial</w:t>
      </w:r>
    </w:p>
    <w:p>
      <w:pPr>
        <w:spacing w:after="0" w:line="15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first quarter of 2019 the Company entered into a second series of cancellable work orders to support a second clinical trial related the Company’s BXCL 701 product candidate. This clinical trial is expected to aggregate approximate approximately $6,000 and it is anticipated to take place over the next three years. Approximately one half of this cost is to be reimbursed by a partner. The Company has incurred $584 of costs in connection with this trial and has also recorded a related receivable of $291.</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an MSA was signed with a second CRO during the first quarter of 2019 to include strategic planning, expert consultation, regulatory activities, data interpretation, NDA services, and research and development services, including clinical, data management, statistical and medical writing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1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salaries, benefits and travel related costs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Legal expenses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1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current liabilities includes $156 for the current portion of Operating lease liabilities and $783 for the financing of insurance premiums.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15,665,802 shares of common stock outstanding as of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399"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right="279" w:firstLine="324"/>
        <w:spacing w:after="0" w:line="302" w:lineRule="auto"/>
        <w:rPr>
          <w:sz w:val="20"/>
          <w:szCs w:val="20"/>
          <w:color w:val="auto"/>
        </w:rPr>
      </w:pPr>
      <w:r>
        <w:rPr>
          <w:rFonts w:ascii="Arial" w:cs="Arial" w:eastAsia="Arial" w:hAnsi="Arial"/>
          <w:sz w:val="16"/>
          <w:szCs w:val="16"/>
          <w:color w:val="auto"/>
        </w:rPr>
        <w:t>On March 7, 2018, the Company’s registration statement on Form S-1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expenses of $1,698.</w:t>
      </w:r>
    </w:p>
    <w:p>
      <w:pPr>
        <w:spacing w:after="0" w:line="154" w:lineRule="exact"/>
        <w:rPr>
          <w:sz w:val="20"/>
          <w:szCs w:val="20"/>
          <w:color w:val="auto"/>
        </w:rPr>
      </w:pPr>
    </w:p>
    <w:p>
      <w:pPr>
        <w:ind w:right="19"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19" w:firstLine="324"/>
        <w:spacing w:after="0" w:line="264" w:lineRule="auto"/>
        <w:rPr>
          <w:sz w:val="20"/>
          <w:szCs w:val="20"/>
          <w:color w:val="auto"/>
        </w:rPr>
      </w:pPr>
      <w:r>
        <w:rPr>
          <w:rFonts w:ascii="Arial" w:cs="Arial" w:eastAsia="Arial" w:hAnsi="Arial"/>
          <w:sz w:val="18"/>
          <w:szCs w:val="18"/>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81" w:lineRule="exact"/>
        <w:rPr>
          <w:sz w:val="20"/>
          <w:szCs w:val="20"/>
          <w:color w:val="auto"/>
        </w:rPr>
      </w:pPr>
    </w:p>
    <w:p>
      <w:pPr>
        <w:jc w:val="both"/>
        <w:ind w:right="159" w:firstLine="324"/>
        <w:spacing w:after="0" w:line="264" w:lineRule="auto"/>
        <w:rPr>
          <w:sz w:val="20"/>
          <w:szCs w:val="20"/>
          <w:color w:val="auto"/>
        </w:rPr>
      </w:pPr>
      <w:r>
        <w:rPr>
          <w:rFonts w:ascii="Arial" w:cs="Arial" w:eastAsia="Arial" w:hAnsi="Arial"/>
          <w:sz w:val="18"/>
          <w:szCs w:val="18"/>
          <w:color w:val="auto"/>
        </w:rPr>
        <w:t>As of March 31, 2019, there were 3,442,313 shares of the Company’s common stock authorized for issuance under the 2017 Stock Plan. Options granted under the 2017 Stock Plan have a term of ten years with vesting terms determined by the board of directors, which is generally four years.</w:t>
      </w:r>
    </w:p>
    <w:p>
      <w:pPr>
        <w:spacing w:after="0" w:line="181" w:lineRule="exact"/>
        <w:rPr>
          <w:sz w:val="20"/>
          <w:szCs w:val="20"/>
          <w:color w:val="auto"/>
        </w:rPr>
      </w:pPr>
    </w:p>
    <w:p>
      <w:pPr>
        <w:ind w:right="79" w:firstLine="324"/>
        <w:spacing w:after="0" w:line="277" w:lineRule="auto"/>
        <w:rPr>
          <w:sz w:val="20"/>
          <w:szCs w:val="20"/>
          <w:color w:val="auto"/>
        </w:rPr>
      </w:pPr>
      <w:r>
        <w:rPr>
          <w:rFonts w:ascii="Arial" w:cs="Arial" w:eastAsia="Arial" w:hAnsi="Arial"/>
          <w:sz w:val="18"/>
          <w:szCs w:val="18"/>
          <w:color w:val="auto"/>
        </w:rPr>
        <w:t>The fair value of options granted during the three months ended March 31, 2019 was estimated using the Black-Scholes option-pricing model with the following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6"/>
              </w:rPr>
              <w:t>For the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March 31, 2019</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7.91</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5"/>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79.12 %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79.38 %</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2.44 % -</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5.31</w:t>
            </w:r>
          </w:p>
        </w:tc>
        <w:tc>
          <w:tcPr>
            <w:tcW w:w="300" w:type="dxa"/>
            <w:vAlign w:val="bottom"/>
          </w:tcPr>
          <w:p>
            <w:pPr>
              <w:ind w:left="120"/>
              <w:spacing w:after="0"/>
              <w:rPr>
                <w:sz w:val="20"/>
                <w:szCs w:val="20"/>
                <w:color w:val="auto"/>
              </w:rPr>
            </w:pPr>
            <w:r>
              <w:rPr>
                <w:rFonts w:ascii="Arial" w:cs="Arial" w:eastAsia="Arial" w:hAnsi="Arial"/>
                <w:sz w:val="18"/>
                <w:szCs w:val="18"/>
                <w:color w:val="auto"/>
                <w:w w:val="75"/>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did not grant options to non-employees for the three months ended March 31, 2019.</w:t>
      </w:r>
    </w:p>
    <w:p>
      <w:pPr>
        <w:spacing w:after="0" w:line="225" w:lineRule="exact"/>
        <w:rPr>
          <w:sz w:val="20"/>
          <w:szCs w:val="20"/>
          <w:color w:val="auto"/>
        </w:rPr>
      </w:pPr>
    </w:p>
    <w:p>
      <w:pPr>
        <w:ind w:right="59" w:firstLine="324"/>
        <w:spacing w:after="0" w:line="293" w:lineRule="auto"/>
        <w:rPr>
          <w:sz w:val="20"/>
          <w:szCs w:val="20"/>
          <w:color w:val="auto"/>
        </w:rPr>
      </w:pPr>
      <w:r>
        <w:rPr>
          <w:rFonts w:ascii="Arial" w:cs="Arial" w:eastAsia="Arial" w:hAnsi="Arial"/>
          <w:sz w:val="16"/>
          <w:szCs w:val="16"/>
          <w:color w:val="auto"/>
        </w:rPr>
        <w:t>Since the Company recently completed its IPO, it does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under the 2017 Stock Plan for the three months ended March 31, 2019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8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2,306,256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Employee options granted</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70,000</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9.27</w:t>
            </w:r>
          </w:p>
        </w:tc>
        <w:tc>
          <w:tcPr>
            <w:tcW w:w="40" w:type="dxa"/>
            <w:vAlign w:val="bottom"/>
          </w:tcPr>
          <w:p>
            <w:pPr>
              <w:spacing w:after="0"/>
              <w:rPr>
                <w:sz w:val="18"/>
                <w:szCs w:val="18"/>
                <w:color w:val="auto"/>
              </w:rPr>
            </w:pP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2019</w:t>
            </w:r>
          </w:p>
        </w:tc>
        <w:tc>
          <w:tcPr>
            <w:tcW w:w="8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2,376,256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4"/>
              </w:rPr>
              <w:t>Options vested and exercisable as of March 31, 2019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1,588,939</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Non-employee Options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Weighted Average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Intrinsic</w:t>
            </w: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437,897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Non-employee options exercised</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(2,581)</w:t>
            </w:r>
          </w:p>
        </w:tc>
        <w:tc>
          <w:tcPr>
            <w:tcW w:w="30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435,316</w:t>
            </w:r>
          </w:p>
        </w:tc>
        <w:tc>
          <w:tcPr>
            <w:tcW w:w="1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4"/>
              </w:rPr>
              <w:t>Options vested and exercisable as of March 31, 2019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154,791</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granted 70,000 options to purchase shares of common stock during the three months ended March 31, 2019. There were 630,741 shares available for grant as of March 31, 2019.</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recognized stock-based compensation expense under the 2017 Stock Plan of $659 and $1,196 for the three months ended March 31, 2019 and 2018.</w:t>
      </w:r>
    </w:p>
    <w:p>
      <w:pPr>
        <w:spacing w:after="0" w:line="14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total grant-date fair value of options was $454 and $0 for employees and non-employees, respectively, for the three months ended March 31, 2019.</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Unrecognized compensation expense related to unvested awards as of March 31, 2019 was $3,301 for employees and $527 for non-employees and will be recognized over the remaining vesting periods of the underlying awards. The weighted-average period over which such compensation is expected to be recognized is 1.6 years for employees and 1.0 years for non-employees.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BioXcel Charges</w:t>
      </w:r>
    </w:p>
    <w:p>
      <w:pPr>
        <w:spacing w:after="0" w:line="198" w:lineRule="exact"/>
        <w:rPr>
          <w:sz w:val="20"/>
          <w:szCs w:val="20"/>
          <w:color w:val="auto"/>
        </w:rPr>
      </w:pPr>
    </w:p>
    <w:p>
      <w:pPr>
        <w:ind w:right="120" w:firstLine="359"/>
        <w:spacing w:after="0" w:line="291"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Share based compensation expense (income), net of forfeitures, recognized by the Company in its statements of operations related to BioXcel equity awards totaled approximately $23 and $123 for the three months ended March 31, 2019 and 2018, respectively.</w:t>
      </w:r>
    </w:p>
    <w:p>
      <w:pPr>
        <w:spacing w:after="0" w:line="141" w:lineRule="exact"/>
        <w:rPr>
          <w:sz w:val="20"/>
          <w:szCs w:val="20"/>
          <w:color w:val="auto"/>
        </w:rPr>
      </w:pPr>
    </w:p>
    <w:p>
      <w:pPr>
        <w:ind w:right="300" w:firstLine="359"/>
        <w:spacing w:after="0" w:line="277" w:lineRule="auto"/>
        <w:rPr>
          <w:sz w:val="20"/>
          <w:szCs w:val="20"/>
          <w:color w:val="auto"/>
        </w:rPr>
      </w:pPr>
      <w:r>
        <w:rPr>
          <w:rFonts w:ascii="Arial" w:cs="Arial" w:eastAsia="Arial" w:hAnsi="Arial"/>
          <w:sz w:val="18"/>
          <w:szCs w:val="18"/>
          <w:color w:val="auto"/>
        </w:rPr>
        <w:t>Total share based compensation charges were approximately $682 and $1,319 for the three months ended March 31, 2019 and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14"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As a result of the Company’s cumulative losses, management has concluded that a full valuation allowance against the Company’s net deferred tax assets is appropriate. No income tax liabilities existed as of March 31, 2019 and December 31, 2018 due to the Company’s continuing operating losses.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entered into an agreement to lease approximately 11,040 square feet of space on the 12</w:t>
      </w:r>
      <w:r>
        <w:rPr>
          <w:rFonts w:ascii="Arial" w:cs="Arial" w:eastAsia="Arial" w:hAnsi="Arial"/>
          <w:sz w:val="8"/>
          <w:szCs w:val="8"/>
          <w:color w:val="auto"/>
        </w:rPr>
        <w:t>th</w:t>
      </w:r>
      <w:r>
        <w:rPr>
          <w:rFonts w:ascii="Arial" w:cs="Arial" w:eastAsia="Arial" w:hAnsi="Arial"/>
          <w:sz w:val="18"/>
          <w:szCs w:val="18"/>
          <w:color w:val="auto"/>
        </w:rPr>
        <w:t xml:space="preserve"> floor of the building located at 555 Long Wharf Drive, New Haven, Connecticut that commenced February 22, 2019 (the “Commencement Date”). The premises were occupied in March 2019.</w:t>
      </w:r>
    </w:p>
    <w:p>
      <w:pPr>
        <w:spacing w:after="0" w:line="14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 calendar month immediately following the seventh (7th) anniversary of the commencement date.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improvement costs were approximately $587 and are being amortized over the life of the lease.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the operating lease liability are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three months ended March 31, 2019)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liability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17"/>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current portion of our operating lease liability of $156 as of March 31, 2019 is included in other current liabilities on the balance sheet.</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recorded amortization charges and interest expense of $16 and $4, respectively related to its operating lease right-of-use asset for the three months ended March 31, 2019.</w:t>
      </w:r>
    </w:p>
    <w:p>
      <w:pPr>
        <w:spacing w:after="0" w:line="14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 prevailing market rates but not less than the rental rate at the end of the initial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3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39" w:firstLine="324"/>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elsewhere in this Quarterly Report and the audited financial statements and related notes contained in our Annual Report on Form 10-K for the year ended December 31, 2018.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9" w:firstLine="324"/>
        <w:spacing w:after="0" w:line="271" w:lineRule="auto"/>
        <w:rPr>
          <w:sz w:val="20"/>
          <w:szCs w:val="20"/>
          <w:color w:val="auto"/>
        </w:rPr>
      </w:pPr>
      <w:r>
        <w:rPr>
          <w:rFonts w:ascii="Arial" w:cs="Arial" w:eastAsia="Arial" w:hAnsi="Arial"/>
          <w:sz w:val="17"/>
          <w:szCs w:val="17"/>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substantial unmet medical need. Our two most advanced clinical development programs are BXCL501, a sublingual thin film formulation of the adrenergic receptor agonist dexmedetomidine, or Dex, for acute treatment of agitation resulting from neurological and psychiatric disorders, and BXCL701, an immuno-oncology agent for treatment of a rare form of prostate cancer and pancreatic cancer.</w:t>
      </w:r>
    </w:p>
    <w:p>
      <w:pPr>
        <w:spacing w:after="0" w:line="179" w:lineRule="exact"/>
        <w:rPr>
          <w:sz w:val="20"/>
          <w:szCs w:val="20"/>
          <w:color w:val="auto"/>
        </w:rPr>
      </w:pPr>
    </w:p>
    <w:p>
      <w:pPr>
        <w:ind w:right="19" w:firstLine="324"/>
        <w:spacing w:after="0" w:line="264" w:lineRule="auto"/>
        <w:rPr>
          <w:sz w:val="20"/>
          <w:szCs w:val="20"/>
          <w:color w:val="auto"/>
        </w:rPr>
      </w:pPr>
      <w:r>
        <w:rPr>
          <w:rFonts w:ascii="Arial" w:cs="Arial" w:eastAsia="Arial" w:hAnsi="Arial"/>
          <w:sz w:val="18"/>
          <w:szCs w:val="18"/>
          <w:color w:val="auto"/>
        </w:rPr>
        <w:t>During the first quarter of 2019, we continued to advance the development of our two lead clinical programs, BXCL501, a proprietary sublingual thin film formulation of dexmedetomidine (Dex), and BXCL701, an orally-available systemic innate-immune activator.</w:t>
      </w:r>
    </w:p>
    <w:p>
      <w:pPr>
        <w:spacing w:after="0" w:line="181" w:lineRule="exact"/>
        <w:rPr>
          <w:sz w:val="20"/>
          <w:szCs w:val="20"/>
          <w:color w:val="auto"/>
        </w:rPr>
      </w:pPr>
    </w:p>
    <w:p>
      <w:pPr>
        <w:ind w:right="739" w:firstLine="324"/>
        <w:spacing w:after="0" w:line="277" w:lineRule="auto"/>
        <w:rPr>
          <w:sz w:val="20"/>
          <w:szCs w:val="20"/>
          <w:color w:val="auto"/>
        </w:rPr>
      </w:pPr>
      <w:r>
        <w:rPr>
          <w:rFonts w:ascii="Arial" w:cs="Arial" w:eastAsia="Arial" w:hAnsi="Arial"/>
          <w:sz w:val="18"/>
          <w:szCs w:val="18"/>
          <w:color w:val="auto"/>
        </w:rPr>
        <w:t>As of May 5, 2019, our patent portfolio included three Patent Cooperation Treaty applications, two U.S. utility applications, seventeen U.S. provisional applications and sixteen foreign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BXCL501 - Neuroscience Program</w:t>
      </w:r>
    </w:p>
    <w:p>
      <w:pPr>
        <w:spacing w:after="0" w:line="229" w:lineRule="exact"/>
        <w:rPr>
          <w:sz w:val="20"/>
          <w:szCs w:val="20"/>
          <w:color w:val="auto"/>
        </w:rPr>
      </w:pPr>
    </w:p>
    <w:p>
      <w:pPr>
        <w:ind w:right="239" w:firstLine="324"/>
        <w:spacing w:after="0" w:line="264" w:lineRule="auto"/>
        <w:rPr>
          <w:sz w:val="20"/>
          <w:szCs w:val="20"/>
          <w:color w:val="auto"/>
        </w:rPr>
      </w:pPr>
      <w:r>
        <w:rPr>
          <w:rFonts w:ascii="Arial" w:cs="Arial" w:eastAsia="Arial" w:hAnsi="Arial"/>
          <w:sz w:val="18"/>
          <w:szCs w:val="18"/>
          <w:color w:val="auto"/>
        </w:rPr>
        <w:t>In late 2018, we initiated our first-in-human pharmacokinetic (bioavailability) and safety study for the sublingual thin film formulation of Dex. During the first quarter the study dosed multiple cohorts with approximately 40 patients having received the drug at various dosing strengths.</w:t>
      </w:r>
    </w:p>
    <w:p>
      <w:pPr>
        <w:spacing w:after="0" w:line="181"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This Phase 1 study is a placebo-controlled, single dose, dose-escalation study of BXCL501 is expected to enroll up to 45 healthy adult volunteers across various dosing groups. The primary endpoints are pharmacokinetics and safety, with secondary endpoints including assessment of pharmacodynamics (PD) and the relationship between BXCL501 concentrations and PD endpoints. The Company expects to report top-line data from the study in May 2019. Building on the outcome of the healthy human volunteer study, we plan to launch a trial exploring the safety and efficacy in schizophrenic patients, which we intend to initiate over the next several months. These studies could potentially lead to the start of a registration trial in the second half of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BXCL701 - Immuno-Oncology Program</w:t>
      </w:r>
    </w:p>
    <w:p>
      <w:pPr>
        <w:spacing w:after="0" w:line="229" w:lineRule="exact"/>
        <w:rPr>
          <w:sz w:val="20"/>
          <w:szCs w:val="20"/>
          <w:color w:val="auto"/>
        </w:rPr>
      </w:pPr>
    </w:p>
    <w:p>
      <w:pPr>
        <w:ind w:right="99" w:firstLine="324"/>
        <w:spacing w:after="0" w:line="312" w:lineRule="auto"/>
        <w:rPr>
          <w:sz w:val="20"/>
          <w:szCs w:val="20"/>
          <w:color w:val="auto"/>
        </w:rPr>
      </w:pPr>
      <w:r>
        <w:rPr>
          <w:rFonts w:ascii="Arial" w:cs="Arial" w:eastAsia="Arial" w:hAnsi="Arial"/>
          <w:sz w:val="16"/>
          <w:szCs w:val="16"/>
          <w:color w:val="auto"/>
        </w:rPr>
        <w:t>The Company continues to investigate the therapeutic rationale for combining BXCL 701 with various agents. In April 2019 we presented promising preclinical data demonstrating the potential for combining BXCL701, the Company’s oral immunomodulator, and an OX40 agonist antibody as a possible combination therapy for certain solid tumors.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39" w:firstLine="324"/>
        <w:spacing w:after="0" w:line="293" w:lineRule="auto"/>
        <w:rPr>
          <w:sz w:val="20"/>
          <w:szCs w:val="20"/>
          <w:color w:val="auto"/>
        </w:rPr>
      </w:pPr>
      <w:r>
        <w:rPr>
          <w:rFonts w:ascii="Arial" w:cs="Arial" w:eastAsia="Arial" w:hAnsi="Arial"/>
          <w:sz w:val="16"/>
          <w:szCs w:val="16"/>
          <w:color w:val="auto"/>
        </w:rPr>
        <w:t>Results from this preclinical study demonstrate that BXCL701, a dipeptidyl peptidase (DPP) and fibroblast activation protein (FAP) inhibitor, in combination with an anti-OX40 antibody results in synergistic anti-cancer activity and a statistically significant improvement in median survival compared to vehicle, as well as BXCL701 or the OX40 agonist alone. This data supports the Company’s belief that the combination of BXCL701 and an OX40 agonist represents a new potential treatment approach against multiple cancer types and provides rationale for a clinical efficacy study of the combination therapy. There are currently multiple OX40 agonists in various stages of clinical development.</w:t>
      </w:r>
    </w:p>
    <w:p>
      <w:pPr>
        <w:spacing w:after="0" w:line="165" w:lineRule="exact"/>
        <w:rPr>
          <w:sz w:val="20"/>
          <w:szCs w:val="20"/>
          <w:color w:val="auto"/>
        </w:rPr>
      </w:pPr>
    </w:p>
    <w:p>
      <w:pPr>
        <w:ind w:right="79" w:firstLine="324"/>
        <w:spacing w:after="0" w:line="254" w:lineRule="auto"/>
        <w:rPr>
          <w:sz w:val="20"/>
          <w:szCs w:val="20"/>
          <w:color w:val="auto"/>
        </w:rPr>
      </w:pPr>
      <w:r>
        <w:rPr>
          <w:rFonts w:ascii="Arial" w:cs="Arial" w:eastAsia="Arial" w:hAnsi="Arial"/>
          <w:sz w:val="18"/>
          <w:szCs w:val="18"/>
          <w:color w:val="auto"/>
        </w:rPr>
        <w:t>On March 4, 2019 we announced the addition of Merck KGaA, Darmstadt, Germany, which operates its biopharmaceutical business as EMD Serono in the USA and Canada, and Pfizer Inc. to the previously announced Nektar clinical agreement. This trial is designed to evaluate a novel triple combination therapy in pancreatic cancer. The collaboration includes avelumab, BXCL701 and NKTR-214 as a potential combination therapy for pancreatic cancer. Avelumab is a human anti-programmed death ligand (PD-L1) co-developed and co-commercialized by Merck KGaA Darmstadt, Germany and Pfizer. A successful pre-IND meeting was held with the FDA during the first quarter of 2019 allowing the Company to finalize the study’s protocol and begin site selection. Subsequent to this meeting, an IND was filed with the U.S. Food and Drug Administration.</w:t>
      </w:r>
    </w:p>
    <w:p>
      <w:pPr>
        <w:spacing w:after="0" w:line="192" w:lineRule="exact"/>
        <w:rPr>
          <w:sz w:val="20"/>
          <w:szCs w:val="20"/>
          <w:color w:val="auto"/>
        </w:rPr>
      </w:pPr>
    </w:p>
    <w:p>
      <w:pPr>
        <w:ind w:right="199" w:firstLine="324"/>
        <w:spacing w:after="0" w:line="286" w:lineRule="auto"/>
        <w:rPr>
          <w:sz w:val="20"/>
          <w:szCs w:val="20"/>
          <w:color w:val="auto"/>
        </w:rPr>
      </w:pPr>
      <w:r>
        <w:rPr>
          <w:rFonts w:ascii="Arial" w:cs="Arial" w:eastAsia="Arial" w:hAnsi="Arial"/>
          <w:sz w:val="17"/>
          <w:szCs w:val="17"/>
          <w:color w:val="auto"/>
        </w:rPr>
        <w:t>This first-in-human Phase 1b / 2 combination trial of BXCL701 and pembrolizumab (Keytruda®) was initiated during the fourth quarter of 2018. Several clinical sites have been activated, patients are being evaluated and the first patient is expected to be enrolled shortly. We plan to enroll up to forty patients at multiple clinical sites.</w:t>
      </w:r>
    </w:p>
    <w:p>
      <w:pPr>
        <w:spacing w:after="0" w:line="166" w:lineRule="exact"/>
        <w:rPr>
          <w:sz w:val="20"/>
          <w:szCs w:val="20"/>
          <w:color w:val="auto"/>
        </w:rPr>
      </w:pPr>
    </w:p>
    <w:p>
      <w:pPr>
        <w:jc w:val="both"/>
        <w:ind w:right="219" w:firstLine="324"/>
        <w:spacing w:after="0" w:line="264" w:lineRule="auto"/>
        <w:rPr>
          <w:sz w:val="20"/>
          <w:szCs w:val="20"/>
          <w:color w:val="auto"/>
        </w:rPr>
      </w:pPr>
      <w:r>
        <w:rPr>
          <w:rFonts w:ascii="Arial" w:cs="Arial" w:eastAsia="Arial" w:hAnsi="Arial"/>
          <w:sz w:val="18"/>
          <w:szCs w:val="18"/>
          <w:color w:val="auto"/>
        </w:rPr>
        <w:t>The goal of this single arm, Simon 2-stage open label study is to examine the safety, pharmacokinetics and anti-tumor activity of BXCL701 and pembrolizumab combination in tNEPC patients with the efficacy endpoint of objective response rate. Data readouts are expected throughout the second half 2019.</w:t>
      </w:r>
    </w:p>
    <w:p>
      <w:pPr>
        <w:spacing w:after="0" w:line="181" w:lineRule="exact"/>
        <w:rPr>
          <w:sz w:val="20"/>
          <w:szCs w:val="20"/>
          <w:color w:val="auto"/>
        </w:rPr>
      </w:pPr>
    </w:p>
    <w:p>
      <w:pPr>
        <w:ind w:right="79" w:firstLine="324"/>
        <w:spacing w:after="0" w:line="312" w:lineRule="auto"/>
        <w:rPr>
          <w:sz w:val="20"/>
          <w:szCs w:val="20"/>
          <w:color w:val="auto"/>
        </w:rPr>
      </w:pPr>
      <w:r>
        <w:rPr>
          <w:rFonts w:ascii="Arial" w:cs="Arial" w:eastAsia="Arial" w:hAnsi="Arial"/>
          <w:sz w:val="16"/>
          <w:szCs w:val="16"/>
          <w:color w:val="auto"/>
        </w:rPr>
        <w:t>The Company’s third BXCL701 clinical trial expected in 2019 is a mechanistic study using BXCL701 in a treatment naïve population that is designed to evaluate the drug’s detailed mechanism of action in a clinical setting This study is expected to enroll up to 15 patients and we anticipate initiating this study at a leading medical center in the first half of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79"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clinical and pre-clinical candidates, which includes payments to BioXcel, our Parent.</w:t>
      </w:r>
    </w:p>
    <w:p>
      <w:pPr>
        <w:spacing w:after="0" w:line="170" w:lineRule="exact"/>
        <w:rPr>
          <w:sz w:val="20"/>
          <w:szCs w:val="20"/>
          <w:color w:val="auto"/>
        </w:rPr>
      </w:pPr>
    </w:p>
    <w:p>
      <w:pPr>
        <w:ind w:left="660" w:right="99"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70" w:lineRule="exact"/>
        <w:rPr>
          <w:rFonts w:ascii="Arial" w:cs="Arial" w:eastAsia="Arial" w:hAnsi="Arial"/>
          <w:sz w:val="18"/>
          <w:szCs w:val="18"/>
          <w:color w:val="auto"/>
        </w:rPr>
      </w:pPr>
    </w:p>
    <w:p>
      <w:pPr>
        <w:ind w:left="660" w:right="99"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sites that conduct our non-clinical studies and clinical trials</w:t>
      </w:r>
    </w:p>
    <w:p>
      <w:pPr>
        <w:spacing w:after="0" w:line="170" w:lineRule="exact"/>
        <w:rPr>
          <w:rFonts w:ascii="Arial" w:cs="Arial" w:eastAsia="Arial" w:hAnsi="Arial"/>
          <w:sz w:val="18"/>
          <w:szCs w:val="18"/>
          <w:color w:val="auto"/>
        </w:rPr>
      </w:pPr>
    </w:p>
    <w:p>
      <w:pPr>
        <w:ind w:left="660" w:right="539"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pre-clinical and clinical trial materials and lab supplies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research and development costs by program for the three months ended March 31, 2019 and 2018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BXCL 701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BXCL 702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17"/>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these or other current or future clinical trials of BXCL501, BXCL701 or our other product candidates. However, we do expect that our research and development costs will increase as we plan for and begin clinical trials for our current and future product candidates. We may never succeed in achieving regulatory approval for BXCL501, BXCL701 or any of our other product candidates. The duration, costs and timing of clinical trials and development of our product candidates will depend on a variety of factors, including the uncertainties of future clinical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and legal services, the cost of various consultants, occupancy costs and information systems costs.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expect that our general and administrative expenses will increase as we operate both as an independent entity and as a public company. We also expect increased administrative costs, including payroll and related expenses, as we continue to increase our headcount to support the expected growth in our business, expand our operations and organizational capabilities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 governance, internal controls, investor relations and disclosures and similar requirements applicable to public companies.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restart"/>
          </w:tcPr>
          <w:p>
            <w:pPr>
              <w:jc w:val="center"/>
              <w:ind w:right="2292"/>
              <w:spacing w:after="0"/>
              <w:rPr>
                <w:sz w:val="20"/>
                <w:szCs w:val="20"/>
                <w:color w:val="auto"/>
              </w:rPr>
            </w:pPr>
            <w:r>
              <w:rPr>
                <w:rFonts w:ascii="Arial" w:cs="Arial" w:eastAsia="Arial" w:hAnsi="Arial"/>
                <w:sz w:val="14"/>
                <w:szCs w:val="14"/>
                <w:b w:val="1"/>
                <w:bCs w:val="1"/>
                <w:color w:val="auto"/>
                <w:w w:val="90"/>
              </w:rPr>
              <w:t>(amounts in thousands, except percentage)</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7"/>
          </w:tcPr>
          <w:p>
            <w:pPr>
              <w:ind w:left="2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jc w:val="center"/>
              <w:ind w:right="2332"/>
              <w:spacing w:after="0"/>
              <w:rPr>
                <w:sz w:val="20"/>
                <w:szCs w:val="20"/>
                <w:color w:val="auto"/>
              </w:rPr>
            </w:pPr>
            <w:r>
              <w:rPr>
                <w:rFonts w:ascii="Arial" w:cs="Arial" w:eastAsia="Arial" w:hAnsi="Arial"/>
                <w:sz w:val="18"/>
                <w:szCs w:val="18"/>
                <w:color w:val="auto"/>
                <w:w w:val="88"/>
              </w:rPr>
              <w:t>Research and development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931 %</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jc w:val="center"/>
              <w:ind w:right="2312"/>
              <w:spacing w:after="0"/>
              <w:rPr>
                <w:sz w:val="20"/>
                <w:szCs w:val="20"/>
                <w:color w:val="auto"/>
              </w:rPr>
            </w:pPr>
            <w:r>
              <w:rPr>
                <w:rFonts w:ascii="Arial" w:cs="Arial" w:eastAsia="Arial" w:hAnsi="Arial"/>
                <w:sz w:val="18"/>
                <w:szCs w:val="18"/>
                <w:color w:val="auto"/>
                <w:w w:val="91"/>
              </w:rPr>
              <w:t>General and administrative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4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jc w:val="center"/>
              <w:ind w:right="2252"/>
              <w:spacing w:after="0"/>
              <w:rPr>
                <w:sz w:val="20"/>
                <w:szCs w:val="20"/>
                <w:color w:val="auto"/>
              </w:rPr>
            </w:pPr>
            <w:r>
              <w:rPr>
                <w:rFonts w:ascii="Arial" w:cs="Arial" w:eastAsia="Arial" w:hAnsi="Arial"/>
                <w:sz w:val="18"/>
                <w:szCs w:val="18"/>
                <w:color w:val="auto"/>
                <w:w w:val="88"/>
              </w:rPr>
              <w:t>Total operating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731 %</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(3,133)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731 %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4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Research and development expenses for the three months ended March 31, 2019 were $5,674, compared to $2,938 for the three months ended March 31, 2018. The increase of $2,736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Drug acquisition costs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Chemical, manufacturing and controls cost ("CMC")</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7"/>
        </w:trPr>
        <w:tc>
          <w:tcPr>
            <w:tcW w:w="626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Salaries, bonus and related costs increased due to increases in headcount and related benefits, payroll taxes, recruiting fees and associated travel costs.</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Non-cash stock-based compensation has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 vested during the first quarter of 2018 thus there was no corresponding charge during the first quarter of 2019. These lower charges were offset in part by increases in expense relating to new hires beginning in the second quarter of 2018.</w:t>
      </w:r>
    </w:p>
    <w:p>
      <w:pPr>
        <w:spacing w:after="0" w:line="15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Drug acquisition costs are in accordance with the asset contribution agreement discussed in Note 5 to the financial statements included elsewhere in this Quarterly Report.</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Professional research, project related costs, clinical trials expenses and CMC costs increased due to the acceleration of research and development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General and administrative expenses for the three months ended March 31, 2019 were $1,745, compared to $1,348 for the three months March 31, 2018. The increase of $397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7"/>
        </w:trPr>
        <w:tc>
          <w:tcPr>
            <w:tcW w:w="642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Salaries, bonus and related costs increased due to increases in headcount and related benefits, payroll taxes, recruiting fees and travel related costs.</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Non-cash stock-based compensation has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 vested during the first quarter of 2018 thus there was no corresponding charge during the first quarter of 2019. These lower charges were offset in part by increases in expenses relating to additional headcount beginning in the second quarter of 2018.</w:t>
      </w:r>
    </w:p>
    <w:p>
      <w:pPr>
        <w:spacing w:after="0" w:line="15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the current period.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March 31, 2019, we had cash and cash equivalents of $36,296, working capital of $31,272 and stockholders’ equity of $32,368. Net cash used in operating activities was $6,458 and $1,012 for the three months ended March 31, 2019 and 2018. We incurred losses of approximately $7,204 and $4,282 for the three months ended March 31, 2019 and 2018.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w:t>
      </w:r>
    </w:p>
    <w:p>
      <w:pPr>
        <w:spacing w:after="0" w:line="17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March 7, 2018, the Company’s registration statement on Form S-1 relating to its IPO was declared effective by the Securities and Exchange Commission (“SEC”). The IPO closed on March 12, 2018, and the Company issued and sold 5,454,545 shares of common stock at a public offering price of $11.00 per share. Gross proceeds totaled $60,000 and net proceeds totaled $54,102 after deducting underwriting discounts and commissions of $4,200 and other offering expenses of approximately $1,698.</w:t>
      </w:r>
    </w:p>
    <w:p>
      <w:pPr>
        <w:spacing w:after="0" w:line="18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believe that our existing cash and cash equivalents as of March 31, 2019, and a review of projected project timing, will enable us to fund our operating expenses and capital expenditure requirements for at least one year from the date of this Quarterly Report on Form 10-Q.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and cash equivalents will not be sufficient to fund all of the efforts that we plan to undertake or 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fund the completion of development of our product candidates or our other preclinical programs.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 and we may be forced to curtail or cease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focused our efforts on raising capital and building the products in our pipeline. Since our inception, and through our recently completed IPO, all our operations have been financed by our Parent, BioXcel, or the sales of our common stock in a series of private placements and a public offering. We have not yet established an ongoing source of revenue sufficient to cover our operating costs and will need to do so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(5,670)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55,590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For the three months ended March 31, 2019, net cash used in operating activities was approximately $5,670 which consisted of a net loss of $7,204 partially offset by $682 in stock-based compensation, $500 of asset contribution costs and $37 of depreciation. Reductions in accounts payable and accrued expenses of $1,603 were offset in part by increases in prepaid expenses (primarily for insurance premiums) and other assets of $1,292.</w:t>
      </w:r>
    </w:p>
    <w:p>
      <w:pPr>
        <w:spacing w:after="0" w:line="171" w:lineRule="exact"/>
        <w:rPr>
          <w:sz w:val="20"/>
          <w:szCs w:val="20"/>
          <w:color w:val="auto"/>
        </w:rPr>
      </w:pPr>
    </w:p>
    <w:p>
      <w:pPr>
        <w:jc w:val="both"/>
        <w:ind w:right="400" w:firstLine="324"/>
        <w:spacing w:after="0" w:line="312" w:lineRule="auto"/>
        <w:rPr>
          <w:sz w:val="20"/>
          <w:szCs w:val="20"/>
          <w:color w:val="auto"/>
        </w:rPr>
      </w:pPr>
      <w:r>
        <w:rPr>
          <w:rFonts w:ascii="Arial" w:cs="Arial" w:eastAsia="Arial" w:hAnsi="Arial"/>
          <w:sz w:val="16"/>
          <w:szCs w:val="16"/>
          <w:color w:val="auto"/>
        </w:rPr>
        <w:t>For the three months ended March 31, 2018, net cash used in operating activities was approximately $1,012, which consisted of a net loss of $4,282 partially offset by $1,319 in stock-based compensation and $1,000 of asset contribution costs. Increases in accounts payable, reductions in prepaid expense and depreciation accounted for the remainder.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Expenditures for property and equipment aggregated $600 for the three months ended March 31, 2019. Construction costs of $415 were incurred related to occupancy at our new office site. Purchases of furniture and computer equipment accounted for the remainder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provided by financing activities was not material for the three months ended March 31, 2019.</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financing activities was approximately $55,590 for the three months ended March 31, 2018 which was mainly attributable to the proceeds from issuance of common stock in our IPO and other private placements offset in part by repayment of loans to our Parent.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commence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4"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clinical development of BXCL501 and commence clinical development of BXCL701;</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660" w:right="16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800" w:hanging="333"/>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2019, we did not have any off-balance sheet arrangements as defined under SEC rules.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19" w:firstLine="324"/>
        <w:spacing w:after="0" w:line="279" w:lineRule="auto"/>
        <w:rPr>
          <w:sz w:val="20"/>
          <w:szCs w:val="20"/>
          <w:color w:val="auto"/>
        </w:rPr>
      </w:pPr>
      <w:r>
        <w:rPr>
          <w:rFonts w:ascii="Arial" w:cs="Arial" w:eastAsia="Arial" w:hAnsi="Arial"/>
          <w:sz w:val="17"/>
          <w:szCs w:val="17"/>
          <w:color w:val="auto"/>
        </w:rPr>
        <w:t>Our financial statements are prepared in accordance with accounting principles generally accepted in the United States.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71" w:lineRule="exact"/>
        <w:rPr>
          <w:sz w:val="20"/>
          <w:szCs w:val="20"/>
          <w:color w:val="auto"/>
        </w:rPr>
      </w:pPr>
    </w:p>
    <w:p>
      <w:pPr>
        <w:ind w:right="179" w:firstLine="324"/>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188" w:lineRule="exact"/>
        <w:rPr>
          <w:sz w:val="20"/>
          <w:szCs w:val="20"/>
          <w:color w:val="auto"/>
        </w:rPr>
      </w:pPr>
    </w:p>
    <w:p>
      <w:pPr>
        <w:ind w:right="119" w:firstLine="324"/>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significant accounting policies are described in Note 4to the financials included elsewhere in this Quarterly Report.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there have been no material changes to any of the critical accounting policies contained therein.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3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4 to the financial statements included elsewhere in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99" w:firstLine="324"/>
        <w:spacing w:after="0" w:line="286" w:lineRule="auto"/>
        <w:rPr>
          <w:sz w:val="20"/>
          <w:szCs w:val="20"/>
          <w:color w:val="auto"/>
        </w:rPr>
      </w:pPr>
      <w:r>
        <w:rPr>
          <w:rFonts w:ascii="Arial" w:cs="Arial" w:eastAsia="Arial" w:hAnsi="Arial"/>
          <w:sz w:val="17"/>
          <w:szCs w:val="17"/>
          <w:color w:val="auto"/>
        </w:rPr>
        <w:t>Our balance sheet as of March 31, 2019 includes cash and cash equivalents of $36,296. We do not participate in any foreign currency hedging activities and we do not have any other derivative financial instruments. We did not recognize any significant exchange rate losses during the three months ended March 31, 2019 and 2018, respectively.</w:t>
      </w:r>
    </w:p>
    <w:p>
      <w:pPr>
        <w:spacing w:after="0" w:line="166" w:lineRule="exact"/>
        <w:rPr>
          <w:sz w:val="20"/>
          <w:szCs w:val="20"/>
          <w:color w:val="auto"/>
        </w:rPr>
      </w:pPr>
    </w:p>
    <w:p>
      <w:pPr>
        <w:ind w:right="99" w:firstLine="324"/>
        <w:spacing w:after="0" w:line="259" w:lineRule="auto"/>
        <w:rPr>
          <w:sz w:val="20"/>
          <w:szCs w:val="20"/>
          <w:color w:val="auto"/>
        </w:rPr>
      </w:pPr>
      <w:r>
        <w:rPr>
          <w:rFonts w:ascii="Arial" w:cs="Arial" w:eastAsia="Arial" w:hAnsi="Arial"/>
          <w:sz w:val="18"/>
          <w:szCs w:val="18"/>
          <w:color w:val="auto"/>
        </w:rPr>
        <w:t>We do not believe that our cash has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87" w:lineRule="exact"/>
        <w:rPr>
          <w:sz w:val="20"/>
          <w:szCs w:val="20"/>
          <w:color w:val="auto"/>
        </w:rPr>
      </w:pPr>
    </w:p>
    <w:p>
      <w:pPr>
        <w:ind w:right="13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9" w:firstLine="324"/>
        <w:spacing w:after="0" w:line="257" w:lineRule="auto"/>
        <w:rPr>
          <w:sz w:val="20"/>
          <w:szCs w:val="20"/>
          <w:color w:val="auto"/>
        </w:rPr>
      </w:pPr>
      <w:r>
        <w:rPr>
          <w:rFonts w:ascii="Arial" w:cs="Arial" w:eastAsia="Arial" w:hAnsi="Arial"/>
          <w:sz w:val="18"/>
          <w:szCs w:val="18"/>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88" w:lineRule="exact"/>
        <w:rPr>
          <w:sz w:val="20"/>
          <w:szCs w:val="20"/>
          <w:color w:val="auto"/>
        </w:rPr>
      </w:pPr>
    </w:p>
    <w:p>
      <w:pPr>
        <w:jc w:val="both"/>
        <w:ind w:right="139" w:firstLine="324"/>
        <w:spacing w:after="0" w:line="312" w:lineRule="auto"/>
        <w:rPr>
          <w:sz w:val="20"/>
          <w:szCs w:val="20"/>
          <w:color w:val="auto"/>
        </w:rPr>
      </w:pPr>
      <w:r>
        <w:rPr>
          <w:rFonts w:ascii="Arial" w:cs="Arial" w:eastAsia="Arial" w:hAnsi="Arial"/>
          <w:sz w:val="16"/>
          <w:szCs w:val="16"/>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market risk inherent in our financial instruments and in our financial position has historically been the potential loss arising from adverse changes in interest rates. As of March 31, 2019 and December 31, 2018, we had cash of $36.3 million and $42.6 million, respectively. As of March 31, 2019, we held our cash in primarily in money market accounts and accordingly, the value of these accounts is subject to fluctuation in interest rates.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ind w:right="280" w:firstLine="360"/>
        <w:spacing w:after="0" w:line="342" w:lineRule="auto"/>
        <w:rPr>
          <w:sz w:val="20"/>
          <w:szCs w:val="20"/>
          <w:color w:val="auto"/>
        </w:rPr>
      </w:pPr>
      <w:r>
        <w:rPr>
          <w:rFonts w:ascii="Arial" w:cs="Arial" w:eastAsia="Arial" w:hAnsi="Arial"/>
          <w:sz w:val="16"/>
          <w:szCs w:val="16"/>
          <w:color w:val="auto"/>
        </w:rPr>
        <w:t>Based on the evaluation of our disclosure controls and procedures as of March 31, 2019, our Chief Executive Officer and Chief Financial Officer concluded that, as of such date, our disclosure controls and procedures were effective.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363"/>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2019 that have materially affected, or are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We were incorporated in March 2017 and our operations to date have been largely focused on organizing and staffing our company, raising capital and acquiring the rights to, and advancing the development of, our product candidates, including conducting preclinical studies. We have not yet demonstrated an ability to successfully complete clinical trials,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7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$7.2 million and $4.3 million for the three months ended March 31, 2019 and 2018, respectively. As of March 31, 2019, we had stockholders’ equity of $32.4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spacing w:after="0" w:line="170" w:lineRule="exact"/>
        <w:rPr>
          <w:rFonts w:ascii="Arial" w:cs="Arial" w:eastAsia="Arial" w:hAnsi="Arial"/>
          <w:sz w:val="18"/>
          <w:szCs w:val="18"/>
          <w:color w:val="auto"/>
        </w:rPr>
      </w:pPr>
    </w:p>
    <w:p>
      <w:pPr>
        <w:ind w:left="660" w:right="44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pursue regulatory approvals for our current and future product candidates that successfully complete clinical trials;</w:t>
      </w:r>
    </w:p>
    <w:p>
      <w:pPr>
        <w:spacing w:after="0" w:line="248" w:lineRule="exact"/>
        <w:rPr>
          <w:rFonts w:ascii="Arial" w:cs="Arial" w:eastAsia="Arial" w:hAnsi="Arial"/>
          <w:sz w:val="16"/>
          <w:szCs w:val="16"/>
          <w:color w:val="auto"/>
        </w:rPr>
      </w:pPr>
    </w:p>
    <w:p>
      <w:pPr>
        <w:ind w:left="660" w:right="28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7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w:t>
      </w:r>
    </w:p>
    <w:p>
      <w:pPr>
        <w:spacing w:after="0" w:line="24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8" w:lineRule="exact"/>
        <w:rPr>
          <w:sz w:val="20"/>
          <w:szCs w:val="20"/>
          <w:color w:val="auto"/>
        </w:rPr>
      </w:pPr>
    </w:p>
    <w:p>
      <w:pPr>
        <w:ind w:right="600" w:firstLine="324"/>
        <w:spacing w:after="0" w:line="302" w:lineRule="auto"/>
        <w:rPr>
          <w:sz w:val="20"/>
          <w:szCs w:val="20"/>
          <w:color w:val="auto"/>
        </w:rPr>
      </w:pPr>
      <w:r>
        <w:rPr>
          <w:rFonts w:ascii="Arial" w:cs="Arial" w:eastAsia="Arial" w:hAnsi="Arial"/>
          <w:sz w:val="16"/>
          <w:szCs w:val="16"/>
          <w:color w:val="auto"/>
        </w:rPr>
        <w:t>We expect that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91" w:lineRule="auto"/>
        <w:rPr>
          <w:sz w:val="20"/>
          <w:szCs w:val="20"/>
          <w:color w:val="auto"/>
        </w:rPr>
      </w:pPr>
      <w:r>
        <w:rPr>
          <w:rFonts w:ascii="Arial" w:cs="Arial" w:eastAsia="Arial" w:hAnsi="Arial"/>
          <w:sz w:val="16"/>
          <w:szCs w:val="16"/>
          <w:color w:val="auto"/>
        </w:rPr>
        <w:t>develop for one or more indications, we may not be able to enter into a collaboration for any of our product candidates for such indications on suitable terms, on a timely basis or at all. In any event, the net proceeds of our IPO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w:t>
      </w:r>
    </w:p>
    <w:p>
      <w:pPr>
        <w:spacing w:after="0" w:line="167" w:lineRule="exact"/>
        <w:rPr>
          <w:sz w:val="20"/>
          <w:szCs w:val="20"/>
          <w:color w:val="auto"/>
        </w:rPr>
      </w:pPr>
    </w:p>
    <w:p>
      <w:pPr>
        <w:ind w:right="39" w:firstLine="324"/>
        <w:spacing w:after="0" w:line="291" w:lineRule="auto"/>
        <w:rPr>
          <w:sz w:val="20"/>
          <w:szCs w:val="20"/>
          <w:color w:val="auto"/>
        </w:rPr>
      </w:pPr>
      <w:r>
        <w:rPr>
          <w:rFonts w:ascii="Arial" w:cs="Arial" w:eastAsia="Arial" w:hAnsi="Arial"/>
          <w:sz w:val="16"/>
          <w:szCs w:val="16"/>
          <w:color w:val="auto"/>
        </w:rPr>
        <w:t>We believe that our cash and cash equivalents as of March 31, 2019, and a review of projected project timing, will enable us to fund our operating expenses and capital expenditure requirements for at least one year from the date of this Quarterly Report on Form 10-Q.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67" w:lineRule="exact"/>
        <w:rPr>
          <w:sz w:val="20"/>
          <w:szCs w:val="20"/>
          <w:color w:val="auto"/>
        </w:rPr>
      </w:pPr>
    </w:p>
    <w:p>
      <w:pPr>
        <w:ind w:left="660" w:right="57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agreements or other arrangements;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25" w:lineRule="exact"/>
        <w:rPr>
          <w:rFonts w:ascii="Arial" w:cs="Arial" w:eastAsia="Arial" w:hAnsi="Arial"/>
          <w:sz w:val="18"/>
          <w:szCs w:val="18"/>
          <w:color w:val="auto"/>
        </w:rPr>
      </w:pPr>
    </w:p>
    <w:p>
      <w:pPr>
        <w:ind w:left="660" w:right="19"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81" w:lineRule="exact"/>
        <w:rPr>
          <w:rFonts w:ascii="Arial" w:cs="Arial" w:eastAsia="Arial" w:hAnsi="Arial"/>
          <w:sz w:val="18"/>
          <w:szCs w:val="18"/>
          <w:color w:val="auto"/>
        </w:rPr>
      </w:pPr>
    </w:p>
    <w:p>
      <w:pPr>
        <w:ind w:left="660" w:right="53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225" w:lineRule="exact"/>
        <w:rPr>
          <w:rFonts w:ascii="Arial" w:cs="Arial" w:eastAsia="Arial" w:hAnsi="Arial"/>
          <w:sz w:val="18"/>
          <w:szCs w:val="18"/>
          <w:color w:val="auto"/>
        </w:rPr>
      </w:pPr>
    </w:p>
    <w:p>
      <w:pPr>
        <w:ind w:left="660" w:right="59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drug discovery and drug development, and we have never had a drug approved.</w:t>
      </w:r>
    </w:p>
    <w:p>
      <w:pPr>
        <w:spacing w:after="0" w:line="23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initiate or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300" w:right="80" w:hanging="325"/>
        <w:spacing w:after="0" w:line="25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an Investigational New Drug, or IND, for the conduct of clinical trials of product candidates and proposed design of future clinical trials;</w:t>
      </w:r>
    </w:p>
    <w:p>
      <w:pPr>
        <w:spacing w:after="0" w:line="1" w:lineRule="exact"/>
        <w:rPr>
          <w:rFonts w:ascii="Arial" w:cs="Arial" w:eastAsia="Arial" w:hAnsi="Arial"/>
          <w:sz w:val="18"/>
          <w:szCs w:val="18"/>
          <w:color w:val="auto"/>
        </w:rPr>
      </w:pPr>
    </w:p>
    <w:p>
      <w:pPr>
        <w:ind w:left="1300" w:right="52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300" w:right="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 safety, tolerability and efficacy profile that is satisfactory to the FDA or any comparable foreign regulatory authority for marketing approval;</w:t>
      </w: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establishment of supply arrangements with third-party raw materials suppliers and manufacturers;</w:t>
      </w:r>
    </w:p>
    <w:p>
      <w:pPr>
        <w:spacing w:after="0" w:line="20" w:lineRule="exact"/>
        <w:rPr>
          <w:rFonts w:ascii="Arial" w:cs="Arial" w:eastAsia="Arial" w:hAnsi="Arial"/>
          <w:sz w:val="17"/>
          <w:szCs w:val="17"/>
          <w:color w:val="auto"/>
        </w:rPr>
      </w:pPr>
    </w:p>
    <w:p>
      <w:pPr>
        <w:ind w:left="1300" w:right="5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300" w:right="70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1300" w:right="36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300" w:right="200" w:hanging="325"/>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300" w:right="740" w:hanging="325"/>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Arial" w:cs="Arial" w:eastAsia="Arial" w:hAnsi="Arial"/>
          <w:sz w:val="16"/>
          <w:szCs w:val="16"/>
          <w:color w:val="auto"/>
        </w:rPr>
      </w:pPr>
    </w:p>
    <w:p>
      <w:pPr>
        <w:ind w:left="1300" w:right="60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300" w:right="30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300" w:right="2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2" w:lineRule="exact"/>
        <w:rPr>
          <w:rFonts w:ascii="Arial" w:cs="Arial" w:eastAsia="Arial" w:hAnsi="Arial"/>
          <w:sz w:val="18"/>
          <w:szCs w:val="18"/>
          <w:color w:val="auto"/>
        </w:rPr>
      </w:pPr>
    </w:p>
    <w:p>
      <w:pPr>
        <w:ind w:left="1300" w:right="160" w:hanging="325"/>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1300" w:right="760" w:hanging="325"/>
        <w:spacing w:after="0" w:line="290"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not previously completed a clinical trial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1"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clinical testing could result in increased costs to us and delay our ability to generate revenue.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54"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3" w:lineRule="exact"/>
        <w:rPr>
          <w:rFonts w:ascii="Arial" w:cs="Arial" w:eastAsia="Arial" w:hAnsi="Arial"/>
          <w:sz w:val="18"/>
          <w:szCs w:val="18"/>
          <w:color w:val="auto"/>
        </w:rPr>
      </w:pPr>
    </w:p>
    <w:p>
      <w:pPr>
        <w:jc w:val="both"/>
        <w:ind w:left="1300" w:right="280" w:hanging="325"/>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1300" w:right="200" w:hanging="325"/>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 w:lineRule="exact"/>
        <w:rPr>
          <w:rFonts w:ascii="Arial" w:cs="Arial" w:eastAsia="Arial" w:hAnsi="Arial"/>
          <w:sz w:val="18"/>
          <w:szCs w:val="18"/>
          <w:color w:val="auto"/>
        </w:rPr>
      </w:pPr>
    </w:p>
    <w:p>
      <w:pPr>
        <w:jc w:val="both"/>
        <w:ind w:left="1300" w:right="100" w:hanging="325"/>
        <w:spacing w:after="0" w:line="28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drug development programs;</w:t>
      </w:r>
    </w:p>
    <w:p>
      <w:pPr>
        <w:spacing w:after="0" w:line="1" w:lineRule="exact"/>
        <w:rPr>
          <w:rFonts w:ascii="Arial" w:cs="Arial" w:eastAsia="Arial" w:hAnsi="Arial"/>
          <w:sz w:val="16"/>
          <w:szCs w:val="16"/>
          <w:color w:val="auto"/>
        </w:rPr>
      </w:pPr>
    </w:p>
    <w:p>
      <w:pPr>
        <w:ind w:left="1300" w:right="6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1300" w:right="48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9" w:lineRule="exact"/>
        <w:rPr>
          <w:rFonts w:ascii="Arial" w:cs="Arial" w:eastAsia="Arial" w:hAnsi="Arial"/>
          <w:sz w:val="18"/>
          <w:szCs w:val="18"/>
          <w:color w:val="auto"/>
        </w:rPr>
      </w:pPr>
    </w:p>
    <w:p>
      <w:pPr>
        <w:ind w:left="1300" w:right="6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ind w:left="130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left="1300" w:right="380" w:hanging="325"/>
        <w:spacing w:after="0" w:line="323"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future collaborators that conduct clinical trials may face any of the above issues, and may conduct clinical trials in ways they view as advantageous to themselves but that are suboptimal for us.</w:t>
      </w:r>
    </w:p>
    <w:p>
      <w:pPr>
        <w:spacing w:after="0" w:line="13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For example, we believe that we will be able to proceed directly to Phase 3 registration trials of BXCL501 if we successfully complete our planned Phase 1b/2 open-label PoC and bridging BA/BE studies. However, the FDA may not agree with our development plans and could require us to perform additional clinical trials or preclinical studies, including additional Phase 1 and/or Phase 2 clinical trials, before permitting us to conduct our planned registration trials.</w:t>
      </w:r>
    </w:p>
    <w:p>
      <w:pPr>
        <w:spacing w:after="0" w:line="15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47"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 w:lineRule="exact"/>
        <w:rPr>
          <w:rFonts w:ascii="Arial" w:cs="Arial" w:eastAsia="Arial" w:hAnsi="Arial"/>
          <w:sz w:val="18"/>
          <w:szCs w:val="18"/>
          <w:color w:val="auto"/>
        </w:rPr>
      </w:pPr>
    </w:p>
    <w:p>
      <w:pPr>
        <w:ind w:left="1300" w:right="8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9"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ind w:left="1300" w:right="22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w:t>
      </w: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Furthermore, we intend to rely on CROs and clinical trial sites to ensure the proper and timely conduct of our clinical trials and we intend to have agreements governing their committed activities. They may not perform as required.</w:t>
      </w:r>
    </w:p>
    <w:p>
      <w:pPr>
        <w:spacing w:after="0" w:line="124"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1" w:lineRule="exact"/>
        <w:rPr>
          <w:sz w:val="20"/>
          <w:szCs w:val="20"/>
          <w:color w:val="auto"/>
        </w:rPr>
      </w:pPr>
    </w:p>
    <w:p>
      <w:pPr>
        <w:ind w:left="4440" w:right="3100" w:hanging="3465"/>
        <w:spacing w:after="0" w:line="778"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34" w:lineRule="exact"/>
        <w:rPr>
          <w:rFonts w:ascii="Arial" w:cs="Arial" w:eastAsia="Arial" w:hAnsi="Arial"/>
          <w:sz w:val="17"/>
          <w:szCs w:val="17"/>
          <w:color w:val="auto"/>
        </w:rPr>
      </w:pPr>
    </w:p>
    <w:p>
      <w:pPr>
        <w:ind w:left="1300" w:right="380" w:hanging="325"/>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300" w:right="480" w:hanging="325"/>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300" w:right="660" w:hanging="325"/>
        <w:spacing w:after="0" w:line="265"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47" w:lineRule="exact"/>
        <w:rPr>
          <w:sz w:val="20"/>
          <w:szCs w:val="20"/>
          <w:color w:val="auto"/>
        </w:rPr>
      </w:pPr>
    </w:p>
    <w:p>
      <w:pPr>
        <w:ind w:left="1300" w:right="160" w:hanging="325"/>
        <w:spacing w:after="0" w:line="285"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6"/>
          <w:szCs w:val="16"/>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19"/>
        <w:spacing w:after="0" w:line="264"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81" w:lineRule="exact"/>
        <w:rPr>
          <w:sz w:val="20"/>
          <w:szCs w:val="20"/>
          <w:color w:val="auto"/>
        </w:rPr>
      </w:pPr>
    </w:p>
    <w:p>
      <w:pPr>
        <w:ind w:right="39" w:firstLine="324"/>
        <w:spacing w:after="0" w:line="290" w:lineRule="auto"/>
        <w:rPr>
          <w:sz w:val="20"/>
          <w:szCs w:val="20"/>
          <w:color w:val="auto"/>
        </w:rPr>
      </w:pPr>
      <w:r>
        <w:rPr>
          <w:rFonts w:ascii="Arial" w:cs="Arial" w:eastAsia="Arial" w:hAnsi="Arial"/>
          <w:sz w:val="16"/>
          <w:szCs w:val="16"/>
          <w:color w:val="auto"/>
        </w:rPr>
        <w:t>If a product is intended for the treatment of a serious condition and nonclinical or clinical data demonstrate the potential to address unmet medical need for this condition, a product sponsor may apply for FDA Fast Track designation. If we seek Fast Track designation for a product candidate, we may not receive it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ind w:right="99"/>
        <w:spacing w:after="0" w:line="312"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7" w:lineRule="exact"/>
        <w:rPr>
          <w:sz w:val="20"/>
          <w:szCs w:val="20"/>
          <w:color w:val="auto"/>
        </w:rPr>
      </w:pPr>
    </w:p>
    <w:p>
      <w:pPr>
        <w:ind w:right="19" w:firstLine="324"/>
        <w:spacing w:after="0" w:line="285"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our product candidates will remain subject to ongoing requirements governing the manufacturing process, labeling, packaging, storage, advertising, distribution, import, export, promotion, recordkeeping and adverse event reporting. These requirements include submissions of safety and other post-marketing information and reports, registration, as well as continued compliance with good clinical practice, or GCP, requirements for any clinical trials that we conduct post-approval. In addition, manufacturers of drug products and their facilities are subject to continual review and periodic inspections by the FDA and other regulatory authorities for compliance with Good Manufacturing Practices, or GMP, regulations. If we or a regulatory agency discovers previously unknown problems with a product, such as adverse events of unanticipated severity or frequency, or problems with the facility where the product is manufactured, a regulatory agency may impose restrictions on that product or the manufacturer, including requiring voluntary or mandatory recalls, additional restrictions on manufacturing or withdrawal of the product from the market or suspension of manufacturing. If we, our product candidates or the manufacturing facilities for our product candidates fail to comply with applicable regulatory requirements, a regulatory agency may:</w:t>
      </w:r>
    </w:p>
    <w:p>
      <w:pPr>
        <w:spacing w:after="0" w:line="391"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request us to initiate a product recall;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pursue and obtain an injunction.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by us to comply with existing regulations could harm our reputation and operating results.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be subject to extensive regulation by U.S. federal and state and foreign governments in each of the markets where we intend to sell BXCL501 and BXCL701 if and after they are approved. For example, we will have to adhere to all regulatory requirements including the FDA’s current GCPs, Good Laboratory Practice, or GLP, and GMP requirements. If we fail to comply with applicable regulations, including FDA pre-or post- approval cGMP requirements, then the FDA or other foreign regulatory authorities could sanction us. Even if a drug is FDA-approved, regulatory authorities may impose significant restrictions on a product’s indicated uses or marketing or impose ongoing requirements for potentially costly post-marketing studies.</w:t>
      </w:r>
    </w:p>
    <w:p>
      <w:pPr>
        <w:spacing w:after="0" w:line="18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Any action against us for violation of these laws, even if we successfully defend against it, could cause us to incur significant legal expenses, divert our management’s attention from the operation of our business and damage our reputation. We expend significant resources on compliance efforts and such expenses are unpredictable and might adversely affect our results.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President Trump issued an Executive Order directing all executive agencies, including the FDA,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OMB on February 2,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7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While Article 50 of the Lisbon Treaty was invoked by the United Kingdom on March 29, 2017, substantial uncertainty remains regarding the outcome of the negotiations, as well as the scope and duration of a transitionary period, if any, following the expiration of the Article 50 period on October 31, 2019 .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1"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 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Under the Health Insurance Portability and Accountability Act of 1996, we are prohibited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Violations of fraud and abuse laws may be punishable by criminal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and/or civil sanctions, including fines and/or exclusion or suspension from federal and state health care programs such as Medicare and Medicaid and debarment from contracting with the U.S. government. In addition, private individuals have the ability to bring actions on behalf of the government under the federal False Claims Act as well as under the false claims laws of several states.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Many states have adopted laws similar to the federal anti-kickback statute, some of which apply to the referral of patients for health care services reimbursed by any source, not just governmental payers. Neither the government nor the courts have provided definitive guidance on the application of fraud and abuse laws to our business. Law enforcement authorities are increasingly focused on enforcing these laws, and if we are found in violation of one of these laws, we could be required to pay a penalty and could be suspended or excluded from participation in federal or state health care programs, and our business, results of operations and financial condition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inability to obtain and retain sufficient clinical trial liability insurance at an acceptable cost to protect against potential liability claims could prevent or inhibit our ability to conduct clinical trials for product candidates we develop. We currently have clinical trial liability insurance for our IV Dex trials. However, we do not have clinical trial liability insurance for our BXCL 701 program.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1"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including BXCL501. The Hatch-Waxman Act, added Section 505(b)(2) to the FDCA. Section 505(b)(2) permits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80"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expect to rely heavily on orphan drug status to commercialize some of our product candidates, if approved, but any orphan drug designations we receive may not confer marketing exclusivity or other expected commercial benefits.</w:t>
      </w:r>
    </w:p>
    <w:p>
      <w:pPr>
        <w:spacing w:after="0" w:line="10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expect to rely heavily on orphan drug exclusivity for our product candidates.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Although we have received orphan designation for BXCL701 for the treatment of pancreatic cancer, BXCL701 has not yet filed for orphan designation for the treatment of tNEPC.</w:t>
      </w:r>
    </w:p>
    <w:p>
      <w:pPr>
        <w:spacing w:after="0" w:line="17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seek a breakthrough therapy designation for BXCL701 or one or more of our other product candidates,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We may seek a breakthrough therapy designation for BXCL701 or one or more of our other product candidates. A breakthrough therapy is defined as a drug that is intended, alone or in combination with one or more other drugs, to treat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serious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seek priority review designation for BXCL701 or one or more of our other product candidates, but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3" w:lineRule="exact"/>
        <w:rPr>
          <w:sz w:val="20"/>
          <w:szCs w:val="20"/>
          <w:color w:val="auto"/>
        </w:rPr>
      </w:pPr>
    </w:p>
    <w:p>
      <w:pPr>
        <w:ind w:left="1300" w:right="560" w:hanging="325"/>
        <w:spacing w:after="0" w:line="258"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300" w:right="700" w:hanging="325"/>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ind w:left="1300" w:hanging="32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300" w:right="940" w:hanging="325"/>
        <w:spacing w:after="0" w:line="26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PPACA has substantially changed the way healthcare is financed by both government health plans and private insurers, and significantly impacts the pharmaceutical industry. The PPACA contains a number of provisions that are expected to impact our business and operations in ways that may negatively affect our potential revenues in the future. For example, the PPACA imposes a non-deductible excise tax on pharmaceutical manufacturers or importers that sell branded prescription drugs to government programs which we believe will increase the cost of our products. In addition, as part of the PPACA’s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PPACA increases the level of Medicaid rebates payable by manufacturers of brand-name drugs from 15.1% to 23.1% and requires collection of rebates for drugs paid by Medicaid managed care organizations. The PPACA also includes significant changes to the 340B drug discount program including expansion of the list of eligible covered entities that may purchase drugs under the program. At the same time, the expansion in eligibility for health insurance benefits created under PPACA is expected to increase the number of patients with insurance coverage who may receive our products. While it is too early to predict all the specific effects the PPACA or any future healthcare reform legislation will have on our business, they could have a material adverse effect on our business and financial condition.</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Congress periodically adopts legislation like the PPACA and the Medicare Prescription Drug, Improvement and Modernization Act of 2003, that modifies Medicare reimbursement and coverage policies pertaining to prescription drugs. Implementation of these laws is subject to ongoing revision through regulatory and sub regulatory policies. Congress also may consider additional changes to Medicare policies, potentially including Medicare prescription drug policies, as part of ongoing budget negotiations. While the scope of any such legislation is uncertain at this time, there can be no assurances that future legislation or regulations will not decrease the coverage and price that we may receive for our proposed products. 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BioXcel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BioXcel controls the direction of our business, and the concentrated ownership of our common stock will prevent you and other stockholders from influencing significant decisions.</w:t>
      </w:r>
    </w:p>
    <w:p>
      <w:pPr>
        <w:spacing w:after="0" w:line="170"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As of March 31, 2019, BioXcel owns approximately 60.5% of the economic interest and voting power of our outstanding common stock. As long as BioXcel beneficially controls a majority of the voting power of our outstanding common stock, it will generally be able to determine the outcome of all corporate actions requiring stockholder approval, including the election and removal of directors. Even if BioXcel were to control less than a majority of the voting power of our outstanding common stock, it may influence the outcome of such corporate actions so long as it owns a significant portion of our common stock. If BioXcel continues to hold its shares of our common stock, it could remain our controlling stockholder for an extended period of time or indefinitely.</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1"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commercial terms of the Amended Services Agreement dated November 7, 2017, the grid note dated June 30, 2017, or Grid Note, and the Contribution Agreement that we have entered into with BioXcel have not been negotiated on behalf of BioXcel by persons consisting solely of disinterested BioXcel directors. Notwithstanding the foregoing, we have no basis for believing that the terms of these agreements will not be in the best interests of both BioXcel and its stockholders and also us and our stockholders.</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Nonetheless, 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8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We have the option to enter into a collaborative services agreement with BioXcel, pursuant to which BioXcel shall perform product identification and related services for us utilizing EvolverAI. We have agreed that such agreement will be negotiated in good faith and that such agreement will incorporate reasonable market based terms, including royalty payments on net sales and reasonable development and commercialization milestone payments.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initial public offering.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continues to serve in the same respective roles at BioXcel. Two of our four directors currently serve on both our board of directors and the board of directors of BioXcel. Because of the current positions of our executive officer and our directors with BioXcel, they own shares of BioXcel common stock, options to purchase shares of BioXcel common stock or other equity awards of BioXcel. As of March 31, 2019, our Chief Executive Officer, Vimal Mehta, Ph.D. and one of our directors, Krishnan Nandabalan, Ph.D., each owned approximately 42%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resulting from investors questioning the independence of our management or the integrity of corporate governance procedures may materially affect our stock price.</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300" w:right="480" w:hanging="325"/>
        <w:spacing w:after="0" w:line="29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intellectual property, technology and business matters, including failure to make required technology transfers and failure to comply with non-compete provisions applicable to BioXcel and us;</w:t>
      </w: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stockholders may not achieve some or all of the expected benefits of a separation from Bioxcel.</w:t>
      </w:r>
    </w:p>
    <w:p>
      <w:pPr>
        <w:spacing w:after="0" w:line="23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Drug development is an expensive and time-consuming process, but we believe the knowledge we have gained while operating as a subsidiary of BioXcel has helped expedite this process. However, in order to realize the value proposition of BTI as a drug development company, we intend to target early stage healthcare and pharmaceutical focused investors, who are interested in investing in drug development companies and who appreciate the risks, rewards and typically longer investment timelines associated with such investments. In order to successfully attract this type of new investment, we believe it is critical that we separate from BioXcel, because we believe that doing so will provide us with some or all of the following benefits:</w:t>
      </w:r>
    </w:p>
    <w:p>
      <w:pPr>
        <w:spacing w:after="0" w:line="189" w:lineRule="exact"/>
        <w:rPr>
          <w:sz w:val="20"/>
          <w:szCs w:val="20"/>
          <w:color w:val="auto"/>
        </w:rPr>
      </w:pPr>
    </w:p>
    <w:p>
      <w:pPr>
        <w:ind w:left="1300" w:right="240" w:hanging="325"/>
        <w:spacing w:after="0" w:line="25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strategic and operational flexibility, increasing management focus and streamlining decision-making by providing the flexibility to implement our strategic plan and to respond more effectively to different customer needs and the changing economic environment;</w:t>
      </w:r>
    </w:p>
    <w:p>
      <w:pPr>
        <w:ind w:left="1300" w:hanging="325"/>
        <w:spacing w:after="0" w:line="265"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allowing us to adopt the capital structure, investment policy and dividend policy best suited to our financial profile and business needs, without competing for capital with BioXcel’s other businesses;</w:t>
      </w:r>
    </w:p>
    <w:p>
      <w:pPr>
        <w:ind w:left="1300" w:right="8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affect future acquisitions utilizing our common stock; and</w:t>
      </w:r>
    </w:p>
    <w:p>
      <w:pPr>
        <w:ind w:left="1300" w:right="200" w:hanging="325"/>
        <w:spacing w:after="0" w:line="25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our business, and enhancing employee hiring and retention by, among other things, improving the alignment of management and employee incentives with performance and growth objectives of our business.</w:t>
      </w:r>
    </w:p>
    <w:p>
      <w:pPr>
        <w:spacing w:after="0" w:line="190" w:lineRule="exact"/>
        <w:rPr>
          <w:sz w:val="20"/>
          <w:szCs w:val="20"/>
          <w:color w:val="auto"/>
        </w:rPr>
      </w:pPr>
    </w:p>
    <w:p>
      <w:pPr>
        <w:ind w:right="60" w:firstLine="324"/>
        <w:spacing w:after="0" w:line="327" w:lineRule="auto"/>
        <w:rPr>
          <w:sz w:val="20"/>
          <w:szCs w:val="20"/>
          <w:color w:val="auto"/>
        </w:rPr>
      </w:pPr>
      <w:r>
        <w:rPr>
          <w:rFonts w:ascii="Arial" w:cs="Arial" w:eastAsia="Arial" w:hAnsi="Arial"/>
          <w:sz w:val="15"/>
          <w:szCs w:val="15"/>
          <w:color w:val="auto"/>
        </w:rPr>
        <w:t>If we are not successful implementing the separation, we may not be able to achieve the full strategic and financial benefits we expect to receive, or the benefits may be delayed or not occur at all. Even if we are able to achieve stand-alone, independent status as a drug development company, there can be no assurance that investors and analysts will place a greater value on us as a stand-alone drug development company than as a wholly- or substantially-owned subsidiary of BioXcel.</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may qualify for, and may rely on, exemptions from certain corporate governance requirements that provide protection to stockholders of other companies.</w:t>
      </w:r>
    </w:p>
    <w:p>
      <w:pPr>
        <w:spacing w:after="0" w:line="10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BioXcel controls a majority of the voting power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controlled company, we rely on certain exemptions from the Nasdaq standards that may enable us not to comply with certain Nasdaq corporate governance requirements if BioXcel continues to control a majority of the voting power of our outstanding common stock. Accordingly, you may not have the same protections afforded to stockholders of companies that are subject to all of the corporate governance requirements of The Nasdaq Capital Market.</w:t>
      </w:r>
    </w:p>
    <w:p>
      <w:pPr>
        <w:spacing w:after="0" w:line="17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assets and resources that we acquired from BioXcel may not be sufficient for us to operate as a stand-alone company, and we may experience difficulty in separating our assets and resources from BioXcel.</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Because we have not operated as a stand-alone company in the past, we may have difficulty doing so. We may need to acquire assets and resources in addition to those provided by BioXcel to us, and in connection with the separation, may also face difficulty in separating our resources from BioXcel’s and integrating newly acquired assets into our business. For example, we may need to hire additional personnel to assist with administrative and technical functions, and acquire other office and laboratory equipment for use in the ordinary course operations of our business. If we have difficulty operating as a stand-alone company, fail to acquire assets that we need to run our operations, or incur unexpected costs in separating our business from BioXcel’s business or in integrating newly acquired assets into our business, our financial condition and results of operations will be adversely affected.</w:t>
      </w:r>
    </w:p>
    <w:p>
      <w:pPr>
        <w:spacing w:after="0" w:line="1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You may have difficulty evaluating our business because we have no history as a separate company and our historical financial information may not be representative of our results as a separate company.</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historical financial information does not necessarily reflect the financial condition, results of operations or cash flows that we would have achieved as a separate company during the periods presented or those that we will achieve in the future. Prior to the contribution of our assets from BioXcel, our research and development activities were conducted by BioXcel as part of its broader operations, rather than as an independent division or subsidiary. BioXcel also performed various corporate functions relating to our business. Our historical financial information reflects allocations of corporate expenses from BioXcel for these and similar functions. We believe that these allocations are comparable to the expenses we would have incurred had we operated as a separate company, although we may incur higher expenses as a separate company.</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in accordance with cGMP prescribed by the FDA or to produce an adequate supply of compounds to meet future requirements for clinical trials and commercialization of our products. Drug manufacturing facilities are subject to inspection before the FDA will issue an approval to market a new drug product, and all of the manufacturers that we intend to use must adhere to the cGMP regulations prescribed by the FDA.</w:t>
      </w:r>
    </w:p>
    <w:p>
      <w:pPr>
        <w:spacing w:after="0" w:line="16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current good manufacturing practices, or 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7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strategy for the development and commercialization of our proprietary product candidates may include the formation of collaborative arrangements with third parties. We are a party to two collaboration agreements (Research and Clinical) with Nektar Therapeutics, Inc., or Nektar, relating to Nektar’s NKTR-214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78" w:lineRule="exact"/>
        <w:rPr>
          <w:sz w:val="20"/>
          <w:szCs w:val="20"/>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jc w:val="both"/>
        <w:ind w:right="240" w:firstLine="324"/>
        <w:spacing w:after="0" w:line="288"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jc w:val="both"/>
        <w:ind w:right="580"/>
        <w:spacing w:after="0" w:line="302"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cGCPs, which are regulations and guidelines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enforced by the FDA, the Competent Authorities of the Member States of the European Economic Area, or EEA, and comparable foreign regulatory authorities for all of our products in clinical development.</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Regulatory authorities enforce these cGCPs through periodic inspections of trial sponsors, principal investigators and trial sites. If we or any of our CROs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w:t>
      </w:r>
    </w:p>
    <w:p>
      <w:pPr>
        <w:spacing w:after="0" w:line="1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March 31, 2019, we employed a total of nineteen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300" w:right="6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500" w:hanging="325"/>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 w:lineRule="exact"/>
        <w:rPr>
          <w:rFonts w:ascii="Arial" w:cs="Arial" w:eastAsia="Arial" w:hAnsi="Arial"/>
          <w:sz w:val="18"/>
          <w:szCs w:val="18"/>
          <w:color w:val="auto"/>
        </w:rPr>
      </w:pPr>
    </w:p>
    <w:p>
      <w:pPr>
        <w:ind w:left="1300" w:right="620" w:hanging="32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SaaS, or experience working with the pharma market is limited overall. In addition, many of the companies with which we compete for experienced personnel have greater resources than we have.</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any regulations applicable to us, to provide accurate information to regulatory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300" w:right="10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300" w:right="72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300" w:right="16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 applications pending in the United States and in certain foreign jurisdictions. We own Patent Cooperation Treaty, or PCT, patent applications relating to our platform technologies covering methods of use and applications of the platform technologies. To date, no patents have been issued to us specifically covering our product candidates, and we cannot be certain that any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300" w:right="120" w:hanging="325"/>
        <w:spacing w:after="0" w:line="258"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300" w:right="16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300" w:right="28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granted patents may be held invalid or unenforceable as a result of legal challenges by third parties; and</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300" w:hanging="325"/>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obligations;</w:t>
      </w:r>
    </w:p>
    <w:p>
      <w:pPr>
        <w:spacing w:after="0" w:line="20" w:lineRule="exact"/>
        <w:rPr>
          <w:rFonts w:ascii="Arial" w:cs="Arial" w:eastAsia="Arial" w:hAnsi="Arial"/>
          <w:sz w:val="17"/>
          <w:szCs w:val="17"/>
          <w:color w:val="auto"/>
        </w:rPr>
      </w:pPr>
    </w:p>
    <w:p>
      <w:pPr>
        <w:ind w:left="1300" w:right="140" w:hanging="325"/>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300" w:right="120" w:hanging="325"/>
        <w:spacing w:after="0" w:line="26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We cannot guarantee that our products, or manufacture or use of our product candidates, will not infringe third-party patents. 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some patent applications in the United States may be maintained in secrecy until the patents are issued;</w:t>
      </w:r>
    </w:p>
    <w:p>
      <w:pPr>
        <w:spacing w:after="0" w:line="46" w:lineRule="exact"/>
        <w:rPr>
          <w:rFonts w:ascii="Arial" w:cs="Arial" w:eastAsia="Arial" w:hAnsi="Arial"/>
          <w:sz w:val="16"/>
          <w:szCs w:val="16"/>
          <w:color w:val="auto"/>
        </w:rPr>
      </w:pPr>
    </w:p>
    <w:p>
      <w:pPr>
        <w:ind w:left="1300" w:right="200"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300" w:right="360" w:hanging="325"/>
        <w:spacing w:after="0" w:line="28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1" w:lineRule="exact"/>
        <w:rPr>
          <w:rFonts w:ascii="Arial" w:cs="Arial" w:eastAsia="Arial" w:hAnsi="Arial"/>
          <w:sz w:val="16"/>
          <w:szCs w:val="16"/>
          <w:color w:val="auto"/>
        </w:rPr>
      </w:pPr>
    </w:p>
    <w:p>
      <w:pPr>
        <w:ind w:left="1300" w:right="380" w:hanging="325"/>
        <w:spacing w:after="0" w:line="277"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Changes to patent law, including the Leahy-Smith America Invests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300" w:right="3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300" w:right="21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ind w:left="1300" w:right="23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300" w:right="65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secure resources and the necessary personnel to conduct clinical trials on our desired schedule;</w:t>
      </w:r>
    </w:p>
    <w:p>
      <w:pPr>
        <w:ind w:left="1300" w:right="7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300" w:right="15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300" w:right="31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300" w:right="21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32" w:lineRule="exact"/>
        <w:rPr>
          <w:rFonts w:ascii="Arial" w:cs="Arial" w:eastAsia="Arial" w:hAnsi="Arial"/>
          <w:sz w:val="16"/>
          <w:szCs w:val="16"/>
          <w:color w:val="auto"/>
        </w:rPr>
      </w:pPr>
    </w:p>
    <w:p>
      <w:pPr>
        <w:ind w:left="1300" w:right="73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300" w:right="7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300" w:right="5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4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300" w:right="180"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300" w:hanging="325"/>
        <w:spacing w:after="0" w:line="281"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and economic conditions may negatively impact our business, financial condition and share price.</w:t>
      </w:r>
    </w:p>
    <w:p>
      <w:pPr>
        <w:spacing w:after="0" w:line="23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Concerns over inflation, energy costs, geopolitical issues, the U.S. mortgage market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Failure to secure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necessary financing in a timely manner and on favorable terms could have a material adverse effect on our growth strategy, financial performance, and share price and could require us to delay or abandon development or commercialization plans.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March 31, 2019, our directors, executive officers and principal stockholders, and their respective affiliates, beneficially owned approximately 61% of our outstanding shares of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might harm the market price of our common stock by:</w:t>
      </w:r>
    </w:p>
    <w:p>
      <w:pPr>
        <w:spacing w:after="0" w:line="178"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300" w:right="220" w:hanging="325"/>
        <w:spacing w:after="0" w:line="261"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are able to avail ourselves of reduced disclosure requirements applicable to emerging growth companies and smaller reporting companies, which could make our common stock less attractive to investors.</w:t>
      </w:r>
    </w:p>
    <w:p>
      <w:pPr>
        <w:spacing w:after="0" w:line="18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3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70"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3"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300" w:right="520" w:hanging="325"/>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300" w:right="100" w:hanging="325"/>
        <w:spacing w:after="0" w:line="261"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compliance matters.</w:t>
      </w:r>
    </w:p>
    <w:p>
      <w:pPr>
        <w:spacing w:after="0" w:line="170"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As a publicly traded company that is separate from BioXcel, we will incur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 Our management determined that our disclosure controls and procedures and internal controls were ineffective as of December 31, 2017 and 2016 and if they continue to be ineffective could result in material misstatements in our financial statements.</w:t>
      </w:r>
    </w:p>
    <w:p>
      <w:pPr>
        <w:spacing w:after="0" w:line="15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In connection with the audit of our financial statements for the years ended December 31, 2017 and 2016, our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management concluded that we had material weaknesses in its internal controls because we did not have adequately designed internal controls to ensure the timely preparation and review of the accounting for certain complex, non-routine transactions by those with appropriate technical expertise, which was necessary to provide reasonable assurance that our financial statements and related disclosures would be prepared in accordance with generally accepted accounting principles in the United States of America.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 This investment may result in increased general and administrative expenses and a diversion of management’s time and attention from revenue-generating activities to compliance activities. If additional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purchasers of our common stock. We urge our stockholders to consult with their legal and tax advisors with respect to any such legislation and the potential tax consequences of investing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00" w:type="dxa"/>
            <w:vAlign w:val="bottom"/>
            <w:gridSpan w:val="8"/>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File No. Exhibit Filing Date   Herewith</w:t>
            </w:r>
          </w:p>
        </w:tc>
        <w:tc>
          <w:tcPr>
            <w:tcW w:w="0" w:type="dxa"/>
            <w:vAlign w:val="bottom"/>
          </w:tcPr>
          <w:p>
            <w:pPr>
              <w:spacing w:after="0"/>
              <w:rPr>
                <w:sz w:val="1"/>
                <w:szCs w:val="1"/>
                <w:color w:val="auto"/>
              </w:rPr>
            </w:pPr>
          </w:p>
        </w:tc>
      </w:tr>
      <w:tr>
        <w:trPr>
          <w:trHeight w:val="169"/>
        </w:trPr>
        <w:tc>
          <w:tcPr>
            <w:tcW w:w="700" w:type="dxa"/>
            <w:vAlign w:val="bottom"/>
          </w:tcPr>
          <w:p>
            <w:pPr>
              <w:jc w:val="right"/>
              <w:ind w:right="113"/>
              <w:spacing w:after="0" w:line="170"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10"/>
          </w:tcPr>
          <w:p>
            <w:pPr>
              <w:spacing w:after="0" w:line="170" w:lineRule="exact"/>
              <w:rPr>
                <w:rFonts w:ascii="Arial" w:cs="Arial" w:eastAsia="Arial" w:hAnsi="Arial"/>
                <w:sz w:val="18"/>
                <w:szCs w:val="18"/>
                <w:color w:val="0000EE"/>
              </w:rPr>
            </w:pPr>
            <w:hyperlink r:id="rId78">
              <w:r>
                <w:rPr>
                  <w:rFonts w:ascii="Arial" w:cs="Arial" w:eastAsia="Arial" w:hAnsi="Arial"/>
                  <w:sz w:val="18"/>
                  <w:szCs w:val="18"/>
                  <w:color w:val="0000EE"/>
                </w:rPr>
                <w:t>Amended and Restated Certificate of Incorporation.</w:t>
              </w:r>
            </w:hyperlink>
          </w:p>
        </w:tc>
        <w:tc>
          <w:tcPr>
            <w:tcW w:w="480" w:type="dxa"/>
            <w:vAlign w:val="bottom"/>
          </w:tcPr>
          <w:p>
            <w:pPr>
              <w:jc w:val="center"/>
              <w:spacing w:after="0" w:line="170" w:lineRule="exact"/>
              <w:rPr>
                <w:sz w:val="20"/>
                <w:szCs w:val="20"/>
                <w:color w:val="auto"/>
              </w:rPr>
            </w:pPr>
            <w:r>
              <w:rPr>
                <w:rFonts w:ascii="Arial" w:cs="Arial" w:eastAsia="Arial" w:hAnsi="Arial"/>
                <w:sz w:val="18"/>
                <w:szCs w:val="18"/>
                <w:color w:val="auto"/>
                <w:w w:val="99"/>
              </w:rPr>
              <w:t>8-K</w:t>
            </w:r>
          </w:p>
        </w:tc>
        <w:tc>
          <w:tcPr>
            <w:tcW w:w="660" w:type="dxa"/>
            <w:vAlign w:val="bottom"/>
          </w:tcPr>
          <w:p>
            <w:pPr>
              <w:ind w:left="100"/>
              <w:spacing w:after="0" w:line="170" w:lineRule="exact"/>
              <w:rPr>
                <w:sz w:val="20"/>
                <w:szCs w:val="20"/>
                <w:color w:val="auto"/>
              </w:rPr>
            </w:pPr>
            <w:r>
              <w:rPr>
                <w:rFonts w:ascii="Arial" w:cs="Arial" w:eastAsia="Arial" w:hAnsi="Arial"/>
                <w:sz w:val="18"/>
                <w:szCs w:val="18"/>
                <w:color w:val="auto"/>
              </w:rPr>
              <w:t>001-</w:t>
            </w:r>
          </w:p>
        </w:tc>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3.1</w:t>
            </w:r>
          </w:p>
        </w:tc>
        <w:tc>
          <w:tcPr>
            <w:tcW w:w="1780" w:type="dxa"/>
            <w:vAlign w:val="bottom"/>
          </w:tcPr>
          <w:p>
            <w:pPr>
              <w:jc w:val="right"/>
              <w:ind w:right="891"/>
              <w:spacing w:after="0" w:line="170" w:lineRule="exact"/>
              <w:rPr>
                <w:sz w:val="20"/>
                <w:szCs w:val="20"/>
                <w:color w:val="auto"/>
              </w:rPr>
            </w:pPr>
            <w:r>
              <w:rPr>
                <w:rFonts w:ascii="Arial" w:cs="Arial" w:eastAsia="Arial" w:hAnsi="Arial"/>
                <w:sz w:val="18"/>
                <w:szCs w:val="18"/>
                <w:color w:val="auto"/>
                <w:w w:val="97"/>
              </w:rPr>
              <w:t>3/13/2018</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4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38410</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0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880" w:type="dxa"/>
            <w:vAlign w:val="bottom"/>
            <w:gridSpan w:val="11"/>
          </w:tcPr>
          <w:p>
            <w:pPr>
              <w:spacing w:after="0"/>
              <w:rPr>
                <w:rFonts w:ascii="Arial" w:cs="Arial" w:eastAsia="Arial" w:hAnsi="Arial"/>
                <w:sz w:val="18"/>
                <w:szCs w:val="18"/>
                <w:color w:val="0000EE"/>
              </w:rPr>
            </w:pPr>
            <w:hyperlink r:id="rId79">
              <w:r>
                <w:rPr>
                  <w:rFonts w:ascii="Arial" w:cs="Arial" w:eastAsia="Arial" w:hAnsi="Arial"/>
                  <w:sz w:val="18"/>
                  <w:szCs w:val="18"/>
                  <w:color w:val="0000EE"/>
                </w:rPr>
                <w:t>Amended and Restated Bylaws.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ind w:left="100"/>
              <w:spacing w:after="0"/>
              <w:rPr>
                <w:sz w:val="20"/>
                <w:szCs w:val="20"/>
                <w:color w:val="auto"/>
              </w:rPr>
            </w:pPr>
            <w:r>
              <w:rPr>
                <w:rFonts w:ascii="Arial" w:cs="Arial" w:eastAsia="Arial" w:hAnsi="Arial"/>
                <w:sz w:val="18"/>
                <w:szCs w:val="18"/>
                <w:color w:val="auto"/>
              </w:rPr>
              <w:t>001-</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w w:val="97"/>
              </w:rPr>
              <w:t>3/13/2018</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38410</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00" w:type="dxa"/>
            <w:vAlign w:val="bottom"/>
          </w:tcPr>
          <w:p>
            <w:pPr>
              <w:jc w:val="right"/>
              <w:ind w:right="113"/>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Certification of Principal Executive Officer Pursuant to Rules 13a-</w:t>
            </w:r>
          </w:p>
        </w:tc>
        <w:tc>
          <w:tcPr>
            <w:tcW w:w="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14(a) and 15d-14(a) under the Securities Exchange Act of 1934, as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vMerge w:val="restart"/>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80" w:type="dxa"/>
            <w:vAlign w:val="bottom"/>
            <w:gridSpan w:val="11"/>
            <w:vMerge w:val="restart"/>
          </w:tcPr>
          <w:p>
            <w:pPr>
              <w:spacing w:after="0" w:line="196" w:lineRule="exact"/>
              <w:rPr>
                <w:sz w:val="20"/>
                <w:szCs w:val="20"/>
                <w:color w:val="auto"/>
              </w:rPr>
            </w:pPr>
            <w:r>
              <w:rPr>
                <w:rFonts w:ascii="Arial" w:cs="Arial" w:eastAsia="Arial" w:hAnsi="Arial"/>
                <w:sz w:val="18"/>
                <w:szCs w:val="18"/>
                <w:color w:val="0000EE"/>
                <w:w w:val="97"/>
              </w:rPr>
              <w:t>Adopted Pursuant to Section 302 of the Sarbanes-Oxley Act of</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80" w:type="dxa"/>
            <w:vAlign w:val="bottom"/>
            <w:gridSpan w:val="11"/>
            <w:vMerge w:val="continue"/>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60" w:type="dxa"/>
            <w:vAlign w:val="bottom"/>
            <w:gridSpan w:val="3"/>
          </w:tcPr>
          <w:p>
            <w:pPr>
              <w:ind w:left="160"/>
              <w:spacing w:after="0" w:line="196" w:lineRule="exact"/>
              <w:rPr>
                <w:sz w:val="20"/>
                <w:szCs w:val="20"/>
                <w:color w:val="auto"/>
              </w:rPr>
            </w:pPr>
            <w:r>
              <w:rPr>
                <w:rFonts w:ascii="Arial" w:cs="Arial" w:eastAsia="Arial" w:hAnsi="Arial"/>
                <w:sz w:val="18"/>
                <w:szCs w:val="18"/>
                <w:color w:val="0000EE"/>
                <w:w w:val="84"/>
              </w:rPr>
              <w:t>2002.</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jc w:val="right"/>
              <w:ind w:right="113"/>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Certification of Principal Financial Officer Pursuant to Rules 13a-</w:t>
            </w:r>
          </w:p>
        </w:tc>
        <w:tc>
          <w:tcPr>
            <w:tcW w:w="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11"/>
          </w:tcPr>
          <w:p>
            <w:pPr>
              <w:spacing w:after="0" w:line="196" w:lineRule="exact"/>
              <w:rPr>
                <w:sz w:val="20"/>
                <w:szCs w:val="20"/>
                <w:color w:val="auto"/>
              </w:rPr>
            </w:pPr>
            <w:r>
              <w:rPr>
                <w:rFonts w:ascii="Arial" w:cs="Arial" w:eastAsia="Arial" w:hAnsi="Arial"/>
                <w:sz w:val="18"/>
                <w:szCs w:val="18"/>
                <w:color w:val="0000EE"/>
                <w:w w:val="90"/>
              </w:rPr>
              <w:t>14(a) and 15d-14(a) under the Securities Exchange Act of 1934, as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vMerge w:val="restart"/>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80" w:type="dxa"/>
            <w:vAlign w:val="bottom"/>
            <w:gridSpan w:val="11"/>
            <w:vMerge w:val="restart"/>
          </w:tcPr>
          <w:p>
            <w:pPr>
              <w:spacing w:after="0" w:line="196" w:lineRule="exact"/>
              <w:rPr>
                <w:sz w:val="20"/>
                <w:szCs w:val="20"/>
                <w:color w:val="auto"/>
              </w:rPr>
            </w:pPr>
            <w:r>
              <w:rPr>
                <w:rFonts w:ascii="Arial" w:cs="Arial" w:eastAsia="Arial" w:hAnsi="Arial"/>
                <w:sz w:val="18"/>
                <w:szCs w:val="18"/>
                <w:color w:val="0000EE"/>
                <w:w w:val="97"/>
              </w:rPr>
              <w:t>Adopted Pursuant to Section 302 of the Sarbanes-Oxley Act of</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80" w:type="dxa"/>
            <w:vAlign w:val="bottom"/>
            <w:gridSpan w:val="11"/>
            <w:vMerge w:val="continue"/>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60" w:type="dxa"/>
            <w:vAlign w:val="bottom"/>
            <w:gridSpan w:val="3"/>
          </w:tcPr>
          <w:p>
            <w:pPr>
              <w:ind w:left="160"/>
              <w:spacing w:after="0" w:line="196" w:lineRule="exact"/>
              <w:rPr>
                <w:sz w:val="20"/>
                <w:szCs w:val="20"/>
                <w:color w:val="auto"/>
              </w:rPr>
            </w:pPr>
            <w:r>
              <w:rPr>
                <w:rFonts w:ascii="Arial" w:cs="Arial" w:eastAsia="Arial" w:hAnsi="Arial"/>
                <w:sz w:val="18"/>
                <w:szCs w:val="18"/>
                <w:color w:val="0000EE"/>
                <w:w w:val="84"/>
              </w:rPr>
              <w:t>2002.</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jc w:val="right"/>
              <w:ind w:right="113"/>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47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Certification of Principal Executive Officer Pursuant to 18 U.S.C.</w:t>
            </w:r>
          </w:p>
        </w:tc>
        <w:tc>
          <w:tcPr>
            <w:tcW w:w="14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vMerge w:val="restart"/>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11"/>
          </w:tcPr>
          <w:p>
            <w:pPr>
              <w:spacing w:after="0" w:line="196" w:lineRule="exact"/>
              <w:rPr>
                <w:sz w:val="20"/>
                <w:szCs w:val="20"/>
                <w:color w:val="auto"/>
              </w:rPr>
            </w:pPr>
            <w:r>
              <w:rPr>
                <w:rFonts w:ascii="Arial" w:cs="Arial" w:eastAsia="Arial" w:hAnsi="Arial"/>
                <w:sz w:val="18"/>
                <w:szCs w:val="18"/>
                <w:color w:val="0000EE"/>
              </w:rPr>
              <w:t>Oxley Act of 2002.</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jc w:val="right"/>
              <w:ind w:right="113"/>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0000EE"/>
                <w:w w:val="96"/>
              </w:rPr>
              <w:t>Certification of Principal Financial Officer Pursuant to 18 U.S.C.</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vMerge w:val="restart"/>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gridSpan w:val="7"/>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11"/>
          </w:tcPr>
          <w:p>
            <w:pPr>
              <w:spacing w:after="0" w:line="196" w:lineRule="exact"/>
              <w:rPr>
                <w:sz w:val="20"/>
                <w:szCs w:val="20"/>
                <w:color w:val="auto"/>
              </w:rPr>
            </w:pPr>
            <w:r>
              <w:rPr>
                <w:rFonts w:ascii="Arial" w:cs="Arial" w:eastAsia="Arial" w:hAnsi="Arial"/>
                <w:sz w:val="18"/>
                <w:szCs w:val="18"/>
                <w:color w:val="0000EE"/>
              </w:rPr>
              <w:t>Oxley Act of 2002.</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vMerge w:val="restart"/>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453"/>
        </w:trPr>
        <w:tc>
          <w:tcPr>
            <w:tcW w:w="7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7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7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7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auto"/>
                <w:w w:val="99"/>
              </w:rPr>
              <w:t>XBRL Taxonomy Extension Presentation Linkbase Document</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jc w:val="center"/>
              <w:ind w:left="7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68580</wp:posOffset>
            </wp:positionV>
            <wp:extent cx="13893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00" w:hanging="297"/>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97"/>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Dated: May 7, 2019</w:t>
            </w: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4540" w:type="dxa"/>
            <w:vAlign w:val="bottom"/>
          </w:tcPr>
          <w:p>
            <w:pPr>
              <w:spacing w:after="0"/>
              <w:rPr>
                <w:sz w:val="20"/>
                <w:szCs w:val="20"/>
                <w:color w:val="auto"/>
              </w:rPr>
            </w:pPr>
            <w:r>
              <w:rPr>
                <w:rFonts w:ascii="Arial" w:cs="Arial" w:eastAsia="Arial" w:hAnsi="Arial"/>
                <w:sz w:val="18"/>
                <w:szCs w:val="18"/>
                <w:color w:val="auto"/>
              </w:rPr>
              <w:t>Dated: May 7, 2019</w:t>
            </w: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Vimal Mehta, Ph.D., certify that:</w:t>
      </w:r>
    </w:p>
    <w:p>
      <w:pPr>
        <w:spacing w:after="0" w:line="374" w:lineRule="exact"/>
        <w:rPr>
          <w:sz w:val="20"/>
          <w:szCs w:val="20"/>
          <w:color w:val="auto"/>
        </w:rPr>
      </w:pPr>
    </w:p>
    <w:p>
      <w:pPr>
        <w:ind w:left="480" w:right="519" w:hanging="329"/>
        <w:spacing w:after="0" w:line="27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2019 of BioXcel Therapeutics, Inc.;</w:t>
      </w:r>
    </w:p>
    <w:p>
      <w:pPr>
        <w:spacing w:after="0" w:line="170" w:lineRule="exact"/>
        <w:rPr>
          <w:rFonts w:ascii="Arial" w:cs="Arial" w:eastAsia="Arial" w:hAnsi="Arial"/>
          <w:sz w:val="18"/>
          <w:szCs w:val="18"/>
          <w:color w:val="auto"/>
        </w:rPr>
      </w:pPr>
    </w:p>
    <w:p>
      <w:pPr>
        <w:ind w:left="480" w:right="519" w:hanging="329"/>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399" w:hanging="329"/>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439" w:hanging="329"/>
        <w:spacing w:after="0" w:line="342"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83" w:lineRule="exact"/>
        <w:rPr>
          <w:rFonts w:ascii="Arial" w:cs="Arial" w:eastAsia="Arial" w:hAnsi="Arial"/>
          <w:sz w:val="16"/>
          <w:szCs w:val="16"/>
          <w:color w:val="auto"/>
        </w:rPr>
      </w:pPr>
    </w:p>
    <w:p>
      <w:pPr>
        <w:ind w:left="960" w:right="159" w:hanging="323"/>
        <w:spacing w:after="0" w:line="259" w:lineRule="auto"/>
        <w:tabs>
          <w:tab w:leader="none" w:pos="16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600" w:hanging="963"/>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ind w:left="960" w:right="259" w:hanging="323"/>
        <w:spacing w:after="0" w:line="264" w:lineRule="auto"/>
        <w:tabs>
          <w:tab w:leader="none" w:pos="16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960" w:right="299" w:hanging="323"/>
        <w:spacing w:after="0" w:line="259" w:lineRule="auto"/>
        <w:tabs>
          <w:tab w:leader="none" w:pos="16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80" w:right="199" w:hanging="329"/>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60" w:right="419" w:hanging="323"/>
        <w:spacing w:after="0" w:line="264" w:lineRule="auto"/>
        <w:tabs>
          <w:tab w:leader="none" w:pos="16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60" w:right="639" w:hanging="323"/>
        <w:spacing w:after="0" w:line="277" w:lineRule="auto"/>
        <w:tabs>
          <w:tab w:leader="none" w:pos="16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Date: May 7, 2019</w:t>
            </w:r>
          </w:p>
        </w:tc>
        <w:tc>
          <w:tcPr>
            <w:tcW w:w="5840" w:type="dxa"/>
            <w:vAlign w:val="bottom"/>
            <w:gridSpan w:val="2"/>
          </w:tcPr>
          <w:p>
            <w:pPr>
              <w:ind w:left="1500"/>
              <w:spacing w:after="0"/>
              <w:rPr>
                <w:sz w:val="20"/>
                <w:szCs w:val="20"/>
                <w:color w:val="auto"/>
              </w:rPr>
            </w:pPr>
            <w:r>
              <w:rPr>
                <w:rFonts w:ascii="Arial" w:cs="Arial" w:eastAsia="Arial" w:hAnsi="Arial"/>
                <w:sz w:val="18"/>
                <w:szCs w:val="18"/>
                <w:color w:val="auto"/>
              </w:rPr>
              <w:t>By: /s/ Vimal Mehta</w:t>
            </w:r>
          </w:p>
        </w:tc>
        <w:tc>
          <w:tcPr>
            <w:tcW w:w="20" w:type="dxa"/>
            <w:vAlign w:val="bottom"/>
          </w:tcPr>
          <w:p>
            <w:pPr>
              <w:spacing w:after="0"/>
              <w:rPr>
                <w:sz w:val="20"/>
                <w:szCs w:val="20"/>
                <w:color w:val="auto"/>
              </w:rPr>
            </w:pPr>
          </w:p>
        </w:tc>
      </w:tr>
      <w:tr>
        <w:trPr>
          <w:trHeight w:val="195"/>
        </w:trPr>
        <w:tc>
          <w:tcPr>
            <w:tcW w:w="2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Vimal Mehta, Ph.D.</w:t>
            </w:r>
          </w:p>
        </w:tc>
        <w:tc>
          <w:tcPr>
            <w:tcW w:w="2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12"/>
        </w:trPr>
        <w:tc>
          <w:tcPr>
            <w:tcW w:w="2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Richard Steinhart, certify that:</w:t>
      </w:r>
    </w:p>
    <w:p>
      <w:pPr>
        <w:spacing w:after="0" w:line="374" w:lineRule="exact"/>
        <w:rPr>
          <w:sz w:val="20"/>
          <w:szCs w:val="20"/>
          <w:color w:val="auto"/>
        </w:rPr>
      </w:pPr>
    </w:p>
    <w:p>
      <w:pPr>
        <w:ind w:left="480" w:right="519" w:hanging="329"/>
        <w:spacing w:after="0" w:line="277"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2019 of BioXcel Therapeutics, Inc.;</w:t>
      </w:r>
    </w:p>
    <w:p>
      <w:pPr>
        <w:spacing w:after="0" w:line="170" w:lineRule="exact"/>
        <w:rPr>
          <w:rFonts w:ascii="Arial" w:cs="Arial" w:eastAsia="Arial" w:hAnsi="Arial"/>
          <w:sz w:val="18"/>
          <w:szCs w:val="18"/>
          <w:color w:val="auto"/>
        </w:rPr>
      </w:pPr>
    </w:p>
    <w:p>
      <w:pPr>
        <w:ind w:left="480" w:right="519" w:hanging="329"/>
        <w:spacing w:after="0" w:line="26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399" w:hanging="329"/>
        <w:spacing w:after="0" w:line="26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439" w:hanging="329"/>
        <w:spacing w:after="0" w:line="342"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120" w:right="219" w:hanging="321"/>
        <w:spacing w:after="0" w:line="259"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20" w:hanging="321"/>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20" w:right="399" w:hanging="321"/>
        <w:spacing w:after="0" w:line="264"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20" w:right="179" w:hanging="321"/>
        <w:spacing w:after="0" w:line="259"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80" w:right="199" w:hanging="329"/>
        <w:spacing w:after="0" w:line="26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120" w:right="179" w:hanging="321"/>
        <w:spacing w:after="0" w:line="264"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20" w:right="319" w:hanging="321"/>
        <w:spacing w:after="0" w:line="277"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Date: May 7, 2019</w:t>
            </w:r>
          </w:p>
        </w:tc>
        <w:tc>
          <w:tcPr>
            <w:tcW w:w="5840" w:type="dxa"/>
            <w:vAlign w:val="bottom"/>
            <w:gridSpan w:val="2"/>
          </w:tcPr>
          <w:p>
            <w:pPr>
              <w:ind w:left="1500"/>
              <w:spacing w:after="0"/>
              <w:rPr>
                <w:sz w:val="20"/>
                <w:szCs w:val="20"/>
                <w:color w:val="auto"/>
              </w:rPr>
            </w:pPr>
            <w:r>
              <w:rPr>
                <w:rFonts w:ascii="Arial" w:cs="Arial" w:eastAsia="Arial" w:hAnsi="Arial"/>
                <w:sz w:val="18"/>
                <w:szCs w:val="18"/>
                <w:color w:val="auto"/>
              </w:rPr>
              <w:t>By: /s/ Richard Steinhart</w:t>
            </w:r>
          </w:p>
        </w:tc>
        <w:tc>
          <w:tcPr>
            <w:tcW w:w="20" w:type="dxa"/>
            <w:vAlign w:val="bottom"/>
          </w:tcPr>
          <w:p>
            <w:pPr>
              <w:spacing w:after="0"/>
              <w:rPr>
                <w:sz w:val="20"/>
                <w:szCs w:val="20"/>
                <w:color w:val="auto"/>
              </w:rPr>
            </w:pPr>
          </w:p>
        </w:tc>
      </w:tr>
      <w:tr>
        <w:trPr>
          <w:trHeight w:val="195"/>
        </w:trPr>
        <w:tc>
          <w:tcPr>
            <w:tcW w:w="2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Richard Steinhart</w:t>
            </w:r>
          </w:p>
        </w:tc>
        <w:tc>
          <w:tcPr>
            <w:tcW w:w="2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88"/>
        </w:trPr>
        <w:tc>
          <w:tcPr>
            <w:tcW w:w="2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0" w:name="page71"/>
    <w:bookmarkEnd w:id="70"/>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0" w:right="19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160" w:right="2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March 31,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960" w:right="299" w:hanging="323"/>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right="419" w:hanging="323"/>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Date: May 7, 2019</w:t>
            </w:r>
          </w:p>
        </w:tc>
        <w:tc>
          <w:tcPr>
            <w:tcW w:w="5940" w:type="dxa"/>
            <w:vAlign w:val="bottom"/>
            <w:gridSpan w:val="2"/>
          </w:tcPr>
          <w:p>
            <w:pPr>
              <w:ind w:left="1420"/>
              <w:spacing w:after="0"/>
              <w:rPr>
                <w:sz w:val="20"/>
                <w:szCs w:val="20"/>
                <w:color w:val="auto"/>
              </w:rPr>
            </w:pPr>
            <w:r>
              <w:rPr>
                <w:rFonts w:ascii="Arial" w:cs="Arial" w:eastAsia="Arial" w:hAnsi="Arial"/>
                <w:sz w:val="18"/>
                <w:szCs w:val="18"/>
                <w:color w:val="auto"/>
              </w:rPr>
              <w:t>By:  /s/ Vimal Mehta</w:t>
            </w:r>
          </w:p>
        </w:tc>
        <w:tc>
          <w:tcPr>
            <w:tcW w:w="20" w:type="dxa"/>
            <w:vAlign w:val="bottom"/>
          </w:tcPr>
          <w:p>
            <w:pPr>
              <w:spacing w:after="0"/>
              <w:rPr>
                <w:sz w:val="20"/>
                <w:szCs w:val="20"/>
                <w:color w:val="auto"/>
              </w:rPr>
            </w:pPr>
          </w:p>
        </w:tc>
      </w:tr>
      <w:tr>
        <w:trPr>
          <w:trHeight w:val="195"/>
        </w:trPr>
        <w:tc>
          <w:tcPr>
            <w:tcW w:w="2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c>
          <w:tcPr>
            <w:tcW w:w="2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12"/>
        </w:trPr>
        <w:tc>
          <w:tcPr>
            <w:tcW w:w="2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1" w:name="page72"/>
    <w:bookmarkEnd w:id="71"/>
    <w:p>
      <w:pPr>
        <w:jc w:val="right"/>
        <w:ind w:right="13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600" w:right="19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160" w:right="2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March 31,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960" w:right="299" w:hanging="323"/>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right="419" w:hanging="323"/>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Date: May 7, 2019</w:t>
            </w:r>
          </w:p>
        </w:tc>
        <w:tc>
          <w:tcPr>
            <w:tcW w:w="5840" w:type="dxa"/>
            <w:vAlign w:val="bottom"/>
            <w:gridSpan w:val="2"/>
          </w:tcPr>
          <w:p>
            <w:pPr>
              <w:ind w:left="1500"/>
              <w:spacing w:after="0"/>
              <w:rPr>
                <w:sz w:val="20"/>
                <w:szCs w:val="20"/>
                <w:color w:val="auto"/>
              </w:rPr>
            </w:pPr>
            <w:r>
              <w:rPr>
                <w:rFonts w:ascii="Arial" w:cs="Arial" w:eastAsia="Arial" w:hAnsi="Arial"/>
                <w:sz w:val="18"/>
                <w:szCs w:val="18"/>
                <w:color w:val="auto"/>
              </w:rPr>
              <w:t>By: /s/ Richard Steinhart</w:t>
            </w:r>
          </w:p>
        </w:tc>
        <w:tc>
          <w:tcPr>
            <w:tcW w:w="20" w:type="dxa"/>
            <w:vAlign w:val="bottom"/>
          </w:tcPr>
          <w:p>
            <w:pPr>
              <w:spacing w:after="0"/>
              <w:rPr>
                <w:sz w:val="20"/>
                <w:szCs w:val="20"/>
                <w:color w:val="auto"/>
              </w:rPr>
            </w:pPr>
          </w:p>
        </w:tc>
      </w:tr>
      <w:tr>
        <w:trPr>
          <w:trHeight w:val="195"/>
        </w:trPr>
        <w:tc>
          <w:tcPr>
            <w:tcW w:w="2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Richard Steinhart</w:t>
            </w:r>
          </w:p>
        </w:tc>
        <w:tc>
          <w:tcPr>
            <w:tcW w:w="2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412"/>
        </w:trPr>
        <w:tc>
          <w:tcPr>
            <w:tcW w:w="2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Roman"/>
      <w:start w:val="3"/>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8" Type="http://schemas.openxmlformats.org/officeDocument/2006/relationships/hyperlink" Target="http://www.sec.gov/Archives/edgar/data/1357874/000119312519094641/d727819dex31.htm" TargetMode="External"/><Relationship Id="rId79" Type="http://schemas.openxmlformats.org/officeDocument/2006/relationships/hyperlink" Target="http://www.sec.gov/Archives/edgar/data/1357874/000119312519094641/d7278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2019-12-02T22:28:50Z</dcterms:created>
  <dcterms:modified xsi:type="dcterms:W3CDTF">2019-12-02T22:28:50Z</dcterms:modified>
</cp:coreProperties>
</file>