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144145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ind w:left="3300" w:right="280" w:hanging="3022"/>
        <w:spacing w:after="0" w:line="375" w:lineRule="auto"/>
        <w:tabs>
          <w:tab w:leader="none" w:pos="73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720" w:hanging="442"/>
        <w:spacing w:after="0"/>
        <w:tabs>
          <w:tab w:leader="none" w:pos="7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5" w:lineRule="exact"/>
        <w:rPr>
          <w:sz w:val="24"/>
          <w:szCs w:val="24"/>
          <w:color w:val="auto"/>
        </w:rPr>
      </w:pPr>
    </w:p>
    <w:tbl>
      <w:tblPr>
        <w:tblLayout w:type="fixed"/>
        <w:tblInd w:w="1460" w:type="dxa"/>
        <w:tblCellMar>
          <w:top w:w="0" w:type="dxa"/>
          <w:left w:w="0" w:type="dxa"/>
          <w:bottom w:w="0" w:type="dxa"/>
          <w:right w:w="0" w:type="dxa"/>
        </w:tblCellMar>
      </w:tblPr>
      <w:tr>
        <w:trPr>
          <w:trHeight w:val="238"/>
        </w:trPr>
        <w:tc>
          <w:tcPr>
            <w:tcW w:w="5440" w:type="dxa"/>
            <w:vAlign w:val="bottom"/>
            <w:gridSpan w:val="3"/>
          </w:tcPr>
          <w:p>
            <w:pPr>
              <w:ind w:left="19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13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236"/>
        </w:trPr>
        <w:tc>
          <w:tcPr>
            <w:tcW w:w="2360" w:type="dxa"/>
            <w:vAlign w:val="bottom"/>
          </w:tcPr>
          <w:p>
            <w:pPr>
              <w:spacing w:after="0"/>
              <w:rPr>
                <w:sz w:val="20"/>
                <w:szCs w:val="20"/>
                <w:color w:val="auto"/>
              </w:rPr>
            </w:pPr>
          </w:p>
        </w:tc>
        <w:tc>
          <w:tcPr>
            <w:tcW w:w="30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Commission File Number: 001-38410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2360" w:type="dxa"/>
            <w:vAlign w:val="bottom"/>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2"/>
        </w:trPr>
        <w:tc>
          <w:tcPr>
            <w:tcW w:w="5440" w:type="dxa"/>
            <w:vAlign w:val="bottom"/>
            <w:gridSpan w:val="3"/>
          </w:tcPr>
          <w:p>
            <w:pPr>
              <w:jc w:val="center"/>
              <w:ind w:left="1781"/>
              <w:spacing w:after="0"/>
              <w:rPr>
                <w:sz w:val="20"/>
                <w:szCs w:val="20"/>
                <w:color w:val="auto"/>
              </w:rPr>
            </w:pPr>
            <w:r>
              <w:rPr>
                <w:rFonts w:ascii="Times New Roman" w:cs="Times New Roman" w:eastAsia="Times New Roman" w:hAnsi="Times New Roman"/>
                <w:sz w:val="25"/>
                <w:szCs w:val="25"/>
                <w:b w:val="1"/>
                <w:bCs w:val="1"/>
                <w:color w:val="auto"/>
              </w:rPr>
              <w:t>BioXcel Therapeutics, Inc.</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440" w:type="dxa"/>
            <w:vAlign w:val="bottom"/>
            <w:gridSpan w:val="3"/>
          </w:tcPr>
          <w:p>
            <w:pPr>
              <w:jc w:val="center"/>
              <w:ind w:left="1781"/>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360" w:type="dxa"/>
            <w:vAlign w:val="bottom"/>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5440" w:type="dxa"/>
            <w:vAlign w:val="bottom"/>
            <w:gridSpan w:val="3"/>
          </w:tcPr>
          <w:p>
            <w:pPr>
              <w:jc w:val="center"/>
              <w:ind w:right="31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36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82-1386754</w:t>
            </w:r>
          </w:p>
        </w:tc>
        <w:tc>
          <w:tcPr>
            <w:tcW w:w="0" w:type="dxa"/>
            <w:vAlign w:val="bottom"/>
          </w:tcPr>
          <w:p>
            <w:pPr>
              <w:spacing w:after="0"/>
              <w:rPr>
                <w:sz w:val="1"/>
                <w:szCs w:val="1"/>
                <w:color w:val="auto"/>
              </w:rPr>
            </w:pPr>
          </w:p>
        </w:tc>
      </w:tr>
      <w:tr>
        <w:trPr>
          <w:trHeight w:val="148"/>
        </w:trPr>
        <w:tc>
          <w:tcPr>
            <w:tcW w:w="5440" w:type="dxa"/>
            <w:vAlign w:val="bottom"/>
            <w:gridSpan w:val="3"/>
          </w:tcPr>
          <w:p>
            <w:pPr>
              <w:jc w:val="center"/>
              <w:ind w:right="3140"/>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360" w:type="dxa"/>
            <w:vAlign w:val="bottom"/>
          </w:tcPr>
          <w:p>
            <w:pPr>
              <w:jc w:val="center"/>
              <w:ind w:left="185"/>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544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360" w:type="dxa"/>
            <w:vAlign w:val="bottom"/>
          </w:tcPr>
          <w:p>
            <w:pPr>
              <w:jc w:val="center"/>
              <w:ind w:left="205"/>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01"/>
        </w:trPr>
        <w:tc>
          <w:tcPr>
            <w:tcW w:w="5440" w:type="dxa"/>
            <w:vAlign w:val="bottom"/>
            <w:gridSpan w:val="3"/>
          </w:tcPr>
          <w:p>
            <w:pPr>
              <w:jc w:val="center"/>
              <w:ind w:right="3160"/>
              <w:spacing w:after="0"/>
              <w:rPr>
                <w:sz w:val="20"/>
                <w:szCs w:val="20"/>
                <w:color w:val="auto"/>
              </w:rPr>
            </w:pPr>
            <w:r>
              <w:rPr>
                <w:rFonts w:ascii="Times New Roman" w:cs="Times New Roman" w:eastAsia="Times New Roman" w:hAnsi="Times New Roman"/>
                <w:sz w:val="14"/>
                <w:szCs w:val="14"/>
                <w:b w:val="1"/>
                <w:bCs w:val="1"/>
                <w:color w:val="auto"/>
              </w:rPr>
              <w:t>555 Long Wharf Drive</w:t>
            </w:r>
          </w:p>
        </w:tc>
        <w:tc>
          <w:tcPr>
            <w:tcW w:w="1360" w:type="dxa"/>
            <w:vAlign w:val="bottom"/>
            <w:vMerge w:val="restart"/>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06511</w:t>
            </w:r>
          </w:p>
        </w:tc>
        <w:tc>
          <w:tcPr>
            <w:tcW w:w="0" w:type="dxa"/>
            <w:vAlign w:val="bottom"/>
          </w:tcPr>
          <w:p>
            <w:pPr>
              <w:spacing w:after="0"/>
              <w:rPr>
                <w:sz w:val="1"/>
                <w:szCs w:val="1"/>
                <w:color w:val="auto"/>
              </w:rPr>
            </w:pPr>
          </w:p>
        </w:tc>
      </w:tr>
      <w:tr>
        <w:trPr>
          <w:trHeight w:val="151"/>
        </w:trPr>
        <w:tc>
          <w:tcPr>
            <w:tcW w:w="5440" w:type="dxa"/>
            <w:vAlign w:val="bottom"/>
            <w:gridSpan w:val="3"/>
          </w:tcPr>
          <w:p>
            <w:pPr>
              <w:jc w:val="center"/>
              <w:ind w:right="3140"/>
              <w:spacing w:after="0" w:line="151" w:lineRule="exact"/>
              <w:rPr>
                <w:sz w:val="20"/>
                <w:szCs w:val="20"/>
                <w:color w:val="auto"/>
              </w:rPr>
            </w:pPr>
            <w:r>
              <w:rPr>
                <w:rFonts w:ascii="Times New Roman" w:cs="Times New Roman" w:eastAsia="Times New Roman" w:hAnsi="Times New Roman"/>
                <w:sz w:val="14"/>
                <w:szCs w:val="14"/>
                <w:b w:val="1"/>
                <w:bCs w:val="1"/>
                <w:color w:val="auto"/>
              </w:rPr>
              <w:t>New Haven, CT</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440" w:type="dxa"/>
            <w:vAlign w:val="bottom"/>
            <w:gridSpan w:val="3"/>
          </w:tcPr>
          <w:p>
            <w:pPr>
              <w:jc w:val="center"/>
              <w:ind w:right="31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360" w:type="dxa"/>
            <w:vAlign w:val="bottom"/>
          </w:tcPr>
          <w:p>
            <w:pPr>
              <w:jc w:val="center"/>
              <w:ind w:left="205"/>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03"/>
        </w:trPr>
        <w:tc>
          <w:tcPr>
            <w:tcW w:w="4920" w:type="dxa"/>
            <w:vAlign w:val="bottom"/>
            <w:gridSpan w:val="2"/>
          </w:tcPr>
          <w:p>
            <w:pPr>
              <w:jc w:val="center"/>
              <w:ind w:left="2301"/>
              <w:spacing w:after="0"/>
              <w:rPr>
                <w:sz w:val="20"/>
                <w:szCs w:val="20"/>
                <w:color w:val="auto"/>
              </w:rPr>
            </w:pPr>
            <w:r>
              <w:rPr>
                <w:rFonts w:ascii="Times New Roman" w:cs="Times New Roman" w:eastAsia="Times New Roman" w:hAnsi="Times New Roman"/>
                <w:sz w:val="14"/>
                <w:szCs w:val="14"/>
                <w:b w:val="1"/>
                <w:bCs w:val="1"/>
                <w:color w:val="auto"/>
              </w:rPr>
              <w:t>(475) 238-6837</w:t>
            </w: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440" w:type="dxa"/>
            <w:vAlign w:val="bottom"/>
            <w:gridSpan w:val="3"/>
          </w:tcPr>
          <w:p>
            <w:pPr>
              <w:jc w:val="center"/>
              <w:ind w:left="1761"/>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38" w:orient="portrait"/>
          <w:cols w:equalWidth="0" w:num="1">
            <w:col w:w="10140"/>
          </w:cols>
          <w:pgMar w:left="840" w:top="661" w:right="919" w:bottom="1440" w:gutter="0" w:footer="0" w:header="0"/>
        </w:sectPr>
      </w:pPr>
    </w:p>
    <w:p>
      <w:pPr>
        <w:spacing w:after="0" w:line="10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6"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Common Stock,</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6"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BTAI</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6"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Nasdaq Capital Market</w:t>
      </w:r>
    </w:p>
    <w:p>
      <w:pPr>
        <w:spacing w:after="0" w:line="1" w:lineRule="exact"/>
        <w:rPr>
          <w:sz w:val="24"/>
          <w:szCs w:val="24"/>
          <w:color w:val="auto"/>
        </w:rPr>
      </w:pPr>
    </w:p>
    <w:p>
      <w:pPr>
        <w:sectPr>
          <w:pgSz w:w="11900" w:h="16838" w:orient="portrait"/>
          <w:cols w:equalWidth="0" w:num="3">
            <w:col w:w="3520" w:space="720"/>
            <w:col w:w="1920" w:space="720"/>
            <w:col w:w="3260"/>
          </w:cols>
          <w:pgMar w:left="840" w:top="661" w:right="919" w:bottom="1440" w:gutter="0" w:footer="0" w:header="0"/>
          <w:type w:val="continuous"/>
        </w:sectPr>
      </w:pPr>
    </w:p>
    <w:p>
      <w:pPr>
        <w:ind w:left="940"/>
        <w:spacing w:after="0" w:line="238" w:lineRule="auto"/>
        <w:rPr>
          <w:sz w:val="20"/>
          <w:szCs w:val="20"/>
          <w:color w:val="auto"/>
        </w:rPr>
      </w:pPr>
      <w:r>
        <w:rPr>
          <w:rFonts w:ascii="Times New Roman" w:cs="Times New Roman" w:eastAsia="Times New Roman" w:hAnsi="Times New Roman"/>
          <w:sz w:val="14"/>
          <w:szCs w:val="14"/>
          <w:color w:val="auto"/>
        </w:rPr>
        <w:t>$0.001 par value per share</w:t>
      </w:r>
    </w:p>
    <w:p>
      <w:pPr>
        <w:sectPr>
          <w:pgSz w:w="11900" w:h="16838" w:orient="portrait"/>
          <w:cols w:equalWidth="0" w:num="1">
            <w:col w:w="10140"/>
          </w:cols>
          <w:pgMar w:left="840" w:top="661" w:right="919" w:bottom="1440" w:gutter="0" w:footer="0" w:header="0"/>
          <w:type w:val="continuous"/>
        </w:sectPr>
      </w:pPr>
    </w:p>
    <w:p>
      <w:pPr>
        <w:spacing w:after="0" w:line="176"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47" w:lineRule="exact"/>
        <w:rPr>
          <w:sz w:val="24"/>
          <w:szCs w:val="24"/>
          <w:color w:val="auto"/>
        </w:rPr>
      </w:pPr>
    </w:p>
    <w:p>
      <w:pPr>
        <w:ind w:right="3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47"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40"/>
          </w:cols>
          <w:pgMar w:left="840" w:top="661" w:right="919" w:bottom="1440" w:gutter="0" w:footer="0" w:header="0"/>
          <w:type w:val="continuous"/>
        </w:sectPr>
      </w:pPr>
    </w:p>
    <w:p>
      <w:pPr>
        <w:spacing w:after="0" w:line="37" w:lineRule="exact"/>
        <w:rPr>
          <w:sz w:val="24"/>
          <w:szCs w:val="24"/>
          <w:color w:val="auto"/>
        </w:rPr>
      </w:pPr>
    </w:p>
    <w:p>
      <w:pPr>
        <w:ind w:left="1820"/>
        <w:spacing w:after="0" w:line="188"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Arial Unicode MS" w:cs="Arial Unicode MS" w:eastAsia="Arial Unicode MS" w:hAnsi="Arial Unicode MS"/>
          <w:sz w:val="14"/>
          <w:szCs w:val="14"/>
          <w:color w:val="auto"/>
        </w:rPr>
        <w:t>☐</w:t>
      </w:r>
    </w:p>
    <w:p>
      <w:pPr>
        <w:spacing w:after="0" w:line="82" w:lineRule="exact"/>
        <w:rPr>
          <w:sz w:val="24"/>
          <w:szCs w:val="24"/>
          <w:color w:val="auto"/>
        </w:rPr>
      </w:pPr>
    </w:p>
    <w:p>
      <w:pPr>
        <w:sectPr>
          <w:pgSz w:w="11900" w:h="16838" w:orient="portrait"/>
          <w:cols w:equalWidth="0" w:num="2">
            <w:col w:w="6380" w:space="720"/>
            <w:col w:w="3040"/>
          </w:cols>
          <w:pgMar w:left="840" w:top="661" w:right="919" w:bottom="1440" w:gutter="0" w:footer="0" w:header="0"/>
          <w:type w:val="continuous"/>
        </w:sectPr>
      </w:pPr>
    </w:p>
    <w:p>
      <w:pPr>
        <w:ind w:left="1860"/>
        <w:spacing w:after="0" w:line="188"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68"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Arial Unicode MS" w:cs="Arial Unicode MS" w:eastAsia="Arial Unicode MS" w:hAnsi="Arial Unicode MS"/>
          <w:sz w:val="14"/>
          <w:szCs w:val="14"/>
          <w:color w:val="auto"/>
        </w:rPr>
        <w:t>☒</w:t>
      </w:r>
    </w:p>
    <w:p>
      <w:pPr>
        <w:spacing w:after="0" w:line="136" w:lineRule="exact"/>
        <w:rPr>
          <w:sz w:val="24"/>
          <w:szCs w:val="24"/>
          <w:color w:val="auto"/>
        </w:rPr>
      </w:pPr>
    </w:p>
    <w:p>
      <w:pPr>
        <w:sectPr>
          <w:pgSz w:w="11900" w:h="16838" w:orient="portrait"/>
          <w:cols w:equalWidth="0" w:num="2">
            <w:col w:w="6080" w:space="720"/>
            <w:col w:w="3340"/>
          </w:cols>
          <w:pgMar w:left="840" w:top="661" w:right="919" w:bottom="1440" w:gutter="0" w:footer="0" w:header="0"/>
          <w:type w:val="continuous"/>
        </w:sectPr>
      </w:pPr>
    </w:p>
    <w:p>
      <w:pPr>
        <w:ind w:left="6800"/>
        <w:spacing w:after="0" w:line="188"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Arial Unicode MS" w:cs="Arial Unicode MS" w:eastAsia="Arial Unicode MS" w:hAnsi="Arial Unicode MS"/>
          <w:sz w:val="14"/>
          <w:szCs w:val="14"/>
          <w:color w:val="auto"/>
        </w:rPr>
        <w:t>☐</w:t>
      </w:r>
    </w:p>
    <w:p>
      <w:pPr>
        <w:sectPr>
          <w:pgSz w:w="11900" w:h="16838" w:orient="portrait"/>
          <w:cols w:equalWidth="0" w:num="1">
            <w:col w:w="10140"/>
          </w:cols>
          <w:pgMar w:left="840" w:top="661" w:right="919" w:bottom="1440" w:gutter="0" w:footer="0" w:header="0"/>
          <w:type w:val="continuous"/>
        </w:sectPr>
      </w:pPr>
    </w:p>
    <w:p>
      <w:pPr>
        <w:spacing w:after="0" w:line="222" w:lineRule="exact"/>
        <w:rPr>
          <w:sz w:val="24"/>
          <w:szCs w:val="24"/>
          <w:color w:val="auto"/>
        </w:rPr>
      </w:pPr>
    </w:p>
    <w:p>
      <w:pPr>
        <w:ind w:right="1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29"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the registrant’s common stock, $0.001 par value per share, outstanding at May 14, 2026 was 30,877,605.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503555</wp:posOffset>
            </wp:positionV>
            <wp:extent cx="649795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66675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100965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40"/>
          </w:cols>
          <w:pgMar w:left="840" w:top="661" w:right="91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40" w:type="dxa"/>
            <w:vAlign w:val="bottom"/>
            <w:gridSpan w:val="9"/>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gridSpan w:val="11"/>
            <w:vMerge w:val="restart"/>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8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160" w:type="dxa"/>
            <w:vAlign w:val="bottom"/>
            <w:gridSpan w:val="11"/>
            <w:vMerge w:val="continue"/>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7"/>
              </w:rPr>
              <w:t>Forward Looking Statements</w:t>
            </w:r>
          </w:p>
        </w:tc>
        <w:tc>
          <w:tcPr>
            <w:tcW w:w="5160" w:type="dxa"/>
            <w:vAlign w:val="bottom"/>
            <w:gridSpan w:val="11"/>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Summary Risk Factors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2026 and December 31, 2025</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2026 and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(Deficit) Equity for the three</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70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months ended March 31, 2026 and 2025</w:t>
            </w:r>
          </w:p>
        </w:tc>
        <w:tc>
          <w:tcPr>
            <w:tcW w:w="440" w:type="dxa"/>
            <w:vAlign w:val="bottom"/>
            <w:gridSpan w:val="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2026 and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920" w:type="dxa"/>
            <w:vAlign w:val="bottom"/>
            <w:tcBorders>
              <w:left w:val="single" w:sz="8" w:color="0000EE"/>
            </w:tcBorders>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453"/>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gridSpan w:val="11"/>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72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40" w:type="dxa"/>
            <w:vAlign w:val="bottom"/>
          </w:tcPr>
          <w:p>
            <w:pPr>
              <w:spacing w:after="0"/>
              <w:rPr>
                <w:sz w:val="17"/>
                <w:szCs w:val="17"/>
                <w:color w:val="auto"/>
              </w:rPr>
            </w:pP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40" w:type="dxa"/>
            <w:vAlign w:val="bottom"/>
          </w:tcPr>
          <w:p>
            <w:pPr>
              <w:spacing w:after="0"/>
              <w:rPr>
                <w:sz w:val="17"/>
                <w:szCs w:val="17"/>
                <w:color w:val="auto"/>
              </w:rPr>
            </w:pP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494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500" w:type="dxa"/>
            <w:vAlign w:val="bottom"/>
            <w:gridSpan w:val="1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960" w:type="dxa"/>
            <w:vAlign w:val="bottom"/>
            <w:gridSpan w:val="1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660" w:type="dxa"/>
            <w:vAlign w:val="bottom"/>
            <w:gridSpan w:val="1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7220" w:type="dxa"/>
            <w:vAlign w:val="bottom"/>
            <w:gridSpan w:val="19"/>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ind w:left="60" w:right="399" w:firstLine="324"/>
        <w:spacing w:after="0" w:line="233"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The words “anticipate,” “believe,” “can,” “continue,” “could,” “designed,” “estimate,” “expect,” “forecast,” “goal,” “intend,” “may,” “might,” “plan,” “possible,” “potential,” “predict,” “project,” “should,” “target,” “will,” “would” and similar expressions are intended to identify forward-looking statements, though not all forward-looking statements use these words or expressions. All statements contained in this Quarterly Report, other than statements of historical fact, are forward-looking statements, including, without limitation, statements regarding:</w:t>
      </w:r>
    </w:p>
    <w:p>
      <w:pPr>
        <w:spacing w:after="0" w:line="81"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and continue as a going concern;</w:t>
      </w:r>
    </w:p>
    <w:p>
      <w:pPr>
        <w:spacing w:after="0" w:line="15" w:lineRule="exact"/>
        <w:rPr>
          <w:rFonts w:ascii="Times New Roman" w:cs="Times New Roman" w:eastAsia="Times New Roman" w:hAnsi="Times New Roman"/>
          <w:sz w:val="18"/>
          <w:szCs w:val="18"/>
          <w:color w:val="auto"/>
        </w:rPr>
      </w:pPr>
    </w:p>
    <w:p>
      <w:pPr>
        <w:ind w:left="720" w:hanging="319"/>
        <w:spacing w:after="0" w:line="183" w:lineRule="auto"/>
        <w:tabs>
          <w:tab w:leader="none" w:pos="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sales strategy for IGALMI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listed on the Nasdaq Capital market;</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covenants under our financing arrangements;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SERENITY and TRANQUILITY programs;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total addressable markets and related underlying estimates;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clinical trials and marketing applications for our product candidates;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current and future product candidates;</w:t>
      </w:r>
    </w:p>
    <w:p>
      <w:pPr>
        <w:ind w:left="720" w:right="599" w:hanging="319"/>
        <w:spacing w:after="0" w:line="22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seek to enter into collaborations for the development and commercialization of certain product candidates;</w:t>
      </w:r>
    </w:p>
    <w:p>
      <w:pPr>
        <w:spacing w:after="0" w:line="1" w:lineRule="exact"/>
        <w:rPr>
          <w:rFonts w:ascii="Times New Roman" w:cs="Times New Roman" w:eastAsia="Times New Roman" w:hAnsi="Times New Roman"/>
          <w:sz w:val="18"/>
          <w:szCs w:val="18"/>
          <w:color w:val="auto"/>
        </w:rPr>
      </w:pP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any future collaboration;</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results of discussions we have with regulators;</w:t>
      </w:r>
    </w:p>
    <w:p>
      <w:pPr>
        <w:ind w:left="720" w:right="159" w:hanging="319"/>
        <w:spacing w:after="0" w:line="185"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clinical utility, number of prescribers and formulary wins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product candidates for which we receive marketing approval;</w:t>
      </w:r>
    </w:p>
    <w:p>
      <w:pPr>
        <w:spacing w:after="0" w:line="1" w:lineRule="exact"/>
        <w:rPr>
          <w:rFonts w:ascii="Times New Roman" w:cs="Times New Roman" w:eastAsia="Times New Roman" w:hAnsi="Times New Roman"/>
          <w:sz w:val="18"/>
          <w:szCs w:val="18"/>
          <w:color w:val="auto"/>
        </w:rPr>
      </w:pPr>
    </w:p>
    <w:p>
      <w:pPr>
        <w:ind w:left="720" w:right="359" w:hanging="319"/>
        <w:spacing w:after="0" w:line="22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 including the potential benefits from any advertising campaigns;</w:t>
      </w:r>
    </w:p>
    <w:p>
      <w:pPr>
        <w:spacing w:after="0" w:line="1" w:lineRule="exact"/>
        <w:rPr>
          <w:rFonts w:ascii="Times New Roman" w:cs="Times New Roman" w:eastAsia="Times New Roman" w:hAnsi="Times New Roman"/>
          <w:sz w:val="18"/>
          <w:szCs w:val="18"/>
          <w:color w:val="auto"/>
        </w:rPr>
      </w:pP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in, and any potential benefits from, events, conferences, presentations and conventions;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strategy;</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 for additional financing;</w:t>
      </w:r>
    </w:p>
    <w:p>
      <w:pPr>
        <w:ind w:left="720" w:right="1039" w:hanging="319"/>
        <w:spacing w:after="0" w:line="22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investments in, or other strategic options for, our subsidiary, OnkosXcel Therapeutics, LLC (“OnkosXcel”);</w:t>
      </w:r>
    </w:p>
    <w:p>
      <w:pPr>
        <w:spacing w:after="0" w:line="1" w:lineRule="exact"/>
        <w:rPr>
          <w:rFonts w:ascii="Times New Roman" w:cs="Times New Roman" w:eastAsia="Times New Roman" w:hAnsi="Times New Roman"/>
          <w:sz w:val="18"/>
          <w:szCs w:val="18"/>
          <w:color w:val="auto"/>
        </w:rPr>
      </w:pP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legal proceedings and investigations; and</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BioXcel LLC.</w:t>
      </w:r>
    </w:p>
    <w:p>
      <w:pPr>
        <w:spacing w:after="0" w:line="84" w:lineRule="exact"/>
        <w:rPr>
          <w:sz w:val="20"/>
          <w:szCs w:val="20"/>
          <w:color w:val="auto"/>
        </w:rPr>
      </w:pPr>
    </w:p>
    <w:p>
      <w:pPr>
        <w:ind w:left="60" w:right="199" w:firstLine="324"/>
        <w:spacing w:after="0" w:line="232"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those listed under “Summary Risk Factors,” Part II, Item 1A. “Risk Factors,” and Part I, Item 2. “Management’s Discussion and Analysis of Financial Condition and Results of Operations” and elsewhere in this Quarterly Report. These and other important factors discussed under the caption “Risk Factors” in our other filings with the Securities and Exchange Commission (“SEC”) could cause actual results to differ materially from those indicated by the forward-looking statements made in this filing. Given these uncertainties, you should not rely on these forward-looking statements as predictions of future events. While we may elect to update forward-looking statements at some point in the future, we disclaim any obligation to do so, even if subsequent events cause our views to change.</w:t>
      </w:r>
    </w:p>
    <w:p>
      <w:pPr>
        <w:spacing w:after="0" w:line="81" w:lineRule="exact"/>
        <w:rPr>
          <w:sz w:val="20"/>
          <w:szCs w:val="20"/>
          <w:color w:val="auto"/>
        </w:rPr>
      </w:pPr>
    </w:p>
    <w:p>
      <w:pPr>
        <w:ind w:left="60" w:right="179" w:firstLine="324"/>
        <w:spacing w:after="0" w:line="219" w:lineRule="auto"/>
        <w:rPr>
          <w:sz w:val="20"/>
          <w:szCs w:val="20"/>
          <w:color w:val="auto"/>
        </w:rPr>
      </w:pPr>
      <w:r>
        <w:rPr>
          <w:rFonts w:ascii="Times New Roman" w:cs="Times New Roman" w:eastAsia="Times New Roman" w:hAnsi="Times New Roman"/>
          <w:sz w:val="18"/>
          <w:szCs w:val="18"/>
          <w:color w:val="auto"/>
        </w:rPr>
        <w:t>As used in this Quarterly Report, unless otherwise specified or the context otherwise requires, the terms “we,” “our,” “us,” the “Company” or “BTI” refer to BioXcel Therapeutics, Inc. and “BioXcel LLC” refers to the Company’s former parent company, BioXcel LLC and its predecessor, BioXcel Corporation. All brand names or trademarks appearing in this Quarterly Report are the property of their respective owners, including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which is a trademark of BioXcel Therapeutics, Inc.</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79" w:firstLine="324"/>
        <w:spacing w:after="0" w:line="250" w:lineRule="auto"/>
        <w:rPr>
          <w:sz w:val="20"/>
          <w:szCs w:val="20"/>
          <w:color w:val="auto"/>
        </w:rPr>
      </w:pPr>
      <w:r>
        <w:rPr>
          <w:rFonts w:ascii="Times New Roman" w:cs="Times New Roman" w:eastAsia="Times New Roman" w:hAnsi="Times New Roman"/>
          <w:sz w:val="17"/>
          <w:szCs w:val="17"/>
          <w:color w:val="auto"/>
        </w:rPr>
        <w:t xml:space="preserve">We may use our website as a distribution channel for material information about the Company. Financial and other important information regarding the Company is routinely posted on and accessible through the Investors &amp; Media section of its website at </w:t>
      </w:r>
      <w:r>
        <w:rPr>
          <w:rFonts w:ascii="Times New Roman" w:cs="Times New Roman" w:eastAsia="Times New Roman" w:hAnsi="Times New Roman"/>
          <w:sz w:val="17"/>
          <w:szCs w:val="17"/>
          <w:i w:val="1"/>
          <w:iCs w:val="1"/>
          <w:color w:val="auto"/>
        </w:rPr>
        <w:t>www.bioxceltherapeutics.com</w:t>
      </w:r>
      <w:r>
        <w:rPr>
          <w:rFonts w:ascii="Times New Roman" w:cs="Times New Roman" w:eastAsia="Times New Roman" w:hAnsi="Times New Roman"/>
          <w:sz w:val="17"/>
          <w:szCs w:val="17"/>
          <w:color w:val="auto"/>
        </w:rPr>
        <w:t>. In addition, you may automatically receive email alerts and other information about the Company when you enroll your email address by visiting the “Email Alerts” option under the News</w:t>
      </w:r>
    </w:p>
    <w:p>
      <w:pPr>
        <w:spacing w:after="0" w:line="2" w:lineRule="exact"/>
        <w:rPr>
          <w:sz w:val="20"/>
          <w:szCs w:val="20"/>
          <w:color w:val="auto"/>
        </w:rPr>
      </w:pPr>
    </w:p>
    <w:p>
      <w:pPr>
        <w:ind w:left="60" w:right="399" w:hanging="10"/>
        <w:spacing w:after="0" w:line="234" w:lineRule="auto"/>
        <w:tabs>
          <w:tab w:leader="none" w:pos="1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Events menu of the Investors &amp; Media section of our website at </w:t>
      </w:r>
      <w:r>
        <w:rPr>
          <w:rFonts w:ascii="Times New Roman" w:cs="Times New Roman" w:eastAsia="Times New Roman" w:hAnsi="Times New Roman"/>
          <w:sz w:val="18"/>
          <w:szCs w:val="18"/>
          <w:i w:val="1"/>
          <w:iCs w:val="1"/>
          <w:color w:val="auto"/>
        </w:rPr>
        <w:t>www.bioxceltherapeutics.com</w:t>
      </w:r>
      <w:r>
        <w:rPr>
          <w:rFonts w:ascii="Times New Roman" w:cs="Times New Roman" w:eastAsia="Times New Roman" w:hAnsi="Times New Roman"/>
          <w:sz w:val="18"/>
          <w:szCs w:val="18"/>
          <w:color w:val="auto"/>
        </w:rPr>
        <w:t>. The information contained in, or accessible through, our website does not constitute part of this quarterly report and the inclusion of our website address in this quarterly report is an inactive textual reference only.</w:t>
      </w:r>
    </w:p>
    <w:p>
      <w:pPr>
        <w:spacing w:after="0" w:line="35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5" w:lineRule="exact"/>
        <w:rPr>
          <w:sz w:val="20"/>
          <w:szCs w:val="20"/>
          <w:color w:val="auto"/>
        </w:rPr>
      </w:pPr>
    </w:p>
    <w:p>
      <w:pPr>
        <w:jc w:val="both"/>
        <w:ind w:left="60" w:right="599" w:firstLine="324"/>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II, Item 1A. “Risk Factors” in this Quarterly Report. You should carefully consider these risks and uncertainties when investing in our common stock. The principal risks and uncertainties affecting our business include the following:</w:t>
      </w:r>
    </w:p>
    <w:p>
      <w:pPr>
        <w:spacing w:after="0" w:line="135" w:lineRule="exact"/>
        <w:rPr>
          <w:sz w:val="20"/>
          <w:szCs w:val="20"/>
          <w:color w:val="auto"/>
        </w:rPr>
      </w:pPr>
    </w:p>
    <w:p>
      <w:pPr>
        <w:ind w:left="720" w:right="49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conditions and events that raise substantial doubt about our ability to continue as a going concern.</w:t>
      </w:r>
    </w:p>
    <w:p>
      <w:pPr>
        <w:spacing w:after="0" w:line="134"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not generated substantial product revenues to date, which may make it difficult to evaluate the success of our business to date and to assess our future viability.</w:t>
      </w:r>
    </w:p>
    <w:p>
      <w:pPr>
        <w:spacing w:after="0" w:line="121" w:lineRule="exact"/>
        <w:rPr>
          <w:rFonts w:ascii="Times New Roman" w:cs="Times New Roman" w:eastAsia="Times New Roman" w:hAnsi="Times New Roman"/>
          <w:sz w:val="18"/>
          <w:szCs w:val="18"/>
          <w:color w:val="auto"/>
        </w:rPr>
      </w:pPr>
    </w:p>
    <w:p>
      <w:pPr>
        <w:ind w:left="720" w:right="679" w:hanging="319"/>
        <w:spacing w:after="0" w:line="312" w:lineRule="auto"/>
        <w:tabs>
          <w:tab w:leader="none" w:pos="7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operating losses since inception and anticipate that we will continue to incur substantial operating losses for the foreseeable future and may never achieve or maintain profitability.</w:t>
      </w:r>
    </w:p>
    <w:p>
      <w:pPr>
        <w:spacing w:after="0" w:line="99" w:lineRule="exact"/>
        <w:rPr>
          <w:rFonts w:ascii="Times New Roman" w:cs="Times New Roman" w:eastAsia="Times New Roman" w:hAnsi="Times New Roman"/>
          <w:sz w:val="17"/>
          <w:szCs w:val="17"/>
          <w:color w:val="auto"/>
        </w:rPr>
      </w:pPr>
    </w:p>
    <w:p>
      <w:pPr>
        <w:ind w:left="720" w:right="13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and if we are unable to raise capital when needed, we could be forced to delay, reduce or eliminate our product development programs or commercialization efforts or otherwise seek strategic alternatives.</w:t>
      </w:r>
    </w:p>
    <w:p>
      <w:pPr>
        <w:spacing w:after="0" w:line="148" w:lineRule="exact"/>
        <w:rPr>
          <w:rFonts w:ascii="Times New Roman" w:cs="Times New Roman" w:eastAsia="Times New Roman" w:hAnsi="Times New Roman"/>
          <w:sz w:val="18"/>
          <w:szCs w:val="18"/>
          <w:color w:val="auto"/>
        </w:rPr>
      </w:pPr>
    </w:p>
    <w:p>
      <w:pPr>
        <w:ind w:left="720" w:right="13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maintain compliance with the listing standards of the Nasdaq Capital Market, Nasdaq may delist our common stock from trading on its exchange, which could limit investors' ability to make transactions in our securities and subject us to additional trading restrictions.</w:t>
      </w:r>
    </w:p>
    <w:p>
      <w:pPr>
        <w:spacing w:after="0" w:line="135" w:lineRule="exact"/>
        <w:rPr>
          <w:rFonts w:ascii="Times New Roman" w:cs="Times New Roman" w:eastAsia="Times New Roman" w:hAnsi="Times New Roman"/>
          <w:sz w:val="18"/>
          <w:szCs w:val="18"/>
          <w:color w:val="auto"/>
        </w:rPr>
      </w:pPr>
    </w:p>
    <w:p>
      <w:pPr>
        <w:ind w:left="720" w:right="31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the Credit Agreement.</w:t>
      </w:r>
    </w:p>
    <w:p>
      <w:pPr>
        <w:spacing w:after="0" w:line="135" w:lineRule="exact"/>
        <w:rPr>
          <w:rFonts w:ascii="Times New Roman" w:cs="Times New Roman" w:eastAsia="Times New Roman" w:hAnsi="Times New Roman"/>
          <w:sz w:val="18"/>
          <w:szCs w:val="18"/>
          <w:color w:val="auto"/>
        </w:rPr>
      </w:pPr>
    </w:p>
    <w:p>
      <w:pPr>
        <w:ind w:left="720" w:right="59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clinical reprioritization and other workforce reductions in force may not achieve our intended outcome.</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drug discovery and drug development.</w:t>
      </w:r>
    </w:p>
    <w:p>
      <w:pPr>
        <w:spacing w:after="0" w:line="184" w:lineRule="exact"/>
        <w:rPr>
          <w:rFonts w:ascii="Times New Roman" w:cs="Times New Roman" w:eastAsia="Times New Roman" w:hAnsi="Times New Roman"/>
          <w:sz w:val="18"/>
          <w:szCs w:val="18"/>
          <w:color w:val="auto"/>
        </w:rPr>
      </w:pPr>
    </w:p>
    <w:p>
      <w:pPr>
        <w:ind w:left="720" w:right="219" w:hanging="319"/>
        <w:spacing w:after="0" w:line="25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TRANQUILITY II Phase 3 trial may impact the timing of our development plans for, and prospects for seeking or obtaining regulatory approval of, BXCL501 for the acute treatment of agitation (non-daily) associated with dementia in patients with probable Alzheimer’s disease and may also subject us to additional risks and uncertainties, including regulatory, stockholder or other actions, loss of investor confidence and negative impacts on the trading price of our common stock.</w:t>
      </w:r>
    </w:p>
    <w:p>
      <w:pPr>
        <w:spacing w:after="0" w:line="135" w:lineRule="exact"/>
        <w:rPr>
          <w:rFonts w:ascii="Times New Roman" w:cs="Times New Roman" w:eastAsia="Times New Roman" w:hAnsi="Times New Roman"/>
          <w:sz w:val="18"/>
          <w:szCs w:val="18"/>
          <w:color w:val="auto"/>
        </w:rPr>
      </w:pPr>
    </w:p>
    <w:p>
      <w:pPr>
        <w:ind w:left="720" w:right="239" w:hanging="319"/>
        <w:spacing w:after="0" w:line="211"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near term, we are dependent on the success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our lead product candidate, BXCL501. If we are unable to complete the clinical development of or obtain marketing approval for our product candidates or successfully commercialize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our lead product candidate, either alone or with a collaborator, or if we experience significant delays in doing so, our business could be substantially harmed.</w:t>
      </w:r>
    </w:p>
    <w:p>
      <w:pPr>
        <w:spacing w:after="0" w:line="171"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19" w:hanging="319"/>
        <w:spacing w:after="0" w:line="26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United States (“U.S.”) Food and Drug Administration (“FDA”), and comparable foreign authorities are lengthy, time consuming, expensive and inherently unpredictable, and if we are ultimately unable to obtain regulatory approval for our product candidates, our business will be substantially harmed.</w:t>
      </w:r>
    </w:p>
    <w:p>
      <w:pPr>
        <w:spacing w:after="0" w:line="15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expensive, difficult to design, difficult to conduct and involve an uncertain outcome.</w:t>
      </w:r>
    </w:p>
    <w:p>
      <w:pPr>
        <w:spacing w:after="0" w:line="184" w:lineRule="exact"/>
        <w:rPr>
          <w:rFonts w:ascii="Times New Roman" w:cs="Times New Roman" w:eastAsia="Times New Roman" w:hAnsi="Times New Roman"/>
          <w:sz w:val="18"/>
          <w:szCs w:val="18"/>
          <w:color w:val="auto"/>
        </w:rPr>
      </w:pPr>
    </w:p>
    <w:p>
      <w:pPr>
        <w:ind w:left="720" w:right="27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enrollment of patients in our clinical trials to continue development of our product candidates. If we are unable to enroll patients in our clinical trials, our research and development efforts could be adversely affected.</w:t>
      </w:r>
    </w:p>
    <w:p>
      <w:pPr>
        <w:spacing w:after="0" w:line="135" w:lineRule="exact"/>
        <w:rPr>
          <w:rFonts w:ascii="Times New Roman" w:cs="Times New Roman" w:eastAsia="Times New Roman" w:hAnsi="Times New Roman"/>
          <w:sz w:val="18"/>
          <w:szCs w:val="18"/>
          <w:color w:val="auto"/>
        </w:rPr>
      </w:pPr>
    </w:p>
    <w:p>
      <w:pPr>
        <w:ind w:left="720" w:right="299" w:hanging="319"/>
        <w:spacing w:after="0" w:line="258"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number of episodes of agitation and our corresponding estimated total addressable market are subject to inherent challenges and uncertainties. If we have overestimated the number of episodes or the size of our total addressable market for our current and potential future products or product candidates, or if any approval that we obtain is based on a narrower definition of the patient population, our revenue and ability to achieve profitability may be harmed.</w:t>
      </w:r>
    </w:p>
    <w:p>
      <w:pPr>
        <w:spacing w:after="0" w:line="156" w:lineRule="exact"/>
        <w:rPr>
          <w:rFonts w:ascii="Times New Roman" w:cs="Times New Roman" w:eastAsia="Times New Roman" w:hAnsi="Times New Roman"/>
          <w:sz w:val="18"/>
          <w:szCs w:val="18"/>
          <w:color w:val="auto"/>
        </w:rPr>
      </w:pPr>
    </w:p>
    <w:p>
      <w:pPr>
        <w:ind w:left="720" w:right="31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discovery and development of product candidates based on EvolverAI, BioXcel LLC’s proprietary pharmaceutical discovery and development engine, as well as and our own AI platform is novel and unproven, and we do not know whether we will be able to develop any products of commercial value.</w:t>
      </w:r>
    </w:p>
    <w:p>
      <w:pPr>
        <w:spacing w:after="0" w:line="135" w:lineRule="exact"/>
        <w:rPr>
          <w:rFonts w:ascii="Times New Roman" w:cs="Times New Roman" w:eastAsia="Times New Roman" w:hAnsi="Times New Roman"/>
          <w:sz w:val="18"/>
          <w:szCs w:val="18"/>
          <w:color w:val="auto"/>
        </w:rPr>
      </w:pPr>
    </w:p>
    <w:p>
      <w:pPr>
        <w:ind w:left="720" w:right="21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limit our ability to develop or implement our proprietary AI algorithms and/or may eliminate or restrict the confidentiality of our proprietary technology, which could have an adverse effect on our business, results of operations, and financial condition.</w:t>
      </w:r>
    </w:p>
    <w:p>
      <w:pPr>
        <w:spacing w:after="0" w:line="127" w:lineRule="exact"/>
        <w:rPr>
          <w:rFonts w:ascii="Times New Roman" w:cs="Times New Roman" w:eastAsia="Times New Roman" w:hAnsi="Times New Roman"/>
          <w:sz w:val="18"/>
          <w:szCs w:val="18"/>
          <w:color w:val="auto"/>
        </w:rPr>
      </w:pPr>
    </w:p>
    <w:p>
      <w:pPr>
        <w:ind w:left="720" w:right="219" w:hanging="319"/>
        <w:spacing w:after="0" w:line="234"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FDA has approved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the acute treatment of agitation associated with schizophrenia or bipolar I or II disorder, we will still face extensive and ongoing regulatory requirements and obligations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for any product candidates for which we obtain approval.</w:t>
      </w:r>
    </w:p>
    <w:p>
      <w:pPr>
        <w:spacing w:after="0" w:line="52" w:lineRule="exact"/>
        <w:rPr>
          <w:rFonts w:ascii="Times New Roman" w:cs="Times New Roman" w:eastAsia="Times New Roman" w:hAnsi="Times New Roman"/>
          <w:sz w:val="18"/>
          <w:szCs w:val="18"/>
          <w:color w:val="auto"/>
        </w:rPr>
      </w:pPr>
    </w:p>
    <w:p>
      <w:pPr>
        <w:ind w:left="720" w:right="339" w:hanging="319"/>
        <w:spacing w:after="0" w:line="22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obtained FDA approval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products and product candidates may not be accepted by physicians or the medical community in general, and there may be insufficient insurance coverage and reimbursement.</w:t>
      </w:r>
    </w:p>
    <w:p>
      <w:pPr>
        <w:spacing w:after="0" w:line="160"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found in violation of federal, state or foreign health care “fraud and abuse” laws, we may be required to pay significant fines and penalties, which may adversely affect our business, financial condition and results of operations.</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depend on BioXcel LLC to provide us with certain services for our business.</w:t>
      </w:r>
    </w:p>
    <w:p>
      <w:pPr>
        <w:spacing w:after="0" w:line="198" w:lineRule="exact"/>
        <w:rPr>
          <w:rFonts w:ascii="Times New Roman" w:cs="Times New Roman" w:eastAsia="Times New Roman" w:hAnsi="Times New Roman"/>
          <w:sz w:val="18"/>
          <w:szCs w:val="18"/>
          <w:color w:val="auto"/>
        </w:rPr>
      </w:pPr>
    </w:p>
    <w:p>
      <w:pPr>
        <w:ind w:left="720" w:right="699" w:hanging="319"/>
        <w:spacing w:after="0" w:line="224"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third parties for the manufacture of our clinical supplies of our product candidates, and our commercial supplies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we intend to rely on third parties to produce commercial supplies of any other approved product candidate.</w:t>
      </w:r>
    </w:p>
    <w:p>
      <w:pPr>
        <w:spacing w:after="0" w:line="158" w:lineRule="exact"/>
        <w:rPr>
          <w:rFonts w:ascii="Times New Roman" w:cs="Times New Roman" w:eastAsia="Times New Roman" w:hAnsi="Times New Roman"/>
          <w:sz w:val="18"/>
          <w:szCs w:val="18"/>
          <w:color w:val="auto"/>
        </w:rPr>
      </w:pPr>
    </w:p>
    <w:p>
      <w:pPr>
        <w:ind w:left="720" w:right="159" w:hanging="319"/>
        <w:spacing w:after="0" w:line="289" w:lineRule="auto"/>
        <w:tabs>
          <w:tab w:leader="none" w:pos="7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17" w:lineRule="exact"/>
        <w:rPr>
          <w:rFonts w:ascii="Times New Roman" w:cs="Times New Roman" w:eastAsia="Times New Roman" w:hAnsi="Times New Roman"/>
          <w:sz w:val="17"/>
          <w:szCs w:val="17"/>
          <w:color w:val="auto"/>
        </w:rPr>
      </w:pPr>
    </w:p>
    <w:p>
      <w:pPr>
        <w:ind w:left="720" w:right="61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breaches or cyber-attacks could disrupt our business operations, information technology systems, and financial results, or result in the loss or exposure of confidential or sensitive Company information.</w:t>
      </w:r>
    </w:p>
    <w:p>
      <w:pPr>
        <w:spacing w:after="0" w:line="134" w:lineRule="exact"/>
        <w:rPr>
          <w:rFonts w:ascii="Times New Roman" w:cs="Times New Roman" w:eastAsia="Times New Roman" w:hAnsi="Times New Roman"/>
          <w:sz w:val="18"/>
          <w:szCs w:val="18"/>
          <w:color w:val="auto"/>
        </w:rPr>
      </w:pPr>
    </w:p>
    <w:p>
      <w:pPr>
        <w:ind w:left="720" w:right="179" w:hanging="319"/>
        <w:spacing w:after="0" w:line="26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and may in the future be subject to legal proceedings, claims and investigations in or outside the ordinary course of business. Such proceedings, claims and investigations could be costly and time-consuming to defend and could result in unfavorable outcomes, which may have a material adverse effect on our business, operating results and financial condition, and negatively affect the price of our common stock.</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3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political or economic events and conditions could adversely affect our business, financial condition or results of operations.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the increased scrutiny relating to environmental, social and governance matters.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and costly to protect our proprietary rights, and we may not be able to ensure their protection.</w:t>
      </w:r>
    </w:p>
    <w:p>
      <w:pPr>
        <w:spacing w:after="0" w:line="200" w:lineRule="exact"/>
        <w:rPr>
          <w:sz w:val="20"/>
          <w:szCs w:val="20"/>
          <w:color w:val="auto"/>
        </w:rPr>
      </w:pPr>
    </w:p>
    <w:p>
      <w:pPr>
        <w:spacing w:after="0" w:line="38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189" w:lineRule="exact"/>
        <w:rPr>
          <w:sz w:val="20"/>
          <w:szCs w:val="20"/>
          <w:color w:val="auto"/>
        </w:rPr>
      </w:pPr>
    </w:p>
    <w:p>
      <w:pPr>
        <w:ind w:left="60" w:right="159" w:firstLine="324"/>
        <w:spacing w:after="0" w:line="216" w:lineRule="auto"/>
        <w:rPr>
          <w:sz w:val="20"/>
          <w:szCs w:val="20"/>
          <w:color w:val="auto"/>
        </w:rPr>
      </w:pPr>
      <w:r>
        <w:rPr>
          <w:rFonts w:ascii="Times New Roman" w:cs="Times New Roman" w:eastAsia="Times New Roman" w:hAnsi="Times New Roman"/>
          <w:sz w:val="18"/>
          <w:szCs w:val="18"/>
          <w:color w:val="auto"/>
        </w:rPr>
        <w:t>This Quarterly Report includes our trademarks, trade names and service marks, including, without limitation,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our logo, which are our property and are protected under applicable intellectual property laws. Solely for convenience, trademarks, trade names and service marks may appear in this Quarterly Report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symbols, but such references are not intended to indicate, in any way, that we or the applicable owner forgo or will not assert, to the fullest extent permitted under applicable law, our rights or the rights of any applicable licensors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6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INDUSTRY AND OTHER DATA</w:t>
      </w:r>
    </w:p>
    <w:p>
      <w:pPr>
        <w:spacing w:after="0" w:line="202"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Unless otherwise indicated, information contained in this Quarterly Report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While we believe the information from these third-party publications, research, surveys and studies included in this Quarterly Report is reliable, we do not guarantee the accuracy or completeness of such information, and we have not independently verified this information.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this Quarterly Report under “Forward-Looking Statements” and Part II, Item 1A “Risk Factors.” These and other factors could cause our future performance and market expectations to differ materially from our assumptions and estimates.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1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5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17,180</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34,025</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 EQUITY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16,247</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to related parties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139,568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 shares authorized; no shares issued and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 as of March 31, 2026 and December 31, 2025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5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 shares authorized as of March 31, 2026 and</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2025; 27,075 and 22,328 shares issued and outstanding as of</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March 31, 2026 and December 31, 2025, respectively</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624,555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(732,785)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(105,543)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 and stockholders' (deficit) equity</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9059"/>
          </w:cols>
          <w:pgMar w:left="140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360045</wp:posOffset>
            </wp:positionV>
            <wp:extent cx="56064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59"/>
          </w:cols>
          <w:pgMar w:left="140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80" w:type="dxa"/>
            <w:vAlign w:val="bottom"/>
            <w:vMerge w:val="restart"/>
          </w:tcPr>
          <w:p>
            <w:pPr>
              <w:ind w:left="58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52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(12,691)</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w:t>
            </w: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(0.54)</w:t>
            </w:r>
          </w:p>
        </w:tc>
        <w:tc>
          <w:tcPr>
            <w:tcW w:w="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(DEFICIT) EQUITY</w:t>
      </w:r>
    </w:p>
    <w:p>
      <w:pPr>
        <w:spacing w:after="0" w:line="6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gridSpan w:val="2"/>
          </w:tcPr>
          <w:p>
            <w:pPr>
              <w:ind w:left="40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26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557,047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(650,197)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(93,101)</w:t>
            </w: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shares, net of offering costs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pre-funded stock purchase warrants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0" w:type="dxa"/>
            <w:vAlign w:val="bottom"/>
          </w:tcPr>
          <w:p>
            <w:pPr>
              <w:spacing w:after="0"/>
              <w:rPr>
                <w:sz w:val="1"/>
                <w:szCs w:val="1"/>
                <w:color w:val="auto"/>
              </w:rPr>
            </w:pPr>
          </w:p>
        </w:tc>
      </w:tr>
      <w:tr>
        <w:trPr>
          <w:trHeight w:val="198"/>
        </w:trPr>
        <w:tc>
          <w:tcPr>
            <w:tcW w:w="41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employee tax</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567,220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(657,451)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(90,172)</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26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624,555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(720,094)</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(95,463)</w:t>
            </w: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shares, net of offering costs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pre-funded stock purchase warrants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198"/>
        </w:trPr>
        <w:tc>
          <w:tcPr>
            <w:tcW w:w="41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employee tax</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(12,691)</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627,215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(732,785)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(105,543)</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19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8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80" w:type="dxa"/>
            <w:vAlign w:val="bottom"/>
            <w:vMerge w:val="restart"/>
          </w:tcPr>
          <w:p>
            <w:pPr>
              <w:ind w:left="62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2320" w:type="dxa"/>
            <w:vAlign w:val="bottom"/>
            <w:gridSpan w:val="5"/>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38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top w:val="single" w:sz="8" w:color="auto"/>
            </w:tcBorders>
            <w:gridSpan w:val="2"/>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CASH FLOW ACTIVITIES: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(12,691)</w:t>
            </w:r>
          </w:p>
        </w:tc>
        <w:tc>
          <w:tcPr>
            <w:tcW w:w="4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Reconciliation of net loss to net cash used in operating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Accretion of debt discount and amortization of financing costs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Payable-in-kind interest on Credit Agreement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payable, accrued expenses, due to related parties, and other current</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(11,809)</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CASH FLOW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equipment and leasehold improvements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CASH FLOW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 and warrants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principal of Long-term debt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Offering costs for common stock and warrants issuance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Payment of employee tax obligations related to vesting restricted stock units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the period</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28,757</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the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17,180</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6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stock purchase warrants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6,172</w:t>
            </w:r>
          </w:p>
        </w:tc>
        <w:tc>
          <w:tcPr>
            <w:tcW w:w="4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Repricing of stock purchase warrants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4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paid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4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 and where otherwise noted)</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Nature of the Business</w:t>
      </w:r>
    </w:p>
    <w:p>
      <w:pPr>
        <w:spacing w:after="0" w:line="202"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BioXcel Therapeutics, Inc. (“BTI” or the “Company”) is a biopharmaceutical company built on artificial intelligence (“AI”) approaches to develop transformative medicines in neuroscience and immuno-oncology. The Company is focused on utilizing cutting-edge technology and innovative research to develop high-value therapeutics aimed at transforming patients’ lives. BTI developed a proprietary AI platform to reduce therapeutic development costs and potentially accelerate development timelines. The Company’s approach leverages existing approved drugs and/or clinically evaluated product candidates together with big data and proprietary machine learning algorithms to identify new therapeutic indices. BTI management believes this differentiated approach has proven its potential to reduce the expense and time associated with drug development in diseases with substantial unmet medical needs.</w:t>
      </w:r>
    </w:p>
    <w:p>
      <w:pPr>
        <w:spacing w:after="0" w:line="151" w:lineRule="exact"/>
        <w:rPr>
          <w:sz w:val="20"/>
          <w:szCs w:val="20"/>
          <w:color w:val="auto"/>
        </w:rPr>
      </w:pPr>
    </w:p>
    <w:p>
      <w:pPr>
        <w:jc w:val="both"/>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As used in these condensed consolidated financial statements, unless otherwise specified or the context otherwise requires, the terms “BioXcel LLC” refers to the Company’s former parent company, BioXcel LLC and, its predecessor, BioXcel Corporation. “OnkosXcel” refers to BTI’s wholly owned subsidiary for its advanced immuno-oncology assets, OnkosXcel Therapeutics, LLC.</w:t>
      </w:r>
    </w:p>
    <w:p>
      <w:pPr>
        <w:spacing w:after="0" w:line="131" w:lineRule="exact"/>
        <w:rPr>
          <w:sz w:val="20"/>
          <w:szCs w:val="20"/>
          <w:color w:val="auto"/>
        </w:rPr>
      </w:pPr>
    </w:p>
    <w:p>
      <w:pPr>
        <w:ind w:left="60" w:right="159" w:firstLine="324"/>
        <w:spacing w:after="0" w:line="218" w:lineRule="auto"/>
        <w:rPr>
          <w:sz w:val="20"/>
          <w:szCs w:val="20"/>
          <w:color w:val="auto"/>
        </w:rPr>
      </w:pPr>
      <w:r>
        <w:rPr>
          <w:rFonts w:ascii="Times New Roman" w:cs="Times New Roman" w:eastAsia="Times New Roman" w:hAnsi="Times New Roman"/>
          <w:sz w:val="18"/>
          <w:szCs w:val="18"/>
          <w:color w:val="auto"/>
        </w:rPr>
        <w:t>On April 6, 2022, BTI announced that the FDA approved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(dexmedetomidine or “Dex”) sublingual film for the acute treatment of agitation associated with schizophrenia or bipolar I or II disorder in adults.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approved to be self-administrated by patients under the supervision of a health care provider. On July 6, 2022, BTI announced that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was commercially available in doses of 120 and 180 micrograms.</w:t>
      </w:r>
    </w:p>
    <w:p>
      <w:pPr>
        <w:spacing w:after="0" w:line="58" w:lineRule="exact"/>
        <w:rPr>
          <w:sz w:val="20"/>
          <w:szCs w:val="20"/>
          <w:color w:val="auto"/>
        </w:rPr>
      </w:pPr>
    </w:p>
    <w:p>
      <w:pPr>
        <w:ind w:left="60" w:right="259" w:firstLine="324"/>
        <w:spacing w:after="0" w:line="224" w:lineRule="auto"/>
        <w:rPr>
          <w:sz w:val="20"/>
          <w:szCs w:val="20"/>
          <w:color w:val="auto"/>
        </w:rPr>
      </w:pPr>
      <w:r>
        <w:rPr>
          <w:rFonts w:ascii="Times New Roman" w:cs="Times New Roman" w:eastAsia="Times New Roman" w:hAnsi="Times New Roman"/>
          <w:sz w:val="18"/>
          <w:szCs w:val="18"/>
          <w:color w:val="auto"/>
        </w:rPr>
        <w:t>The Company’s most advanced neuroscience clinical development program is BXCL501. In indications other than those approved by the FDA as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BXCL501 is an investigational proprietary, orally dissolving, film formulation of Dex for the treatment of agitation associated with psychiatric and neurological disorders.</w:t>
      </w:r>
    </w:p>
    <w:p>
      <w:pPr>
        <w:spacing w:after="0" w:line="158"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The Company’s advanced immuno-oncology asset, BXCL701, is an investigational, orally administered systemic innate immune activator for the treatment of a rare form of prostate cancer and advanced solid tumors that are refractory or treatment naïve to checkpoint inhibitors.</w:t>
      </w:r>
    </w:p>
    <w:p>
      <w:pPr>
        <w:spacing w:after="0" w:line="135"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BTI was incorporated under the laws of the State of Delaware on March 29, 2017. The Company’s principal office is in New Haven, Connecticut.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189"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do not include all the information and notes required by Generally Accepted Accounting Principles (“GAAP”) in the U.S. The accompanying year-end balance sheet was derived from audited financial statements but does not include all disclosures required by U.S. GAAP. The unaudited interim condensed consolidated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March 31, 2026, the results of its operations for the three months ended March 31, 2026 and 2025 and its cash flows for the three months ended March 31, 2026 and 2025. The results for the three months ended March 31, 2026 are not necessarily indicative of results to be expected for the year ending December 31, 2026, any other interim periods or any future year or period. The accompanying unaudited interim condensed consolidated financial statements of the Company should be read in conjunction with the audited financial statements and notes thereto included in the Company’s Annual Report</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on Form 10-K for the year ended December 31, 2025, filed with the Securities and Exchange Commission on March 27, 2026.</w:t>
      </w:r>
    </w:p>
    <w:p>
      <w:pPr>
        <w:spacing w:after="0" w:line="135"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for the Company and all entities where BTI has a controlling financial interest after elimination of all intercompany accounts and transactions and have been prepared in conformity with U.S. GAAP.</w:t>
      </w:r>
    </w:p>
    <w:p>
      <w:pPr>
        <w:spacing w:after="0" w:line="135"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As of March 31, 2026, the Company had cash, cash equivalents and restricted cash of $17,180 and an accumulated deficit of $732,785. The Company has incurred substantial net losses and negative cash flows from operating activities in nearly every fiscal period since inception and expects this trend to continue for the foreseeable future. The Company recognized net losses of $12,691 and $7,254 for the three months ended March 31, 2026 and 2025, respectively, and had net cash used in operating activities of $11,809 and $12,043 for the three months ended March 31, 2026 and 2025, respectively.</w:t>
      </w:r>
    </w:p>
    <w:p>
      <w:pPr>
        <w:spacing w:after="0" w:line="147" w:lineRule="exact"/>
        <w:rPr>
          <w:sz w:val="20"/>
          <w:szCs w:val="20"/>
          <w:color w:val="auto"/>
        </w:rPr>
      </w:pPr>
    </w:p>
    <w:p>
      <w:pPr>
        <w:jc w:val="both"/>
        <w:ind w:left="60" w:right="379" w:firstLine="324"/>
        <w:spacing w:after="0" w:line="271" w:lineRule="auto"/>
        <w:rPr>
          <w:sz w:val="20"/>
          <w:szCs w:val="20"/>
          <w:color w:val="auto"/>
        </w:rPr>
      </w:pPr>
      <w:r>
        <w:rPr>
          <w:rFonts w:ascii="Times New Roman" w:cs="Times New Roman" w:eastAsia="Times New Roman" w:hAnsi="Times New Roman"/>
          <w:sz w:val="18"/>
          <w:szCs w:val="18"/>
          <w:color w:val="auto"/>
        </w:rPr>
        <w:t>Under ASC Topic 205-40, Presentation of Financial Statements - Going Concern, management is required at each reporting period to evaluate whether there are conditions and events, considered in the aggregate, that raise substantial doubt about an entity’s ability to continue as a going concern within one year after the date that the financial statements are issued.</w:t>
      </w:r>
    </w:p>
    <w:p>
      <w:pPr>
        <w:spacing w:after="0" w:line="118"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Company’s history of significant losses, its negative cash flows from operations, its current debt obligations, potential near-term increased covenant-driven amortization payments under its Credit Agreement (as defined in Note 9, </w:t>
      </w:r>
      <w:r>
        <w:rPr>
          <w:rFonts w:ascii="Times New Roman" w:cs="Times New Roman" w:eastAsia="Times New Roman" w:hAnsi="Times New Roman"/>
          <w:sz w:val="18"/>
          <w:szCs w:val="18"/>
          <w:i w:val="1"/>
          <w:iCs w:val="1"/>
          <w:color w:val="auto"/>
        </w:rPr>
        <w:t>Debt and Credit Facilities</w:t>
      </w:r>
      <w:r>
        <w:rPr>
          <w:rFonts w:ascii="Times New Roman" w:cs="Times New Roman" w:eastAsia="Times New Roman" w:hAnsi="Times New Roman"/>
          <w:sz w:val="18"/>
          <w:szCs w:val="18"/>
          <w:color w:val="auto"/>
        </w:rPr>
        <w:t>), its limited liquidity resources currently on hand, and its dependence on its ability to obtain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financing to fund its operations after the current resources are exhausted, about which there can be no certainty, have resulted in management’s assessment that there is substantial doubt about the Company’s ability to continue as a going concern for a period of at least 12 months from the issuance date of the financial statements included in this Quarterly Report.</w:t>
      </w:r>
    </w:p>
    <w:p>
      <w:pPr>
        <w:spacing w:after="0" w:line="109" w:lineRule="exact"/>
        <w:rPr>
          <w:sz w:val="20"/>
          <w:szCs w:val="20"/>
          <w:color w:val="auto"/>
        </w:rPr>
      </w:pPr>
    </w:p>
    <w:p>
      <w:pPr>
        <w:ind w:left="60" w:right="239" w:firstLine="324"/>
        <w:spacing w:after="0" w:line="264" w:lineRule="auto"/>
        <w:rPr>
          <w:sz w:val="20"/>
          <w:szCs w:val="20"/>
          <w:color w:val="auto"/>
        </w:rPr>
      </w:pPr>
      <w:r>
        <w:rPr>
          <w:rFonts w:ascii="Times New Roman" w:cs="Times New Roman" w:eastAsia="Times New Roman" w:hAnsi="Times New Roman"/>
          <w:sz w:val="18"/>
          <w:szCs w:val="18"/>
          <w:color w:val="auto"/>
        </w:rPr>
        <w:t xml:space="preserve">This going concern evaluation takes into consideration the potential mitigating effect of management’s Clinical Reprioritization (as defined in Note 4,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When substantial doubt exists, management evaluates whether the mitigating effect of its plans sufficiently alleviates the substantial doubt about the Company’s ability to continue as a going concern. The mitigating effect of management’s plans, however, is only considered if both (i) it is probable that the plans will be effectively implemented within one year after the date that the financial statements are issued and (ii)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need to be approved by the Company’s Board of Directors. Although the Company has developed and implemented certain plans, they will not mitigate the entity’s ability to continue as a going concern within one year after the date that the financial statements are issued.</w:t>
      </w:r>
    </w:p>
    <w:p>
      <w:pPr>
        <w:spacing w:after="0" w:line="114"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accompanying condensed consolidated financial statements have been prepared on a going concern basis, which contemplates the realization of assets and the satisfaction of liabilities in the normal course of business and does not include any adjustments that may result from the outcome of this uncertainty. The going concern analysis does not consider possible future amendments to or restructuring of the Credit Agreement (as defined in Note 9, </w:t>
      </w:r>
      <w:r>
        <w:rPr>
          <w:rFonts w:ascii="Times New Roman" w:cs="Times New Roman" w:eastAsia="Times New Roman" w:hAnsi="Times New Roman"/>
          <w:sz w:val="18"/>
          <w:szCs w:val="18"/>
          <w:i w:val="1"/>
          <w:iCs w:val="1"/>
          <w:color w:val="auto"/>
        </w:rPr>
        <w:t>Debt and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Facilities</w:t>
      </w:r>
      <w:r>
        <w:rPr>
          <w:rFonts w:ascii="Times New Roman" w:cs="Times New Roman" w:eastAsia="Times New Roman" w:hAnsi="Times New Roman"/>
          <w:sz w:val="18"/>
          <w:szCs w:val="18"/>
          <w:color w:val="auto"/>
        </w:rPr>
        <w:t>) or other potential sources of debt or equity capital.</w:t>
      </w:r>
    </w:p>
    <w:p>
      <w:pPr>
        <w:spacing w:after="0" w:line="143" w:lineRule="exact"/>
        <w:rPr>
          <w:sz w:val="20"/>
          <w:szCs w:val="20"/>
          <w:color w:val="auto"/>
        </w:rPr>
      </w:pPr>
    </w:p>
    <w:p>
      <w:pPr>
        <w:ind w:left="60" w:right="299" w:firstLine="324"/>
        <w:spacing w:after="0" w:line="270" w:lineRule="auto"/>
        <w:rPr>
          <w:sz w:val="20"/>
          <w:szCs w:val="20"/>
          <w:color w:val="auto"/>
        </w:rPr>
      </w:pPr>
      <w:r>
        <w:rPr>
          <w:rFonts w:ascii="Times New Roman" w:cs="Times New Roman" w:eastAsia="Times New Roman" w:hAnsi="Times New Roman"/>
          <w:sz w:val="18"/>
          <w:szCs w:val="18"/>
          <w:color w:val="auto"/>
        </w:rPr>
        <w:t>Successful completion of the Company’s development programs and, ultimately, the attainment of profitable operations are dependent upon future events, including obtaining adequate financing to support the Company’s cost structure and operating plan. Management’s plans to improve the Company’s liquidity and reduce its operating expenses and capital requirements include, among other actions, pursuing one or more of the following steps to raise additional capital, none of which can be guaranteed or are entirely within the Company’s control:</w:t>
      </w:r>
    </w:p>
    <w:p>
      <w:pPr>
        <w:spacing w:after="0" w:line="105"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the sale of the Company’s equity securities;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third-party investments or other strategic options for OnkosXcel</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debt financing and/or restructuring of its existing Credit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partners to advance the Company’s product pipeline;</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marketing partners;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overhead and headcount to focus on core priorities; and/or</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47" w:lineRule="exact"/>
        <w:rPr>
          <w:sz w:val="20"/>
          <w:szCs w:val="20"/>
          <w:color w:val="auto"/>
        </w:rPr>
      </w:pPr>
    </w:p>
    <w:p>
      <w:pPr>
        <w:ind w:left="60" w:right="159" w:firstLine="324"/>
        <w:spacing w:after="0" w:line="270" w:lineRule="auto"/>
        <w:rPr>
          <w:sz w:val="20"/>
          <w:szCs w:val="20"/>
          <w:color w:val="auto"/>
        </w:rPr>
      </w:pPr>
      <w:r>
        <w:rPr>
          <w:rFonts w:ascii="Times New Roman" w:cs="Times New Roman" w:eastAsia="Times New Roman" w:hAnsi="Times New Roman"/>
          <w:sz w:val="18"/>
          <w:szCs w:val="18"/>
          <w:color w:val="auto"/>
        </w:rPr>
        <w:t>If the Company is unable to raise capital when needed or on acceptable terms, or if it is unable to procure collaboration arrangements to advance its programs, the Company would be forced to discontinue some of its operations or develop and implement a plan, beyond its Clinical Reprioritization initiatives, to further extend payables, reduce overhead, scale back or cease some or all of its revised operating plan until sufficient additional capital is raised to support further operations.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amounts reported in the condensed consolidated financial statements and notes thereto. Estimates are used in the following areas, among others: revenue recognition, derivative liabilities, stock-based compensation expense, inventory, accrued expenses and income taxes. Although these estimates are based on the Company’s knowledge of current events and actions it may undertake in the future, actual results may ultimately materially differ from these estimates.</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jc w:val="both"/>
        <w:ind w:left="60" w:right="559"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previously disclosed in Note 3 to the Consolidated Financial Statements in the Company’s Annual Report on Form 10-K for the year ended December 31, 2025.</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effective in future periods</w:t>
      </w:r>
    </w:p>
    <w:p>
      <w:pPr>
        <w:spacing w:after="0" w:line="202"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which requires public entities to disclose specified information about certain costs and expenses. ASU 2024-03 is effective for annual periods beginning after December 15, 2026 and interim reporting periods beginning after December 15, 2027, with early adoption permitted. The Company is evaluating the effect of adopting this guidance on its consolidated financial statements.</w:t>
      </w:r>
    </w:p>
    <w:p>
      <w:pPr>
        <w:spacing w:after="0" w:line="183"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The amendments provide a practical expedient and, if applicable, an accounting policy election to simplify the measurement of credit losses for certain receivables and contract assets. The amendments are effective for annual reporting periods beginning after December 15, 2025, and interim reporting periods within those annual reporting periods. Early adoption is permitted in any interim or annual period in which financial statements have not yet been issued or made available for issuance. We are currently evaluating the impact of this amendment and do not expect that the adoption of this guidance will have a material impact on our consolidated financial statements and accompanying notes.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Restructuring</w:t>
      </w:r>
    </w:p>
    <w:p>
      <w:pPr>
        <w:spacing w:after="0" w:line="189"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During both 2023 and 2024 the Company took multiple steps to reduce its headcount to curtail expenses and focus on its clinical development efforts, collectively referred to as its Clinical Reprioritization.</w:t>
      </w:r>
    </w:p>
    <w:p>
      <w:pPr>
        <w:spacing w:after="0" w:line="162" w:lineRule="exact"/>
        <w:rPr>
          <w:sz w:val="20"/>
          <w:szCs w:val="20"/>
          <w:color w:val="auto"/>
        </w:rPr>
      </w:pPr>
    </w:p>
    <w:p>
      <w:pPr>
        <w:jc w:val="center"/>
        <w:ind w:left="60" w:right="399"/>
        <w:spacing w:after="0" w:line="312" w:lineRule="auto"/>
        <w:rPr>
          <w:sz w:val="20"/>
          <w:szCs w:val="20"/>
          <w:color w:val="auto"/>
        </w:rPr>
      </w:pPr>
      <w:r>
        <w:rPr>
          <w:rFonts w:ascii="Times New Roman" w:cs="Times New Roman" w:eastAsia="Times New Roman" w:hAnsi="Times New Roman"/>
          <w:sz w:val="17"/>
          <w:szCs w:val="17"/>
          <w:color w:val="auto"/>
        </w:rPr>
        <w:t>As an on-going part of the Clinical Reprioritization, on April 8, 2025, the Board unanimously approved (i) the payment of a retention bonus to all non-executive employees in the total aggregate amount of $1,522, to be paid in two</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equal installments and (ii) the issuance of 66 RSUs which fully vest on the one-year anniversary of the grant date. The first installment of the retention bonus was paid on April 30, 2025 and the second installment was paid on September 30, 2025. Each such installment payment was subject to the applicable employee’s continued employment through December 31, 2025.</w:t>
      </w:r>
    </w:p>
    <w:p>
      <w:pPr>
        <w:spacing w:after="0" w:line="180"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On September 16, 2025, the Company dissolved its operations in the Czech Republic and paid $194 in closure related expenses during the third quarter of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Inventory</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Inventory consists of the following:</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90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8"/>
                <w:szCs w:val="18"/>
                <w:color w:val="auto"/>
              </w:rPr>
            </w:pP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4"/>
        </w:trPr>
        <w:tc>
          <w:tcPr>
            <w:tcW w:w="590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20"/>
                <w:szCs w:val="20"/>
                <w:color w:val="auto"/>
              </w:rPr>
            </w:pP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59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98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408</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98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9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inventory</w:t>
            </w:r>
          </w:p>
        </w:tc>
        <w:tc>
          <w:tcPr>
            <w:tcW w:w="98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500</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0"/>
        </w:trPr>
        <w:tc>
          <w:tcPr>
            <w:tcW w:w="5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inventory write-downs totaling $265 and $0 for the three months ended March 31, 2026 and 2025,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60" w:type="dxa"/>
            <w:vAlign w:val="bottom"/>
          </w:tcPr>
          <w:p>
            <w:pPr>
              <w:ind w:left="58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060" w:type="dxa"/>
            <w:vAlign w:val="bottom"/>
          </w:tcPr>
          <w:p>
            <w:pPr>
              <w:ind w:left="58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0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36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60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1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r>
      <w:tr>
        <w:trPr>
          <w:trHeight w:val="21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Depreciation expense was $58 and $76 for the three months ended March 31, 2026 and 2025, respectively.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Accrued Expenses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00" w:type="dxa"/>
            <w:vAlign w:val="bottom"/>
          </w:tcPr>
          <w:p>
            <w:pPr>
              <w:ind w:left="57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12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42"/>
        </w:trPr>
        <w:tc>
          <w:tcPr>
            <w:tcW w:w="59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0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w:t>
            </w:r>
          </w:p>
        </w:tc>
      </w:tr>
      <w:tr>
        <w:trPr>
          <w:trHeight w:val="20"/>
        </w:trPr>
        <w:tc>
          <w:tcPr>
            <w:tcW w:w="5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Transactions with BioXcel LLC</w:t>
      </w:r>
    </w:p>
    <w:p>
      <w:pPr>
        <w:spacing w:after="0" w:line="202"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The Company entered into a Separation and Shared Services Agreement with BioXcel LLC that took effect on June 30, 2017, as amended and restated thereafter (the “Services Agreement”), pursuant to which BioXcel LLC has agreed to provide the Company with certain intellectual property prosecution and management and research and development activities.</w:t>
      </w:r>
    </w:p>
    <w:p>
      <w:pPr>
        <w:spacing w:after="0" w:line="13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Under the Services Agreement, the Company had an option, exercisable until December 31, 2024, to enter into a separate collaborative services agreement with BioXcel LLC pursuant to which BioXcel LLC shall perform product identification and related services for us utilizing its EvolverAI. The Company agreed to pay BioXcel LLC $18 per month from March 13, 2023 to December 31, 2024 in exchange for this option. This option was not exercised. However, BioXcel LLC continues to perform certain administrative services under the terms of the original contract. We agreed to negotiate any such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 payments shall not exceed $10,000 in the aggregate and not be payable prior to proof of concept in humans and (ii) commercialization milestone payments shall be based on reaching annual net sales levels, be limited to 3% of the applicable net sales level, and not exceed $30,000 in the aggregate. The Company did not exercise its option to renew the agreement for product identification and related services utilizing BioXcel LLC’s EvolverAI. Subsequent to December 31, 2024 no development activity has been carried out by BioXcel LLC and none is contemplated.</w:t>
      </w:r>
    </w:p>
    <w:p>
      <w:pPr>
        <w:spacing w:after="0" w:line="147" w:lineRule="exact"/>
        <w:rPr>
          <w:sz w:val="20"/>
          <w:szCs w:val="20"/>
          <w:color w:val="auto"/>
        </w:rPr>
      </w:pPr>
    </w:p>
    <w:p>
      <w:pPr>
        <w:ind w:left="60" w:right="699" w:firstLine="324"/>
        <w:spacing w:after="0" w:line="282" w:lineRule="auto"/>
        <w:rPr>
          <w:sz w:val="20"/>
          <w:szCs w:val="20"/>
          <w:color w:val="auto"/>
        </w:rPr>
      </w:pPr>
      <w:r>
        <w:rPr>
          <w:rFonts w:ascii="Times New Roman" w:cs="Times New Roman" w:eastAsia="Times New Roman" w:hAnsi="Times New Roman"/>
          <w:sz w:val="18"/>
          <w:szCs w:val="18"/>
          <w:color w:val="auto"/>
        </w:rPr>
        <w:t>Service charges recorded under the Services Agreement for the three months ended March 31, 2026 and 2025, respectively were as follows:</w:t>
      </w: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Borders>
              <w:bottom w:val="single" w:sz="8" w:color="auto"/>
            </w:tcBorders>
          </w:tcPr>
          <w:p>
            <w:pPr>
              <w:spacing w:after="0"/>
              <w:rPr>
                <w:sz w:val="15"/>
                <w:szCs w:val="15"/>
                <w:color w:val="auto"/>
              </w:rPr>
            </w:pPr>
          </w:p>
        </w:tc>
      </w:tr>
      <w:tr>
        <w:trPr>
          <w:trHeight w:val="196"/>
        </w:trPr>
        <w:tc>
          <w:tcPr>
            <w:tcW w:w="5900" w:type="dxa"/>
            <w:vAlign w:val="bottom"/>
          </w:tcPr>
          <w:p>
            <w:pPr>
              <w:spacing w:after="0"/>
              <w:rPr>
                <w:sz w:val="17"/>
                <w:szCs w:val="17"/>
                <w:color w:val="auto"/>
              </w:rPr>
            </w:pPr>
          </w:p>
        </w:tc>
        <w:tc>
          <w:tcPr>
            <w:tcW w:w="9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r>
      <w:tr>
        <w:trPr>
          <w:trHeight w:val="196"/>
        </w:trPr>
        <w:tc>
          <w:tcPr>
            <w:tcW w:w="5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9"/>
        </w:trPr>
        <w:tc>
          <w:tcPr>
            <w:tcW w:w="59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0"/>
        </w:trPr>
        <w:tc>
          <w:tcPr>
            <w:tcW w:w="59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there were no outstanding service charges related to the Services Agreement included in Due to related parties in the Company’s Condensed Consolidated Balance Sheets.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Debt and Credit Facilities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Debt, net of unamortized discounts and financing costs, consists of the following:</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0"/>
        </w:trPr>
        <w:tc>
          <w:tcPr>
            <w:tcW w:w="59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 and Guaranty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94,211</w:t>
            </w: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102,319</w:t>
            </w:r>
          </w:p>
        </w:tc>
      </w:tr>
      <w:tr>
        <w:trPr>
          <w:trHeight w:val="216"/>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Payable-in-kind ("PIK") interest</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9,837</w:t>
            </w:r>
          </w:p>
        </w:tc>
      </w:tr>
      <w:tr>
        <w:trPr>
          <w:trHeight w:val="210"/>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debt liability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112,156</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premiums, discounts and issuance costs</w:t>
            </w:r>
          </w:p>
        </w:tc>
        <w:tc>
          <w:tcPr>
            <w:tcW w:w="1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r>
      <w:tr>
        <w:trPr>
          <w:trHeight w:val="209"/>
        </w:trPr>
        <w:tc>
          <w:tcPr>
            <w:tcW w:w="59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100,289</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109,594</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1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(24,931)</w:t>
            </w:r>
          </w:p>
        </w:tc>
      </w:tr>
      <w:tr>
        <w:trPr>
          <w:trHeight w:val="209"/>
        </w:trPr>
        <w:tc>
          <w:tcPr>
            <w:tcW w:w="59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84,663</w:t>
            </w:r>
          </w:p>
        </w:tc>
      </w:tr>
      <w:tr>
        <w:trPr>
          <w:trHeight w:val="20"/>
        </w:trPr>
        <w:tc>
          <w:tcPr>
            <w:tcW w:w="5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On April 19, 2022, the Company entered into two strategic financing agreements: (i) a Credit Agreement and Guaranty (the “Credit Agreement”) by and among the Company, as the borrower, certain subsidiaries of the Company from time to time party thereto as subsidiary guarantors, the lenders party thereto (the “Lenders”), and Oaktree Fund Administration LLC (“OFA”) as administrative agent, and (ii) a Revenue Interest Financing Agreement (the “RIFA”; and together with the Credit Agreement, the “OFA Facilities”) by and among the Company, the purchasers party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36" w:lineRule="auto"/>
        <w:rPr>
          <w:sz w:val="20"/>
          <w:szCs w:val="20"/>
          <w:color w:val="auto"/>
        </w:rPr>
      </w:pPr>
      <w:r>
        <w:rPr>
          <w:rFonts w:ascii="Times New Roman" w:cs="Times New Roman" w:eastAsia="Times New Roman" w:hAnsi="Times New Roman"/>
          <w:sz w:val="18"/>
          <w:szCs w:val="18"/>
          <w:color w:val="auto"/>
        </w:rPr>
        <w:t>thereto (the “Purchasers”) and OFA as administrative agent. Under the OFA Facilities, the Lenders and the Purchasers agreed to, in the aggregate between the two OFA Facilities, provide up to $260,000 in gross funding to support the Company’s commercial activities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sublingual film. In addition, the OFA Facilities are intended to support the expansion of clinical development efforts of BXCL501, which includes a Phase 3 program for the acute treatment of agitation in patients with Alzheimer’s disease, and for general corporate purposes. The Lenders and Purchasers are comprised of affiliates of Oaktree Capital Management, L.P. and Qatar Investment Authority.</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Waiver and First Amendment to Credit Agreement and Guaranty</w:t>
      </w:r>
    </w:p>
    <w:p>
      <w:pPr>
        <w:spacing w:after="0" w:line="243"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On November 13, 2023, the Company, the lenders party to the Credit Agreement and OFA entered into a Waiver and First Amendment to Credit Agreement and Guaranty (the “First Amendment”) that provided for (i) a waiver and a modification to the covenant in the Credit Agreement regarding investments in OnkosXcel and (ii) an agreement among the parties to further revise key financial terms in the Credit Agreement and terminate the RIFA. Pursuant to the First Amendment, the Lenders agreed to permit the Company to invest up to a maximum of $30,000 at any time outstanding in OnkosXcel, increased from $25,000 at any time outstanding. The First Amendment also waived any defaults or events of default arising under the Credit Agreement due to a breach prior to the date of the First Amendment of the OnkosXcel investment covenant, or a breach of the Company’s obligation to notify OFA of such default. In connection with the First Amendment, the Company paid the Lenders a fee of $180 (representing 0.25% of the loans outstanding under the Credit Agreement on the date of the First Amendment) and agreed to pay to the Lenders an exit fee equal to 0.25% of the loans under the Credit Agreement repaid upon maturity or prepayment of the loans.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Second Amendment to Credit Agreement and Guaranty and Termination of the RIFA</w:t>
      </w:r>
    </w:p>
    <w:p>
      <w:pPr>
        <w:spacing w:after="0" w:line="216"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On December 5, 2023 (the “Second Amendment Effective Date”), the Company entered into the Second Amendment to Credit Agreement and Guaranty and Termination of Revenue Interest Financing Agreement (the “Second Amendment”), which further amended the Credit Agreement. On the Second Amendment Effective Date, the Credit Agreement was amended to provide up to $202,319 in senior secured term loans, including the initial Tranche A of $70,000, which was funded on April 28, 2022, and related capitalized interest on Tranche A through the Second Amendment Effective Date in the amount of $72,319. In addition, the $30,000 in financing previously provided to the Company under the RIFA on July 8, 2022 was converted to a term loan under the Credit Agreement (the “Tranche A-2 Term Loan”). The RIFA and all commitments for potential future funding thereunder were terminated. In addition, pursuant to the Second Amendment, the Lenders agreed to permit the Company to invest up to a maximum of $30,865 at any time outstanding in OnkosXcel, increased from $30,000. In connection with the Second Amendment, the Company agreed to pay to the Lenders an exit fee equal to 0.25% of the loans under the Credit Agreement repaid upon maturity or prepayment of the loans (which exit fee is in addition to, and not in lieu of, the exit fee provided for by the First Amendment). The blended effective interest rate on the Tranches A-1 and A-2 as of March 31, 2026 was approximately 17.3%.</w:t>
      </w:r>
    </w:p>
    <w:p>
      <w:pPr>
        <w:spacing w:after="0" w:line="170" w:lineRule="exact"/>
        <w:rPr>
          <w:sz w:val="20"/>
          <w:szCs w:val="20"/>
          <w:color w:val="auto"/>
        </w:rPr>
      </w:pPr>
    </w:p>
    <w:p>
      <w:pPr>
        <w:ind w:left="60" w:right="299" w:firstLine="324"/>
        <w:spacing w:after="0" w:line="272" w:lineRule="auto"/>
        <w:rPr>
          <w:sz w:val="20"/>
          <w:szCs w:val="20"/>
          <w:color w:val="auto"/>
        </w:rPr>
      </w:pPr>
      <w:r>
        <w:rPr>
          <w:rFonts w:ascii="Times New Roman" w:cs="Times New Roman" w:eastAsia="Times New Roman" w:hAnsi="Times New Roman"/>
          <w:sz w:val="17"/>
          <w:szCs w:val="17"/>
          <w:color w:val="auto"/>
        </w:rPr>
        <w:t>The remaining tranches may be borrowed at the Company’s option subject to satisfaction of certain conditions, including regulatory and financial milestones. Tranche B of the Credit Agreement is $20,000 and was available upon satisfaction of certain conditions and financial milestones. Tranche B expired on December 31, 2024. Tranche C of the Credit Agreement is $30,000 and is available upon satisfaction of certain conditions, including receipt of certain regulatory and financial milestones met on or before December 31, 2025. Tranche D of the Credit Agreement is $50,000 and is available upon satisfaction of the Tranche C Term Loans conditions precedent to, and the funding of Tranche C Loans, including specified minimum net sales of the Company attributable to sales of BXCL501 for a trailing twelve consecutive month period, on or before December 31, 2025. Tranches C and D expired on December 31, 2025.</w:t>
      </w:r>
    </w:p>
    <w:p>
      <w:pPr>
        <w:spacing w:after="0" w:line="131"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The loans under the Credit Agreement do not amortize and mature on April 19, 2027. The Company may, at its option, no earlier than September 21, 2026 and no later than October 21, 2026, request an extension of the maturity date to April, 19, 2028, provided that the Company satisfies certain conditions including receipt of certain regulatory and financial milestones. Borrowings under the Credit Agreement are issued at a 200-basis point original issue discount and bear interest at a variable annual rate of TERM SOFR (but not less than 2.5% or more than 5.5%) plus 7.5%, payable quarterly. The rate resets every three months based on the current Term SOFR rate. Of such interest, above 8% per annum is, at the Company’s option, payable in kind by capitalizing and adding such interest to the outstanding principal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amount of loans from the first payment date on which such interest is owed through March 31, 2025, unless, with respect to any payment date, the Company elects to pay all or a portion of such interest in cash. The Company is required to pay a ticking fee equal to 0.75% per annum on the undrawn amount of the commitments, payable quarterly commencing 120 days after April 22, 2022 through the termination of the commitments, which is expensed as incurred and recognized as interest expense in the Consolidated Statements of Operations. The Company may voluntarily prepay the Credit Agreement at any time subject to a prepayment fee.</w:t>
      </w:r>
    </w:p>
    <w:p>
      <w:pPr>
        <w:spacing w:after="0" w:line="160"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The Company’s obligations under the Credit Agreement are guaranteed by BTI’s existing and subsequently acquired or organized subsidiaries, subject to certain exceptions. BTI’s obligations under the Credit Agreement and the related guarantees thereunder are secured, subject to customary permitted liens and other agreed upon exceptions, by (i) a pledge of all of the equity interests of all of the Company’s existing and any future direct subsidiaries, and (ii) a perfected security interest in all of its and the guarantors’ tangible and intangible assets (except that the guarantees provided by the BXCL701 Subsidiaries (as defined below) are unsecured).</w:t>
      </w:r>
    </w:p>
    <w:p>
      <w:pPr>
        <w:spacing w:after="0" w:line="147" w:lineRule="exact"/>
        <w:rPr>
          <w:sz w:val="20"/>
          <w:szCs w:val="20"/>
          <w:color w:val="auto"/>
        </w:rPr>
      </w:pPr>
    </w:p>
    <w:p>
      <w:pPr>
        <w:ind w:left="60" w:right="159" w:firstLine="324"/>
        <w:spacing w:after="0" w:line="251"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The Company must also comply with certain financial covenants, including (i) maintenance of cash or permitted cash equivalent investments in accounts controlled by OFA for the Lenders, of at least (a) initially, $15,000, (b) from and after the funding of the Tranche B loans, $20,000, and (c) from and after the Company’s satisfaction of the funding conditions for the Tranche C loans, $15,000, provided, that the liquidity covenant applicable at any time will be increased upon certain events related to a sale of OnkosXcel (up to a maximum amount equal to $37,500), provided that the minimum liquidity amount will in no event exceed 50% of the aggregate amount of loans outstanding under the Credit Agreement at any time; and (ii) a minimum revenue test, measured quarterly beginning with the Company’s fiscal quarter ending on December 31, 2024 (such six-month period the “Revenue Covenant Measurement Period”), that requires it and its subsidiaries’ consolidated net revenue for the six consecutive month period ending on the last day of each such fiscal quarter to not be less than a minimum revenue amount specified in the Credit Agreement (such testing date, the “Revenue Covenant Measurement Testing Date” and the covenant described in this clause (ii) the “Revenue Covenant”). The Company’s failure to comply with the financial covenants will result in an event of default, subject to certain cure rights with respect to the Revenue Covenant. If, as of a Revenue Covenant Measurement Testing Date, the Company’s revenue for the applicable Revenue Covenant Measurement Period is less than the minimum revenue amount specified for the applicable period then required under the Revenue Covenant, the Company would have a right to cure such shortfall for a total of three fiscal periods by making a revenue cure payment (which would be treated as prepayments of the loans subject to a prepayment fee) to the Lenders in an amount equal to the difference between such minimum required revenue amount and the Company’s actual revenues for such Revenue Covenant Measurement Period, such payment to not be less than $1,000. If paid, the Company will be deemed to have complied with the Revenue Covenant as of such Revenue Covenant Measurement Testing Date. Any such payment will be applied to the prepayment of the loans under the Credit Agreement.</w:t>
      </w:r>
    </w:p>
    <w:p>
      <w:pPr>
        <w:spacing w:after="0" w:line="164"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 Credit Agreement permits OnkosXcel (together with OnkosXcel Employee Holdings, LLC (“Employee Holdings”), a subsidiary of BTI, and their respective subsidiaries, the “BXCL701 Subsidiaries”) to receive third-party investment or transfer all or substantially all of their assets to an unaffiliated third party, in each case subject to terms and conditions set forth in the Credit Agreement, including the escrow of certain proceeds received by BTI and its subsidiaries (other than the BXCL701 Subsidiaries) in respect of these disposition events and, under circumstances set forth in the Credit Agreement, the mandatory prepayment of such escrowed amounts. The Company’s equity interests in the BXCL701 Subsidiaries have been pledged in support of its obligations under the Credit Agreement, and the BXCL701 Subsidiaries have provided direct guarantees of BTI’s obligations under the Credit Agreement on an unsecured basis. However, the pledge, guarantee and other obligations of the BXCL701 Subsidiaries under the Credit Agreement will be released upon certain agreed upon events, including an initial public offering by the BXCL701 Subsidiaries or the ownership by unaffiliated third parties of at least 20% of the equity interests in the BXCL701 Subsidiaries.</w:t>
      </w:r>
    </w:p>
    <w:p>
      <w:pPr>
        <w:spacing w:after="0" w:line="163" w:lineRule="exact"/>
        <w:rPr>
          <w:sz w:val="20"/>
          <w:szCs w:val="20"/>
          <w:color w:val="auto"/>
        </w:rPr>
      </w:pPr>
    </w:p>
    <w:p>
      <w:pPr>
        <w:ind w:left="60" w:right="439" w:firstLine="324"/>
        <w:spacing w:after="0" w:line="312" w:lineRule="auto"/>
        <w:rPr>
          <w:sz w:val="20"/>
          <w:szCs w:val="20"/>
          <w:color w:val="auto"/>
        </w:rPr>
      </w:pPr>
      <w:r>
        <w:rPr>
          <w:rFonts w:ascii="Times New Roman" w:cs="Times New Roman" w:eastAsia="Times New Roman" w:hAnsi="Times New Roman"/>
          <w:sz w:val="17"/>
          <w:szCs w:val="17"/>
          <w:color w:val="auto"/>
        </w:rPr>
        <w:t>The Credit Agreement contains events of default that are customary for financings of this type relating to, among other things, payment defaults, breach of covenants, breach of representations and warranties, cross default to material</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indebtedness, bankruptcy-related defaults, judgment defaults, breach of the financial covenants described above, and the occurrence of certain change of control events. In certain circumstances, events of default are subject to customary cure periods. The Credit Agreement also contains certain regulatory-related events of default, which do not have cure periods. Following an event of default and any applicable cure period, the Lenders will have the right upon notice to terminate any undrawn commitments and may accelerate all amounts outstanding under the Credit Agreement, in addition to other remedies available to them as the Company’s secured creditors.</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Waiver and Third and Fourth Amendments to Credit Agreement and Guaranty</w:t>
      </w:r>
    </w:p>
    <w:p>
      <w:pPr>
        <w:spacing w:after="0" w:line="243"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On February 12, 2024, the Company entered into the Third Amendment to Credit Agreement and Guaranty (the “Third Amendment”), which amended the Credit Agreement. Pursuant to the Third Amendment, the Lenders agreed to waive the covenant that the Company shall not receive a report and opinion from the Company’s independent auditors that contains a “going concern” or like qualification or exception or emphasis of matter of going concern footnote with respect to the Company’s financial statements for the fiscal year ended December 31, 2023 and, as a result, such event shall not be an event of default. As a condition to the effectiveness of the Third Amendment, among other things, the Company shall have received at least $40,000 in gross proceeds from a registered public sale of the Company’s common stock, warrants and/or pre-funded warrants on or before February 20, 2024. The Company did not meet this condition and therefore the Third Amendment did not become effective.</w:t>
      </w:r>
    </w:p>
    <w:p>
      <w:pPr>
        <w:spacing w:after="0" w:line="188"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On March 20, 2024 (the “Effective Date”), the Company entered into the Fourth Amendment to the Credit Agreement and Guaranty (the “Fourth Amendment”), which amended the Credit Agreement. Pursuant to the Fourth Amendment, the Lenders agreed to waive the covenant that the Company shall not receive a report and opinion from the Company’s independent registered public accounting firm that contains a “going concern” or similar qualification with respect to the Company’s financial statements for the year ended December 31, 2023. Accordingly, while the Company’s independent registered public accounting firm’s report contained in the Annual Report on Form 10-K for the fiscal year ended December 31, 2023 contains a “going concern” explanatory paragraph, it does not constitute an event of default under the Credit Agreement.</w:t>
      </w:r>
    </w:p>
    <w:p>
      <w:pPr>
        <w:spacing w:after="0" w:line="192" w:lineRule="exact"/>
        <w:rPr>
          <w:sz w:val="20"/>
          <w:szCs w:val="20"/>
          <w:color w:val="auto"/>
        </w:rPr>
      </w:pPr>
    </w:p>
    <w:p>
      <w:pPr>
        <w:ind w:left="60" w:right="219" w:firstLine="324"/>
        <w:spacing w:after="0" w:line="267" w:lineRule="auto"/>
        <w:rPr>
          <w:sz w:val="20"/>
          <w:szCs w:val="20"/>
          <w:color w:val="auto"/>
        </w:rPr>
      </w:pPr>
      <w:r>
        <w:rPr>
          <w:rFonts w:ascii="Times New Roman" w:cs="Times New Roman" w:eastAsia="Times New Roman" w:hAnsi="Times New Roman"/>
          <w:sz w:val="17"/>
          <w:szCs w:val="17"/>
          <w:color w:val="auto"/>
        </w:rPr>
        <w:t>The Fourth Amendment includes a covenant that the Company will receive, (i) after the Effective Date and on or before April 15, 2024, at least $25,000 in gross proceeds from the issuance of its common stock, warrants and/or pre-funded warrants, and/or in non-refundable cash consideration from partnering transactions entered into after the Effective Date (so long as such partnering transactions would not require the Company or any of its subsidiaries to make any cash investments in connection with the partnering transactions and no such cash investments are made) and (ii) after the Effective Date and on or before November 30, 2024, at least $50,000 (for the avoidance of doubt, inclusive of amounts previously counted toward the preceding clause (i)) in gross proceeds from the issuance of its common stock, warrants and/or pre-funded warrants, and/or in cash and/or non-cash consideration (measured at fair market value, as determined by the Administrative Agent (as defined in the Credit Agreement) in its sole discretion ) from partnering transactions entered into after the Effective Date. Failure to perform this covenant would constitute (A) a default under the Credit Agreement and (B) an event of default under the Credit Agreement, subject to a cure period, solely in the case of clause</w:t>
      </w:r>
    </w:p>
    <w:p>
      <w:pPr>
        <w:spacing w:after="0" w:line="2" w:lineRule="exact"/>
        <w:rPr>
          <w:sz w:val="20"/>
          <w:szCs w:val="20"/>
          <w:color w:val="auto"/>
        </w:rPr>
      </w:pPr>
    </w:p>
    <w:p>
      <w:pPr>
        <w:ind w:left="60" w:right="219" w:hanging="10"/>
        <w:spacing w:after="0" w:line="255" w:lineRule="auto"/>
        <w:tabs>
          <w:tab w:leader="none" w:pos="2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preceding sentence, until May 15, 2024. For the avoidance of doubt, failure to perform clause (ii) of the preceding sentence would constitute an immediate event of default under the Credit Agreement without any cure or grace period.</w:t>
      </w:r>
    </w:p>
    <w:p>
      <w:pPr>
        <w:spacing w:after="0" w:line="186"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addition, the Fourth Amendment provides that if the Company has not, after the Effective Date and on or before September 30, 2024, received at least $40,000 in gross proceeds from the issuance of its common stock, warrants and/or pre-funded warrants, and/or cash and/or non-cash consideration (measured at fair market value, as determined by the Administrative Agent in its sole discretion) from partnering transactions entered into after the Effective Date, the “Minimum Liquidity Amount” (as defined in the Credit Agreement) that the Company is required to maintain at all times will increase to $25,000 from $15,000, unless and until the Company has received, after the Effective Date and on or before November 30, 2024, at least $50,000 in gross proceeds from the issuance of the Company’s common stock, warrants and/or pre-funded warrants, and/or in cash and/or non-cash consideration (measured at fair market value, as determined by the Administrative Agent in its sole discretion) from partnering transactions entered into after the Effective Date. On March 27, 2024, the Company received $25,000 in gross proceeds from the issuance of its common stock, warrants, and pre-funded warrants discussed in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satisfying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color w:val="auto"/>
        </w:rPr>
        <w:t>the April 15, 2024 covenant requirement of the Fourth Amendment. During the third quarter of 2024, the Company received $467 of gross proceeds from the issuance of the Company’s common stock. As of September 30, 2024, the Company had satisfied $30,943 of the $40,000 required to maintain the Minimum Liquidity Amount and the $50,000 gross proceeds requirement. As a result, at September 30, 2024, the Minimum Liquidity Amount increased to $25,000.</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Waiver and Fifth Amendment to Credit Agreement and Guaranty</w:t>
      </w:r>
    </w:p>
    <w:p>
      <w:pPr>
        <w:spacing w:after="0" w:line="243"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On November 21, 2024, the Company entered into the Fifth Amendment to Credit Agreement and Guaranty and First Amendment to Fourth Amendment to Credit Agreement and Guaranty (the “Fifth Amendment”), which amended the Credit Agreement and Guaranty, dated April 19, 2022, by and among the Company, as the borrower, certain subsidiaries of the Company from time to time party thereto as subsidiary guarantors, the lenders party thereto (the “Lenders”), and Oaktree Fund Administration LLC (“OFA”) as administrative agent (as amended by the Waiver and First Amendment to Credit Agreement and Guaranty, dated as of November 13, 2023, the Second Amendment to Credit Agreement and Guaranty and Termination of Revenue Interest Financing Agreement, dated as of December 5, 2023, the Third Amendment to Credit Agreement, dated as of February 12, 2024, and the Fourth Amendment to Credit Agreement and Guaranty, dated as of March 20, 2024 (the “Fourth Amendment”), the “Existing Credit Agreement”).</w:t>
      </w:r>
    </w:p>
    <w:p>
      <w:pPr>
        <w:spacing w:after="0" w:line="188" w:lineRule="exact"/>
        <w:rPr>
          <w:sz w:val="20"/>
          <w:szCs w:val="20"/>
          <w:color w:val="auto"/>
        </w:rPr>
      </w:pPr>
    </w:p>
    <w:p>
      <w:pPr>
        <w:ind w:left="60" w:right="179" w:firstLine="324"/>
        <w:spacing w:after="0" w:line="273" w:lineRule="auto"/>
        <w:rPr>
          <w:sz w:val="20"/>
          <w:szCs w:val="20"/>
          <w:color w:val="auto"/>
        </w:rPr>
      </w:pPr>
      <w:r>
        <w:rPr>
          <w:rFonts w:ascii="Times New Roman" w:cs="Times New Roman" w:eastAsia="Times New Roman" w:hAnsi="Times New Roman"/>
          <w:sz w:val="17"/>
          <w:szCs w:val="17"/>
          <w:color w:val="auto"/>
        </w:rPr>
        <w:t>Pursuant to the Fifth Amendment, the Lenders agreed to, among other things, (i) waive the Credit Agreement’s covenant that the report and opinion the Company will receive from its independent registered public accounting firm with respect to the financial statements for the year ending December 31, 2024 will not contain a “going concern” or similar qualification, (ii) permanently waive the Credit Agreement’s minimum revenue covenant, and (iii) waive the Fourth Amendment’s requirement that the Company raise, after the effective date of the Fourth Amendment and on or before November 30, 2024, at least $50,000 in gross cash proceeds from the issuance of its common stock, warrants, and/or pre-funded warrants, and/or in cash and/or non-cash consideration from newly entered-into partnering transactions.</w:t>
      </w:r>
    </w:p>
    <w:p>
      <w:pPr>
        <w:spacing w:after="0" w:line="131"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The Fifth Amendment includes a new capital raising covenant requiring that the Company receive (A) after the effective date of the Fifth Amendment and on or prior to November 27, 2024, at least $7,000 in gross cash proceeds from the issuance of the Company’s common stock, warrants and/or pre-funded warrants(“Raise 1”), (B) after the effective date of the Fifth Amendment and on or before March 15, 2025 (provided that the Company was required to use its commercially reasonable efforts to satisfy the requirement by February 15, 2025), at least $18,000 in net cash proceeds (including the proceeds of Raise 1) from (i) the issuance of the Company’s common stock, warrants and/or pre-funded warrants, (ii) non-refundable cash consideration from partnering transactions entered into after the effective date of the Fifth Amendment (so long as such partnering transactions would not require the Company or any of its subsidiaries to make any cash investments in connection with the partnering transactions and no such cash investments are made), (iii) the issuance of the Company’s subordinated debt (subject to terms set forth in the Fifth Amendment), and/or (iv) asset sales permitted pursuant to the Credit Agreement or consented to by the Lenders (such capital raise, “Raise 2”), and (C) after the effective date of the Fifth Amendment and on or prior to the earlier of (x) August 15, 2025 and (y) the date that is 30 days after the final data readout of the SERENITY At-Home Phase 3 trial, at least $29,000 in net cash proceeds (including the proceeds from Raise 1 and Raise 2) from the same permitted capital raising activities listed in the preceding clause (B) (“Raise 3”).</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connection with the Fifth Amendment and the required capital raises described in the preceding paragraph,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Lenders agreed to modify the Credit Agreement’s minimum liquidity covenant to require minimum cash liquidity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$7,500 (instead of $25,000) from and after the closing of Raise 1 until March 30, 2025. On March 31, 2025, the minimum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liquidity amount increased to $10,000 and on September 30, 2025, the minimum liquidity amount increased to $15,000.</w:t>
      </w:r>
    </w:p>
    <w:p>
      <w:pPr>
        <w:spacing w:after="0" w:line="166" w:lineRule="exact"/>
        <w:rPr>
          <w:sz w:val="20"/>
          <w:szCs w:val="20"/>
          <w:color w:val="auto"/>
        </w:rPr>
      </w:pPr>
    </w:p>
    <w:p>
      <w:pPr>
        <w:ind w:left="60" w:right="439"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Fifth Amendment, the Company paid a one-time amortization payment of $2,500 principal amount, together with accrued and unpaid interest and a portion of the prepayment fee and other fees payable in December 2024.</w:t>
      </w:r>
    </w:p>
    <w:p>
      <w:pPr>
        <w:spacing w:after="0" w:line="135" w:lineRule="exact"/>
        <w:rPr>
          <w:sz w:val="20"/>
          <w:szCs w:val="20"/>
          <w:color w:val="auto"/>
        </w:rPr>
      </w:pPr>
    </w:p>
    <w:p>
      <w:pPr>
        <w:ind w:left="60" w:right="439" w:firstLine="324"/>
        <w:spacing w:after="0" w:line="289" w:lineRule="auto"/>
        <w:rPr>
          <w:sz w:val="20"/>
          <w:szCs w:val="20"/>
          <w:color w:val="auto"/>
        </w:rPr>
      </w:pPr>
      <w:r>
        <w:rPr>
          <w:rFonts w:ascii="Times New Roman" w:cs="Times New Roman" w:eastAsia="Times New Roman" w:hAnsi="Times New Roman"/>
          <w:sz w:val="17"/>
          <w:szCs w:val="17"/>
          <w:color w:val="auto"/>
        </w:rPr>
        <w:t>The Fifth Amendment also modifies the interest rate of the loans provided under the Credit Agreement from a floating rate of Term SOFR plus 7.50% per annum, to a fixed rate of 13% per annum, retroactive to and effective as of September 30, 2024. For the quarterly payment dates ending December 31, 2024, March 31, 2025, and June 30, 2025,</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Company had the ability to make interest payments of up to 10% per annum “in-kind” by capitalizing and adding such interest to the outstanding principal amount of the loans under the Credit Agreement. In addition, pursuant to the Fifth Amendment, the Company will be required to make quarterly amortization payments equal to 5.0% of the principal amount of funded loans, together with applicable prepayment fees, beginning on March 31, 2026.</w:t>
      </w:r>
    </w:p>
    <w:p>
      <w:pPr>
        <w:spacing w:after="0" w:line="153"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On the effective date of the Fifth Amendment and as a condition to effectiveness thereof, the Company’s wholly owned subsidiaries OnkosXcel Therapeutics, LLC and OnkosXcel Employee Holdings, LLC (collectively, “OnkosXcel”), which previously provided unsecured guarantees of the Company’s obligations under the Credit Agreement, granted security interests in substantially all of their assets to support such obligations.</w:t>
      </w:r>
    </w:p>
    <w:p>
      <w:pPr>
        <w:spacing w:after="0" w:line="139"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The Fifth Amendment amends the negative covenants under the Credit Agreement to remove flexibility the Company and its subsidiaries previously had thereunder to undertake various transactions, including, without limitation, with respect to potential dispositions of OnkosXcel or out-licenses by OnkosXcel of its intellectual property.</w:t>
      </w:r>
    </w:p>
    <w:p>
      <w:pPr>
        <w:spacing w:after="0" w:line="135" w:lineRule="exact"/>
        <w:rPr>
          <w:sz w:val="20"/>
          <w:szCs w:val="20"/>
          <w:color w:val="auto"/>
        </w:rPr>
      </w:pPr>
    </w:p>
    <w:p>
      <w:pPr>
        <w:ind w:left="60" w:right="339" w:firstLine="324"/>
        <w:spacing w:after="0" w:line="256" w:lineRule="auto"/>
        <w:rPr>
          <w:sz w:val="20"/>
          <w:szCs w:val="20"/>
          <w:color w:val="auto"/>
        </w:rPr>
      </w:pPr>
      <w:r>
        <w:rPr>
          <w:rFonts w:ascii="Times New Roman" w:cs="Times New Roman" w:eastAsia="Times New Roman" w:hAnsi="Times New Roman"/>
          <w:sz w:val="18"/>
          <w:szCs w:val="18"/>
          <w:color w:val="auto"/>
        </w:rPr>
        <w:t>Pursuant to the Fifth Amendment, the Company committed to appoint a new independent board director (subject to customary background checks, applicable law, confirmation of independence and Nasdaq rules), and to provide the independent director with various privileges and committee memberships on the board of directors of the Company (including the appointment of such director on committee to be formed to focus on capital raising and evaluate strategic options). The Company also agreed to engage an investment banker reasonably acceptable to OFA and the Lenders to assist the Company and its board of directors with evaluating and exploring strategic options.</w:t>
      </w:r>
    </w:p>
    <w:p>
      <w:pPr>
        <w:spacing w:after="0" w:line="160" w:lineRule="exact"/>
        <w:rPr>
          <w:sz w:val="20"/>
          <w:szCs w:val="20"/>
          <w:color w:val="auto"/>
        </w:rPr>
      </w:pPr>
    </w:p>
    <w:p>
      <w:pPr>
        <w:ind w:left="60" w:right="219" w:firstLine="324"/>
        <w:spacing w:after="0" w:line="273" w:lineRule="auto"/>
        <w:rPr>
          <w:sz w:val="20"/>
          <w:szCs w:val="20"/>
          <w:color w:val="auto"/>
        </w:rPr>
      </w:pPr>
      <w:r>
        <w:rPr>
          <w:rFonts w:ascii="Times New Roman" w:cs="Times New Roman" w:eastAsia="Times New Roman" w:hAnsi="Times New Roman"/>
          <w:sz w:val="17"/>
          <w:szCs w:val="17"/>
          <w:color w:val="auto"/>
        </w:rPr>
        <w:t>The Company also agreed to covenants requiring that the Company’s cash expenditures be monitored by the Lenders according to a board-approved budget provided to the Lenders prior to the signing of the Fifth Amendment, which cash budget will be updated on a bi-weekly basis going forward. The Company will not be permitted to make disbursements for any two-week period in excess of 115% of the aggregate budgeted amount of disbursements for the applicable period. Finally, pursuant to the Fifth Amendment, the Company is restricted from paying cash bonuses for its employees or executives during the fiscal years 2024 and 2025 without OFA’s consent or increasing the cash compensation for fiscal year 2025 for certain senior officers of the Company from their compensation for fiscal year 2024.</w:t>
      </w:r>
    </w:p>
    <w:p>
      <w:pPr>
        <w:spacing w:after="0" w:line="1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Sixth, Seventh, and Eighth Amendment to Credit Agreement</w:t>
      </w:r>
    </w:p>
    <w:p>
      <w:pPr>
        <w:spacing w:after="0" w:line="18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On March 4, 2025, the Company entered into the Sixth Amendment to our Credit Agreement, which extended the deadline to engage an investment banker. The Company subsequently entered into the Seventh and Eighth Amendments on March 12, 2025 and April 22, 2025, respectively, and collectively, these amendments extended the deadline to July 31, 2025. The Company retained an investment banker prior to July 31, 2025.</w:t>
      </w:r>
    </w:p>
    <w:p>
      <w:pPr>
        <w:spacing w:after="0" w:line="153"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the Company was in compliance with all restrictive and financial covenants under the Credit Agreement.</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Ninth Amendment to Credit Agreement</w:t>
      </w:r>
    </w:p>
    <w:p>
      <w:pPr>
        <w:spacing w:after="0" w:line="189"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On March 27, 2026, the Company entered into the Ninth Amendment to Credit Agreement and Guaranty (the “Ninth Amendment”), by and among the Company, as the borrower, the Lenders and OFA as administrative agent, which included among other things, (i) a waiver of the “going concern” qualification for our audited annual financial statements for the year ended December 31, 2025 and (ii) a reduction in the Credit Agreement’s minimum liquidity covenant of $2,500 (from $15,000 to $12,500).</w:t>
      </w:r>
    </w:p>
    <w:p>
      <w:pPr>
        <w:spacing w:after="0" w:line="183"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Ninth Amendment the Company (i) made a one-time prepayment of the principal amount of $2,500, together with accrued and unpaid interest thereon on March 31, 2026, (ii) agreed that on or prior to April 15, 2026, at the Company’s option either (A) pay the Lenders an amendment fee of $2,032 or (B) grant warrants to the Lenders to purchase up to 1,354 shares of common stock of the Company, at an exercise price of $0.01 per share and (iii) following receipt of aggregated gross proceeds following the effective date of the Ninth Amendment from (a) the issuance of the Company’s common stock, warrants and/or pre-funded warrants, (b) non-refundable cash consideration from partnering transactions, (c) the issuance of the Company’s subordinated debt and/or (d) sales by the Company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4" w:lineRule="auto"/>
        <w:rPr>
          <w:sz w:val="20"/>
          <w:szCs w:val="20"/>
          <w:color w:val="auto"/>
        </w:rPr>
      </w:pPr>
      <w:r>
        <w:rPr>
          <w:rFonts w:ascii="Times New Roman" w:cs="Times New Roman" w:eastAsia="Times New Roman" w:hAnsi="Times New Roman"/>
          <w:sz w:val="17"/>
          <w:szCs w:val="17"/>
          <w:color w:val="auto"/>
        </w:rPr>
        <w:t>its assets, in each case ((a) through (d)), in transactions permitted under the Credit Agreement (“Capital Raise Activities”), make a prepayment of the loans under the Credit Agreement in an aggregate principal amount equal to 50% of such gross cash proceeds, together with accrued interest thereon and any fees or premia (including prepayment premium) payable in connection therewith; provided, that the foregoing requirement will not apply (A) with respect to the first $2,500 in the aggregate of proceeds raised from Capital Raise Activities (as defined in the Credit Agreement) and (B) once the aggregate principal amount of the Loans prepaid pursuant to one or more Capital Raise Prepayments equals $2,500.</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Warrants and Equity Investment Right</w:t>
      </w:r>
    </w:p>
    <w:p>
      <w:pPr>
        <w:spacing w:after="0" w:line="202"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Second Amendment, on the Second Amendment Effective Date, the Company amended and restated the warrants granted to the Lenders on April 19, 2022 to purchase up to 17 shares of the Company’s common stock at an exercise price of $320.64 per share (the “Closing Date Warrants”). Pursuant to the amendment and restatement of the Closing Date Warrants, dated December 5, 2023 (the “Amended and Restated Closing Date Warrants”), the exercise price of the Closing Date Warrants has been reduced to $58.3232 per share. In addition, the Company granted new warrants to the Lenders to purchase up to 4 shares of the Company’s common stock (the “2023 Warrant Shares”) at an exercise price of $58.3232 per share (the “2023 Warrants” and together with the Amended and Restated Closing Date Warrants, the “Warrants”). The Amended and Restated Closing Date Warrants and the 2023 Warrants will expire on April 19, 2029 and may be net exercised at the holders election. In addition, pursuant to the Credit Agreement, the Lenders have the right to purchase shares of the Company’s common stock after the Second Amendment Effective Date,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BTI entered into a registration rights agreement (the “Registration Rights Agreement”) with the Lenders and filed a registration statement on Form S-3 to register the shares issuable upon exercise of the Warrants and, if issued, the shares related to the Equity Investment Right, for resale. The maximum shares of the Company’s common stock issuable under the Warrants (including the Closing Date Warrants and the 2023 Warrants) and Lenders’ Equity Investment Right was 366 as of March 31, 2024. On the Second Amendment Effective Date, Company amended and restated its Registration Rights Agreement (the “Amended and Restated Registration Rights Agreement”) with the Lenders, dated April 19, 2022, pursuant to which the Company agreed to register the 2023 Warrant Shares for resale.</w:t>
      </w:r>
    </w:p>
    <w:p>
      <w:pPr>
        <w:spacing w:after="0" w:line="151"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As part of the Credit Agreement, OnkosXcel, a wholly owned subsidiary of BTI, granted warrants to the Lenders to purchase 175 individual limited liability company units (which number of units is not in thousands; referred to herein as the “OnkosXcel Warrants”).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 (y) 150% of the valuation applicable to the initial profits units issued by OnkosXcel after the closing of the Credit Agreement. The OnkosXcel Warrants are transferable with approval from BTI, which cannot be unreasonably withheld, expire on April 19, 2029, and may be net exercised at the holder’s election.</w:t>
      </w:r>
    </w:p>
    <w:p>
      <w:pPr>
        <w:spacing w:after="0" w:line="147"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Fourth Amendment discussed below, the Company granted new warrants to the Lenders to purchase up to 6 shares of its common stock (the “2024 Warrant Shares”) at an exercise price of $49.1568 per share (the “2024 Warrants”), which represents a 10% premium over the arithmetic average of the volume-weighted average price of the Company’s common stock on the Nasdaq Capital Market during the 30 trading days preceding the Effective Date. The 2024 Warrants will expire on April 19, 2029 and may be net exercised at the holder’s election. On the Effective Date, the Company amended and restated its Amended and Restated Registration Rights Agreement (the “Second Amended and Restated Registration Rights Agreement”) with the Lenders, originally dated</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April 19, 2022. Pursuant to the Second Amended and Restated Registration Rights Agreement, the Company agreed to register the 2024 Warrant Shares for resale.</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Fifth Amendment Warrants, Registration Rights Agreement and Equity Investment Right Termination</w:t>
      </w:r>
    </w:p>
    <w:p>
      <w:pPr>
        <w:spacing w:after="0" w:line="202"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Prior to the Fifth Amendment, pursuant to the Credit Agreement, the Lenders had the right to purchase shares of our common stock,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The Equity investment Right was terminated as part of the Fifth Amendment. We entered into a registration rights agreement with the Lenders (as amended and restated in connection with the Second Amendment, the “Amended and Restated Registration Rights Agreement”) and filed registration statements on Form S-3 to register the shares issuable upon exercise of the Closing Date Warrants, 2023 Warrants and the New Warrants for resale. The maximum shares of our common stock issuable under the Closing Date Warrants, the 2023 Warrants and the Lenders’ Equity Investment Right was 366. On the Effective Date, we further amended and restated the Amended and Restated Registration Rights Agreement (the “Second Amended and Restated Registration Rights Agreement”) with the Lenders. Pursuant to the Second Amended and Restated Registration Rights Agreement, we agreed to register the 2024 Warrant Shares for resale.</w:t>
      </w:r>
    </w:p>
    <w:p>
      <w:pPr>
        <w:spacing w:after="0" w:line="149"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Fifth Amendment, the Company agreed to, substantially concurrently with the closing of Raise 1, grant new warrants to the Lenders to purchase an aggregate of 313 shares of common stock on the closing date of the Fifth Amendment, at an exercise price of $0.16 per share (the “New Warrants”). During the three months ended June 30, 2025, the Company issued 284 shares of Common Stock in connection with the cashless exercises of the 313 New Warrants.</w:t>
      </w:r>
    </w:p>
    <w:p>
      <w:pPr>
        <w:spacing w:after="0" w:line="143"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In addition, the Company agreed to, substantially concurrently with the closing of Raise 1, amend and restate all warrants to purchase stock of the Company issued to the Lenders prior to the effective date of the Fifth Amendment, to revise the exercise price thereunder to an exercise price equal to the lower of (i) the price per share of the common stock of the Company issued in Raise 1 and (ii) arithmetic average of the volume-weighted average price of the Company’s common stock on the Nasdaq Capital Market during the 30 trading days preceding Raise 1 (such existing warrants, as amended and restated, the “Original Warrants”). The Original Warrants provide the Lenders with the right to purchase a total of 28 shares of common stock of the Company, and the exercise prices of $58.3232 per share and $49.1568 per share were reduced to $7.68 per share.</w:t>
      </w:r>
    </w:p>
    <w:p>
      <w:pPr>
        <w:spacing w:after="0" w:line="165"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On the date of issuance of the New Warrants, the Company agreed to amend and restate its Second Amended and Restated Registration Rights Agreement with the Lenders, dated March 20, 2024. Pursuant to such amendment and restatement (the “Third Amended and Restated Registration Rights Agreement”), the Company will agree to register the shares of common stock issuable under the New Warrants, in addition to all Original Warrants, for resale.</w:t>
      </w:r>
    </w:p>
    <w:p>
      <w:pPr>
        <w:spacing w:after="0" w:line="13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As part of entering into the Credit Agreement, OnkosXcel, a wholly owned subsidiary of BTI, granted the OnkosXcel Warrants to the Lenders to purchase 175 individual limited liability company units.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 (y) 150% of the valuation applicable to the initial profits units issued by OnkosXcel after the closing of the Credit Agreement. The OnkosXcel Warrants are transferable with approval from BTI, which cannot be unreasonably withheld, expire on April 19, 2029, and may be net exercised at the holder’s election.</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Maturities of debt are expected to be as follows:</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09"/>
        </w:trPr>
        <w:tc>
          <w:tcPr>
            <w:tcW w:w="6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16,823</w:t>
            </w:r>
          </w:p>
        </w:tc>
      </w:tr>
      <w:tr>
        <w:trPr>
          <w:trHeight w:val="216"/>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8"/>
                <w:szCs w:val="18"/>
                <w:color w:val="auto"/>
              </w:rPr>
            </w:pPr>
          </w:p>
        </w:tc>
        <w:tc>
          <w:tcPr>
            <w:tcW w:w="900" w:type="dxa"/>
            <w:vAlign w:val="bottom"/>
            <w:gridSpan w:val="2"/>
          </w:tcPr>
          <w:p>
            <w:pPr>
              <w:jc w:val="center"/>
              <w:ind w:left="415"/>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87,225</w:t>
            </w:r>
          </w:p>
        </w:tc>
      </w:tr>
      <w:tr>
        <w:trPr>
          <w:trHeight w:val="21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was as follows:</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22"/>
        </w:trPr>
        <w:tc>
          <w:tcPr>
            <w:tcW w:w="6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5"/>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9"/>
        </w:trPr>
        <w:tc>
          <w:tcPr>
            <w:tcW w:w="6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r>
      <w:tr>
        <w:trPr>
          <w:trHeight w:val="196"/>
        </w:trPr>
        <w:tc>
          <w:tcPr>
            <w:tcW w:w="6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5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w:t>
            </w:r>
          </w:p>
        </w:tc>
      </w:tr>
      <w:tr>
        <w:trPr>
          <w:trHeight w:val="216"/>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Accretion of debt discount and amortization of financing costs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left="415"/>
              <w:spacing w:after="0"/>
              <w:rPr>
                <w:sz w:val="20"/>
                <w:szCs w:val="20"/>
                <w:color w:val="auto"/>
              </w:rPr>
            </w:pPr>
            <w:r>
              <w:rPr>
                <w:rFonts w:ascii="Times New Roman" w:cs="Times New Roman" w:eastAsia="Times New Roman" w:hAnsi="Times New Roman"/>
                <w:sz w:val="18"/>
                <w:szCs w:val="18"/>
                <w:color w:val="auto"/>
              </w:rPr>
              <w:t>502</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09"/>
        </w:trPr>
        <w:tc>
          <w:tcPr>
            <w:tcW w:w="6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interest expense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r>
      <w:tr>
        <w:trPr>
          <w:trHeight w:val="20"/>
        </w:trPr>
        <w:tc>
          <w:tcPr>
            <w:tcW w:w="6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Derivative Financial Instruments</w:t>
      </w:r>
    </w:p>
    <w:p>
      <w:pPr>
        <w:spacing w:after="0" w:line="189" w:lineRule="exact"/>
        <w:rPr>
          <w:sz w:val="20"/>
          <w:szCs w:val="20"/>
          <w:color w:val="auto"/>
        </w:rPr>
      </w:pPr>
    </w:p>
    <w:p>
      <w:pPr>
        <w:ind w:left="60" w:right="219" w:firstLine="405"/>
        <w:spacing w:after="0" w:line="253" w:lineRule="auto"/>
        <w:rPr>
          <w:sz w:val="20"/>
          <w:szCs w:val="20"/>
          <w:color w:val="auto"/>
        </w:rPr>
      </w:pPr>
      <w:r>
        <w:rPr>
          <w:rFonts w:ascii="Times New Roman" w:cs="Times New Roman" w:eastAsia="Times New Roman" w:hAnsi="Times New Roman"/>
          <w:sz w:val="18"/>
          <w:szCs w:val="18"/>
          <w:color w:val="auto"/>
        </w:rPr>
        <w:t xml:space="preserve">BTI identified certain freestanding financial instruments and/or embedded features that require separate accounting from the borrowings under the OFA Facilities. This includes the OnkosXcel Warrants and Equity Investment Right held by the Lenders, along with certain put/call options. The OnkosXcel Warrants and Equity Investment Right do not meet certain scope exceptions under U.S. GAAP, primarily because the exercise prices and number of shares of the Company’s common stock issuable under the instruments are variable, and the instruments meet the definition of a derivative instrument. Therefore, these instruments are recorded as Derivative liabilities in the Condensed Consolidated Balance Sheets. The respective derivative liabilities were recorded at fair value on the date of issuance and are revalued on each balance sheet date until such instruments are settled or expire, with changes in the fair value between reporting periods recorded within Other (income) expense, net in the Company’s Condensed Consolidated Statements of Operations. As discussed in Note 9, </w:t>
      </w:r>
      <w:r>
        <w:rPr>
          <w:rFonts w:ascii="Times New Roman" w:cs="Times New Roman" w:eastAsia="Times New Roman" w:hAnsi="Times New Roman"/>
          <w:sz w:val="18"/>
          <w:szCs w:val="18"/>
          <w:i w:val="1"/>
          <w:iCs w:val="1"/>
          <w:color w:val="auto"/>
        </w:rPr>
        <w:t>Debt and Credit Facilities</w:t>
      </w:r>
      <w:r>
        <w:rPr>
          <w:rFonts w:ascii="Times New Roman" w:cs="Times New Roman" w:eastAsia="Times New Roman" w:hAnsi="Times New Roman"/>
          <w:sz w:val="18"/>
          <w:szCs w:val="18"/>
          <w:color w:val="auto"/>
        </w:rPr>
        <w:t>, the Equity Investment Right was terminated on November 25, 2024 in connection with the Fifth Amendment to the Credit Agreement.</w:t>
      </w:r>
    </w:p>
    <w:p>
      <w:pPr>
        <w:spacing w:after="0" w:line="190" w:lineRule="exact"/>
        <w:rPr>
          <w:sz w:val="20"/>
          <w:szCs w:val="20"/>
          <w:color w:val="auto"/>
        </w:rPr>
      </w:pPr>
    </w:p>
    <w:p>
      <w:pPr>
        <w:ind w:left="60" w:right="159" w:firstLine="401"/>
        <w:spacing w:after="0" w:line="254" w:lineRule="auto"/>
        <w:rPr>
          <w:sz w:val="20"/>
          <w:szCs w:val="20"/>
          <w:color w:val="auto"/>
        </w:rPr>
      </w:pPr>
      <w:r>
        <w:rPr>
          <w:rFonts w:ascii="Times New Roman" w:cs="Times New Roman" w:eastAsia="Times New Roman" w:hAnsi="Times New Roman"/>
          <w:sz w:val="18"/>
          <w:szCs w:val="18"/>
          <w:color w:val="auto"/>
        </w:rPr>
        <w:t xml:space="preserve">With respect to the Purchase Agreement discussed in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xml:space="preserve">, BTI determined that the Accompanying Warrants fail the equity classification criteria and are therefore classified as liabilities in accordance with ASC 480, Distinguishing Liabilities from Equity ("ASC 480") and ASC 815, Derivatives and Hedging (“ASC 815”). The Accompanying Warrants failed to meet the requirements to be indexed to equity and equity classified, and meet the definition of a derivative instrument. Therefore, these instruments are recorded as Derivative liabilities in the Condensed Consolidated Balance Sheet as of March 31, 2026. The respective derivative liabilities were recorded at fair value on the date of issuance and are revalued on each balance sheet date until such instruments are settled or expire, with changes in the fair value between reporting periods recorded within Other (income) expense, net in the Company’s Condensed Consolidated Statements of Operations. We value the Accompanying Warrants using the Black-Scholes option pricing model as discussed in Note 14,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November 21, 2024, the exercise price of 534 of the total 539 Accompanying Warrants was reduced from</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$51.20 to $9.136 per share. On March 10, 2026, in connection with the March 2026 Offering discussed in Note 11,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the exercise price of 534 of the Accompanying Warrants was further reduced from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$9.136 to $1.614 per share, the exercise price of the remaining 5 Accompanying Warrants was reduced from $51.20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$1.614 per share and the term of all 539 Accompanying Warrants was extended to five years following the closing date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March 2026 Offering. As a result of the repricing, the Company recorded the increase in fair value of $224 as 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increase to the carrying value of Derivative liabilities, and as a reduction to Additional paid-in-capital in the Company’s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Condensed Consolidated Balance Sheets. For the three months ended March 31, 2026, the Company recorded a net gain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$130, in Other (income) expense, net, in the Company’s Condensed Consolidated Statements of Operations. As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2026, the fair value of the Accompanying Warrants was $596.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right="159" w:firstLine="401"/>
        <w:spacing w:after="0" w:line="255" w:lineRule="auto"/>
        <w:rPr>
          <w:sz w:val="20"/>
          <w:szCs w:val="20"/>
          <w:color w:val="auto"/>
        </w:rPr>
      </w:pPr>
      <w:r>
        <w:rPr>
          <w:rFonts w:ascii="Times New Roman" w:cs="Times New Roman" w:eastAsia="Times New Roman" w:hAnsi="Times New Roman"/>
          <w:sz w:val="18"/>
          <w:szCs w:val="18"/>
          <w:color w:val="auto"/>
        </w:rPr>
        <w:t xml:space="preserve">On November 25, 2024, with respect to the Underwriter Agreement discussed in Note 11, </w:t>
      </w:r>
      <w:r>
        <w:rPr>
          <w:rFonts w:ascii="Times New Roman" w:cs="Times New Roman" w:eastAsia="Times New Roman" w:hAnsi="Times New Roman"/>
          <w:sz w:val="18"/>
          <w:szCs w:val="18"/>
          <w:i w:val="1"/>
          <w:iCs w:val="1"/>
          <w:color w:val="auto"/>
        </w:rPr>
        <w:t>Common Stock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Activities</w:t>
      </w:r>
      <w:r>
        <w:rPr>
          <w:rFonts w:ascii="Times New Roman" w:cs="Times New Roman" w:eastAsia="Times New Roman" w:hAnsi="Times New Roman"/>
          <w:sz w:val="18"/>
          <w:szCs w:val="18"/>
          <w:color w:val="auto"/>
        </w:rPr>
        <w:t>, the Company issued additional warrants (the “November 2024 Accompanying Warrants”). The November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Accompanying Warrants failed to meet the requirements to be indexed to equity and equity classified, and meet the definition of a derivative instrument. Therefore, these instruments are recorded as Derivative liabilities in the Consolidated Balance Sheet as of March 31, 2026. The respective derivative liabilities were recorded at fair value on the date of issuance and are revalued on each balance sheet date until such instruments are settled or expire, with changes in the fair value between reporting periods recorded within Other (income) expense, net in the Company’s Condensed Consolidated Statements of Operations.</w:t>
      </w:r>
    </w:p>
    <w:p>
      <w:pPr>
        <w:spacing w:after="0" w:line="185" w:lineRule="exact"/>
        <w:rPr>
          <w:sz w:val="20"/>
          <w:szCs w:val="20"/>
          <w:color w:val="auto"/>
        </w:rPr>
      </w:pPr>
    </w:p>
    <w:p>
      <w:pPr>
        <w:ind w:left="60" w:right="219" w:firstLine="401"/>
        <w:spacing w:after="0" w:line="255" w:lineRule="auto"/>
        <w:rPr>
          <w:sz w:val="20"/>
          <w:szCs w:val="20"/>
          <w:color w:val="auto"/>
        </w:rPr>
      </w:pPr>
      <w:r>
        <w:rPr>
          <w:rFonts w:ascii="Times New Roman" w:cs="Times New Roman" w:eastAsia="Times New Roman" w:hAnsi="Times New Roman"/>
          <w:sz w:val="18"/>
          <w:szCs w:val="18"/>
          <w:color w:val="auto"/>
        </w:rPr>
        <w:t xml:space="preserve">On March 10, 2026, in connection with the March 2026 Offering discussed in Note 11, </w:t>
      </w:r>
      <w:r>
        <w:rPr>
          <w:rFonts w:ascii="Times New Roman" w:cs="Times New Roman" w:eastAsia="Times New Roman" w:hAnsi="Times New Roman"/>
          <w:sz w:val="18"/>
          <w:szCs w:val="18"/>
          <w:i w:val="1"/>
          <w:iCs w:val="1"/>
          <w:color w:val="auto"/>
        </w:rPr>
        <w:t>Common Stock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Activities</w:t>
      </w:r>
      <w:r>
        <w:rPr>
          <w:rFonts w:ascii="Times New Roman" w:cs="Times New Roman" w:eastAsia="Times New Roman" w:hAnsi="Times New Roman"/>
          <w:sz w:val="18"/>
          <w:szCs w:val="18"/>
          <w:color w:val="auto"/>
        </w:rPr>
        <w:t>, the exercise price of 846 of the total 913 November 2024 Accompanying Warrants was reduced from $7.68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$1.614 per share and the term was extended to five years following the closing date of the March 2026 Offering. As a result of the repricing, the Company recorded the increase in fair value of $282 as an increase to the carrying value of Derivative liabilities, and as a reduction to Additional paid-in-capital in the Company’s Condensed Consolidated Balance Sheets. For the three months ended March 31, 2026, the Company recorded a net gain of $226, in Other (income) expense, net, in the Company’s Condensed Consolidated Statements of Operations. As of March 31, 2026, the fair value of the November 2024 Accompanying Warrants was $990.</w:t>
      </w:r>
    </w:p>
    <w:p>
      <w:pPr>
        <w:spacing w:after="0" w:line="185" w:lineRule="exact"/>
        <w:rPr>
          <w:sz w:val="20"/>
          <w:szCs w:val="20"/>
          <w:color w:val="auto"/>
        </w:rPr>
      </w:pPr>
    </w:p>
    <w:p>
      <w:pPr>
        <w:ind w:left="60" w:right="199" w:firstLine="401"/>
        <w:spacing w:after="0" w:line="269" w:lineRule="auto"/>
        <w:rPr>
          <w:sz w:val="20"/>
          <w:szCs w:val="20"/>
          <w:color w:val="auto"/>
        </w:rPr>
      </w:pPr>
      <w:r>
        <w:rPr>
          <w:rFonts w:ascii="Times New Roman" w:cs="Times New Roman" w:eastAsia="Times New Roman" w:hAnsi="Times New Roman"/>
          <w:sz w:val="17"/>
          <w:szCs w:val="17"/>
          <w:color w:val="auto"/>
        </w:rPr>
        <w:t xml:space="preserve">On March 3, 2025, with respect to the March 2025 Offering discussed in Note 11, </w:t>
      </w:r>
      <w:r>
        <w:rPr>
          <w:rFonts w:ascii="Times New Roman" w:cs="Times New Roman" w:eastAsia="Times New Roman" w:hAnsi="Times New Roman"/>
          <w:sz w:val="17"/>
          <w:szCs w:val="17"/>
          <w:i w:val="1"/>
          <w:iCs w:val="1"/>
          <w:color w:val="auto"/>
        </w:rPr>
        <w:t>Common Stock Financing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Activities</w:t>
      </w:r>
      <w:r>
        <w:rPr>
          <w:rFonts w:ascii="Times New Roman" w:cs="Times New Roman" w:eastAsia="Times New Roman" w:hAnsi="Times New Roman"/>
          <w:sz w:val="17"/>
          <w:szCs w:val="17"/>
          <w:color w:val="auto"/>
        </w:rPr>
        <w:t>, the Company issued additional warrants (the “March 2025 Accompanying Warrants”). The March 2025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Accompanying Warrants failed to meet the requirements to be indexed to equity and equity classified, and meet the definition of a derivative instrument. Therefore, these instruments are recorded as Derivative liabilities in the Condensed Consolidated Balance Sheet as of March 31, 2026. The respective derivative liabilities were recorded at fair value on the date of issuance and are revalued on each balance sheet date until such instruments are settled or expire, with changes in the fair value between reporting periods recorded within Other (income) expense, net in the Company’s Condensed Consolidated Statements of Operations. In August 2025, 2,300 of the March 2025 Accompanying Warrants were exercised. In connection with the exercise, the Company remeasured the fair value of the warrant liability, resulting in a recognized net loss of $9,920 recorded in Other (income) expense, net in the Company’s Condensed Consolidated Statements of Operations. As of March 31, 2026, the fair value of the remaining 1,700 March 2025 Accompanying Warrants was $151. For the three months ended March 31, 2026, the Company recorded a net gain of $203, for the remaining warrants in Other (income) expense, net, in the Company’s Condensed Consolidated Statements of Operations.</w:t>
      </w:r>
    </w:p>
    <w:p>
      <w:pPr>
        <w:spacing w:after="0" w:line="395" w:lineRule="exact"/>
        <w:rPr>
          <w:sz w:val="20"/>
          <w:szCs w:val="20"/>
          <w:color w:val="auto"/>
        </w:rPr>
      </w:pPr>
    </w:p>
    <w:p>
      <w:pPr>
        <w:ind w:left="60" w:right="179" w:firstLine="401"/>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 March 2025 Offering discussed in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the Company also issued option warrants (the “Option Warrants”). The Option Warrants failed to meet the requirements to be indexed to equity and equity classified, and meet the definition of a derivative instrument. Therefore, these instruments are initially recorded as Derivative liabilities. The respective derivative liabilities were recorded at fair value on the date of issuance in the amount of $369. The Option Warrants expired on March 18, 2025 without being exercised, and the Company recorded a termination gain of $369 in Other (income) expense, net, in the Company’s Condensed Consolidated Statements of Operations. As of March 31, 2026, the fair value of the Option Warrants was $0.</w:t>
      </w:r>
    </w:p>
    <w:p>
      <w:pPr>
        <w:spacing w:after="0" w:line="183" w:lineRule="exact"/>
        <w:rPr>
          <w:sz w:val="20"/>
          <w:szCs w:val="20"/>
          <w:color w:val="auto"/>
        </w:rPr>
      </w:pPr>
    </w:p>
    <w:p>
      <w:pPr>
        <w:ind w:left="60" w:right="259" w:firstLine="401"/>
        <w:spacing w:after="0" w:line="254" w:lineRule="auto"/>
        <w:rPr>
          <w:sz w:val="20"/>
          <w:szCs w:val="20"/>
          <w:color w:val="auto"/>
        </w:rPr>
      </w:pPr>
      <w:r>
        <w:rPr>
          <w:rFonts w:ascii="Times New Roman" w:cs="Times New Roman" w:eastAsia="Times New Roman" w:hAnsi="Times New Roman"/>
          <w:sz w:val="18"/>
          <w:szCs w:val="18"/>
          <w:color w:val="auto"/>
        </w:rPr>
        <w:t xml:space="preserve">On March 10, 2026, with respect to the March 2026 Offering discussed in Note 11, </w:t>
      </w:r>
      <w:r>
        <w:rPr>
          <w:rFonts w:ascii="Times New Roman" w:cs="Times New Roman" w:eastAsia="Times New Roman" w:hAnsi="Times New Roman"/>
          <w:sz w:val="18"/>
          <w:szCs w:val="18"/>
          <w:i w:val="1"/>
          <w:iCs w:val="1"/>
          <w:color w:val="auto"/>
        </w:rPr>
        <w:t>Common Stock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Activities</w:t>
      </w:r>
      <w:r>
        <w:rPr>
          <w:rFonts w:ascii="Times New Roman" w:cs="Times New Roman" w:eastAsia="Times New Roman" w:hAnsi="Times New Roman"/>
          <w:sz w:val="18"/>
          <w:szCs w:val="18"/>
          <w:color w:val="auto"/>
        </w:rPr>
        <w:t>, the Company issued additional warrants (the “March 2026 Accompanying Warrants”). The March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Accompanying Warrants failed to meet the requirements to be indexed to equity and equity classified, and met the definition of a derivative instrument. Therefore, these instruments are recorded as Derivative liabilities in the Condensed Consolidated Balance Sheet as of March 31, 2026. The respective derivative liabilities were recorded at fair value on the date of issuance in the amount of $5,940 and are revalued on each balance sheet date until such instruments are settled or expire, with changes in the fair value between reporting periods recorded within Other (income) expense, net in the Company’s Condensed Consolidated Statements of Operations. As of March 31, 2026, the fair value of the March 2026 Accompanying Warrants was $4,980. For the three months ended March 31, 2026, the Company recorded a net gain of $960 in Other (income) expense, net, in the Company’s Condensed Consolidated Statements of Operations.</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Common Stock Financing Activities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March 2024 Offering</w:t>
      </w:r>
    </w:p>
    <w:p>
      <w:pPr>
        <w:spacing w:after="0" w:line="229"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On March 25, 2024, the Company entered into a Securities Purchase Agreement (the “Purchase Agreement”) with the purchasers named therein (collectively, the “Purchasers”). Pursuant to the Purchase Agreement, the Company agreed to issue and sell to the Purchasers in a registered direct offering (the “Offering”) under an effective shelf registration statement on Form S-3 (File No. 333-275261) and a related prospectus supplement filed with the Securities and Exchange Commission on March 25, 2024 (the “Prospectus Supplement”) an aggregate of 191 shares (the “Shares”) of Common Stock, and accompanying warrants (the “Accompanying Warrants”) to purchase up to 191 shares of common stock at a combined offering price of $46.416 per Share and Accompanying Warrant and pre-funded warrants (the “Pre-Funded Warrants”) to purchase up to 348 shares of common stock and Accompanying Warrants to purchase up to 348 shares of common stock, at a combined offering price of $46.40 per share underlying each Pre-Funded Warrant and Accompanying Warrant, which equals the offering price per Share and Accompanying Warrant less the $0.016 exercise price per share of the Pre-Funded Warrants. The Pre-Funded Warrants and Accompanying Warrants are not listed on the Nasdaq Capital Market or any other securities exchange or trading system and the Company does not intend to list them. On March 27, 2024, the Company received $25,000 of gross proceeds from the Offering, incurred costs of $248, and received net proceeds of $24,752.</w:t>
      </w:r>
    </w:p>
    <w:p>
      <w:pPr>
        <w:spacing w:after="0" w:line="197"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The Pre-Funded Warrants have an exercise price per share of common stock equal to $0.016 per share. The exercise price and the number of shares of common stock issuable upon exercise of the Pre-Funded Warrants are subject to appropriate adjustments in the event of certain stock dividends and distributions, stock splits, stock combinations, reclassifications or similar events affecting the common stock. The Pre-Funded Warrants are exercisable at any time after the date of issuance. The Pre-Funded Warrants meet the equity classification criteria and are therefore classified as equity. For the year ended December 31, 2024, all 348 Pre-Funded Warrants were exercised and the same number of shares of common stock were issued.</w:t>
      </w:r>
    </w:p>
    <w:p>
      <w:pPr>
        <w:spacing w:after="0" w:line="189"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 Accompanying Warrants have an exercise price per share of common stock equal to $51.20 per share. The exercise price and the number of shares of common stock issuable upon exercise of the Accompanying Warrants are subject to appropriate adjustments in the event of certain stock dividends and distributions, stock splits, stock combinations, reclassifications or similar events affecting the common stock. The Accompanying Warrants will be exercisable at any time after the date of issuance and will expire on the fifth anniversary of the date of issuance. The Accompanying Warrants do not meet certain scope exceptions under U.S. GAAP, primarily because they did not meet the requirements to be indexed to equity and equity classified, and the instruments meet the definition of a derivative instrument. Therefore, these instruments are recorded as Derivative liabilities in the Condensed Consolidated Balance Sheet as of March 31, 2026. There were no warrant exercises during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November 2024 Offering</w:t>
      </w:r>
    </w:p>
    <w:p>
      <w:pPr>
        <w:spacing w:after="0" w:line="22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On November 22, 2024, the Company entered into an underwriting agreement (the “Underwriting Agreement”) with Canaccord Genuity LLC, as underwriter (the “Underwriter”), in connection with the issuance and sale by the Company in a public offering of (i) 350 shares of the Company’s common stock, and accompanying warrants (the “November 2024 Accompanying Warrants”) to purchase 350 shares of Common Stock, at a combined public offering price of $7.68 per share, and, in lieu thereof to certain investors, (ii) Pre-Funded Warrants to purchase 563 shares of Common Stock, and accompanying warrants to purchase 563 shares of Common Stock, at a combined public offering price of $7.664 per pre-funded warrant, which equals the public offering price per share of Common Stock and accompanying warrant less the $0.016 exercise price per share of the pre-funded warrants, less underwriting discounts and commissions, pursuant to an effective shelf registration statement on Form S-3 (Registration No. 333-275261) and a related prospectus supplement filed with the Securities and Exchange Commission. The Company received net proceeds from the offering of approximately $6,128, after deducting underwriting discounts and commissions and offering expenses of $871. The Company used the net proceeds of the offering to fund the SERENITY At-Home trial, prepare for the initiation of the TRANQUILITY In-Care trial, working capital and general corporate purposes.</w:t>
      </w:r>
    </w:p>
    <w:p>
      <w:pPr>
        <w:spacing w:after="0" w:line="187"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 Pre-Funded Warrants have an exercise price per share of common stock equal to $0.016 per share. The exercise price and the number of shares of common stock issuable upon exercise of the Pre-Funded Warrants are subject to appropriate adjustments in the event of certain stock dividends and distributions, stock splits, stock combinations, reclassifications or similar events affecting the common stock. The Pre-Funded Warrants are exercisable at any time after the date of issuance. The Pre-Funded Warrants meet the equity classification criteria and are therefore classified as equity. For the year ended December 31, 2024, 80 Pre-Funded Warrants were exercised and the same number of shares of common stock were issued. The remaining 483 Pre-Funded Warrants were exercised and the same number of common stock were issued during the three months ended March 31, 2025 in exchange for $8 of proceeds received.</w:t>
      </w:r>
    </w:p>
    <w:p>
      <w:pPr>
        <w:spacing w:after="0" w:line="192"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The November 2024 Accompanying Warrants originally had an exercise price per share of common stock equal to $7.68 per share. The exercise price and the number of shares of common stock issuable upon exercise of the November 2024 Accompanying Warrants are subject to appropriate adjustments in the event of certain stock dividends and distributions, stock splits, stock combinations, reclassifications or similar events affecting the common stock. The November 2024 Accompanying Warrants are exercisable at any time after the date of issuance and will expire on the fifth anniversary of the date of issuance. The November 2024 Accompanying Warrants do not meet certain scope exceptions under U.S. GAAP, primarily because they did not meet the requirements to be indexed to equity and equity classified, and the instruments meet the definition of a derivative instrument. Therefore, these instruments are recorded as Derivative liabilities in the Condensed Consolidated Balance Sheet as of March 31, 2026. There were no warrant exercises during the three months ended March 31, 2026.</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March 2025 Offering</w:t>
      </w:r>
    </w:p>
    <w:p>
      <w:pPr>
        <w:spacing w:after="0" w:line="229"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On March 3, 2025, the Company entered into a purchase agreement (the “March 2025 Offering”) with a purchaser. Pursuant to the March 2025 Offering, the Company agreed to issue and sell to the purchaser and the purchaser agreed to buy in a registered direct offering (i) an aggregate of 188 shares (the “Shares”) of Common Stock at an offering price of $3.50 per share, (ii) Pre-Funded Warrants to purchase up to 3,812 shares of Common Stock, at an offering price of $3.499 per share underlying the Pre-Funded Warrants, which equals the offering price per share less the $0.001 exercise price per share of the Pre-Funded Warrants, and (iii) an aggregate of 4,000 accompanying warrants (the “March 2025 Accompanying Warrants”) to purchase up to 4,000 shares of Common Stock at an offering price of $4.20 per accompanying warrant, pursuant to an effective registration statement on Form S-3 (File No. 333-275261), including the base prospectus included therein, and prospectus supplement filed with the SEC on March 4, 2025. The Company received net proceeds from the offering of approximately $12,957, after deducting underwriting discounts and commissions and offering expenses of $1,039.</w:t>
      </w:r>
    </w:p>
    <w:p>
      <w:pPr>
        <w:spacing w:after="0" w:line="186"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The Pre-Funded Warrants have an exercise price per share of common stock equal to $0.001 per share. The exercise price and the number of shares of common stock issuable upon exercise of the Pre-Funded Warrants are subject to appropriate adjustments in the event of certain stock dividends and distributions, stock splits, stock</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combinations, reclassifications or similar events affecting the common stock. The Pre-Funded Warrants are exercisable at any time after the date of issuance. The Pre-Funded Warrants meet the equity classification criteria and are therefore classified as equity. For the three months ended March 31, 2025, 1,688 Pre-Funded Warrants were exercised and the same number of common stock were issued in exchange for $2 of proceeds received. The remaining 2,124 Pre-Funded Warrants were exercised and the same number of common stock were issued during the second and third quarter of 2025.</w:t>
      </w:r>
    </w:p>
    <w:p>
      <w:pPr>
        <w:spacing w:after="0" w:line="183"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The March 2025 Accompanying Warrants have an exercise price per share of common stock equal to $4.20 per share. The exercise price and the number of shares of common stock issuable upon exercise of the March 2025 Accompanying Warrants are subject to appropriate adjustments in the event of certain stock dividends and distributions, stock splits, stock combinations, reclassifications or similar events affecting the common stock. The March 2025 Accompanying Warrants will be exercisable at any time after the date of issuance and will expire on the fifth anniversary of the date of issuance. The March 2025 Accompanying Warrants do not meet certain scope exceptions under U.S. GAAP, primarily because they did not meet the requirements to be indexed to equity and equity classified, and the instruments meet the definition of a derivative instrument. Therefore, these instruments are recorded as Derivative liabilities in the Condensed Consolidated Balance Sheet as of March 31, 2026. During the third quarter of 2025, 2,300 March 2025 Accompanying Warrants were exercised and the same number of common stock were issued in exchange for $9,660 of proceeds received. There were no warrant exercises during the three months ended March 31, 2026.</w:t>
      </w:r>
    </w:p>
    <w:p>
      <w:pPr>
        <w:spacing w:after="0" w:line="192" w:lineRule="exact"/>
        <w:rPr>
          <w:sz w:val="20"/>
          <w:szCs w:val="20"/>
          <w:color w:val="auto"/>
        </w:rPr>
      </w:pPr>
    </w:p>
    <w:p>
      <w:pPr>
        <w:ind w:left="60" w:right="419" w:firstLine="324"/>
        <w:spacing w:after="0" w:line="256" w:lineRule="auto"/>
        <w:rPr>
          <w:sz w:val="20"/>
          <w:szCs w:val="20"/>
          <w:color w:val="auto"/>
        </w:rPr>
      </w:pPr>
      <w:r>
        <w:rPr>
          <w:rFonts w:ascii="Times New Roman" w:cs="Times New Roman" w:eastAsia="Times New Roman" w:hAnsi="Times New Roman"/>
          <w:sz w:val="18"/>
          <w:szCs w:val="18"/>
          <w:color w:val="auto"/>
        </w:rPr>
        <w:t>In the March 2025 Offering, the Company also issued to the purchaser option warrants, to purchase up to 4,000 shares of Common Stock (or pre-funded warrants in lieu thereof) and accompanying warrants to purchase up to 4,000 shares of Common Stock. The exercise price of the Option Warrant is $3.50 per underlying share of Common Stock or $3.499 per underlying pre-funded warrant to purchase one share of Common Stock and accompanying warrant. The option accompanying warrants have an exercise price per share of common stock equal to $4.20 per share. The Option Warrants expired on March 18, 2025 without being exercised.</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Canaccord At-the-Market Program</w:t>
      </w:r>
    </w:p>
    <w:p>
      <w:pPr>
        <w:spacing w:after="0" w:line="229" w:lineRule="exact"/>
        <w:rPr>
          <w:sz w:val="20"/>
          <w:szCs w:val="20"/>
          <w:color w:val="auto"/>
        </w:rPr>
      </w:pPr>
    </w:p>
    <w:p>
      <w:pPr>
        <w:ind w:left="60" w:right="599" w:firstLine="324"/>
        <w:spacing w:after="0" w:line="261" w:lineRule="auto"/>
        <w:rPr>
          <w:sz w:val="20"/>
          <w:szCs w:val="20"/>
          <w:color w:val="auto"/>
        </w:rPr>
      </w:pPr>
      <w:r>
        <w:rPr>
          <w:rFonts w:ascii="Times New Roman" w:cs="Times New Roman" w:eastAsia="Times New Roman" w:hAnsi="Times New Roman"/>
          <w:sz w:val="18"/>
          <w:szCs w:val="18"/>
          <w:color w:val="auto"/>
        </w:rPr>
        <w:t>On April 3, 2025, the Company entered into an Equity Distribution Agreement (the “Equity Distribution Agreement”) with Canaccord Genuity LLC (“Canaccord”) to sell shares of the Company’s common stock, par value $0.001 per share, with aggregate gross sales proceeds of up to $8,135, from time to time, through an “at the market” equity offering program under which Canaccord will act as sales agent.</w:t>
      </w:r>
    </w:p>
    <w:p>
      <w:pPr>
        <w:spacing w:after="0" w:line="180"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On August 6, 2025, the Company increased the maximum amount of shares that are eligible to be sold pursuant to the Equity Distribution Agreement to allow for the offer and sale of up to $3,500 of its common stock. Following the sale of common stock, the Company raised sufficient net proceeds to satisfy the Raise 3 requirement under the Fifth Amendment to the Credit Agreement.</w:t>
      </w:r>
    </w:p>
    <w:p>
      <w:pPr>
        <w:spacing w:after="0" w:line="180" w:lineRule="exact"/>
        <w:rPr>
          <w:sz w:val="20"/>
          <w:szCs w:val="20"/>
          <w:color w:val="auto"/>
        </w:rPr>
      </w:pPr>
    </w:p>
    <w:p>
      <w:pPr>
        <w:jc w:val="both"/>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On August 18, 2025, the Company filed a prospectus supplement with the Securities and Exchange Commission for the offer and sale of up to $80,000 shares of common stock pursuant to the Equity Distribution Agreement. For the three months ended March 31, 2026, the Company sold 245 shares for gross proceeds of $498 and received proceeds of $488, net of issuance costs of $10.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March 2026 Offering</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On March 10, 2026, the Company entered into a securities purchase agreement (the “March 2026 Offering”) with a purchaser. Pursuant to the March 2026 Offering, the Company agreed to issue and sell to the purchaser and the purchaser agreed to buy in a registered direct offering (i) an aggregate of 2,480 shares (the “Shares”) of Common Stock, at an offering price of $1.739 per share, (ii) Pre-Funded warrants to purchase up to 2,020 shares of Common Stock, at an offering price of $1.738 per share underlying the Pre-Funded Warrants, which equals the offering price per Share and accompanying warrant less the $0.001 exercise price per share of the Pre-Funded Warrants, and (iii) an aggregate of 4,500 accompanying warrants (the “March 2026 Accompanying Warrants”) to purchase up to 4,500 shares of Common Stock at an offering price of $1.614 per accompanying warrant. pursuant to an effective registration statement on Form S-3 (File No. 333-275261), including the base prospectus included therein, and a prospectus supplement filed with the Securities and Exchange Commission on March 10, 2026. The March 2026 Offering closed on March 11, 2026. The Company received net proceeds from the offering of approximately $6,879, after deducting underwriting discounts and commissions and offering expenses of $946.</w:t>
      </w:r>
    </w:p>
    <w:p>
      <w:pPr>
        <w:spacing w:after="0" w:line="190"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The Pre-Funded Warrants have an exercise price per share of common stock equal to $0.001 per share. The exercise price and the number of shares of common stock issuable upon exercise of the Pre-Funded Warrants are subject to appropriate adjustments in the event of certain stock dividends and distributions, stock splits, stock combinations, reclassifications or similar events affecting the common stock. The Pre-Funded Warrants are exercisable at any time after the date of issuance. The Pre-Funded Warrants meet the equity classification criteria and are therefore classified as equity. For the three months ended March 31, 2026, all 2,020 Pre-Funded Warrants were exercised and the same number of common stock were issued in exchange for $2 of proceeds received.</w:t>
      </w:r>
    </w:p>
    <w:p>
      <w:pPr>
        <w:spacing w:after="0" w:line="18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The March 2026 Accompanying Warrants have an exercise price per share of common stock equal to $1.614 per share. The exercise price and the number of shares of common stock issuable upon exercise of the March 2026 Accompanying Warrants are subject to appropriate adjustments in the event of certain stock dividends and distributions, stock splits, stock combinations, reclassifications or similar events affecting the common stock. The March 2026 Accompanying Warrants will be exercisable at any time after the date of issuance and will expire on the fifth anniversary of the date of issuance. The March 2026 Accompanying Warrants do not meet certain scope exceptions under U.S. GAAP, primarily because they did not meet the requirements to be indexed to equity and equity classified, and the instruments meet the definition of a derivative instrument. Therefore, these instruments are recorded as Derivative liabilities in the Condensed Consolidated Balance Sheet as of March 31, 2026. There were no warrant exercises during the three months ended March 31, 2026.</w:t>
      </w:r>
    </w:p>
    <w:p>
      <w:pPr>
        <w:spacing w:after="0" w:line="194" w:lineRule="exact"/>
        <w:rPr>
          <w:sz w:val="20"/>
          <w:szCs w:val="20"/>
          <w:color w:val="auto"/>
        </w:rPr>
      </w:pPr>
    </w:p>
    <w:p>
      <w:pPr>
        <w:ind w:left="60" w:right="219" w:firstLine="324"/>
        <w:spacing w:after="0" w:line="252" w:lineRule="auto"/>
        <w:rPr>
          <w:sz w:val="20"/>
          <w:szCs w:val="20"/>
          <w:color w:val="auto"/>
        </w:rPr>
      </w:pPr>
      <w:r>
        <w:rPr>
          <w:rFonts w:ascii="Times New Roman" w:cs="Times New Roman" w:eastAsia="Times New Roman" w:hAnsi="Times New Roman"/>
          <w:sz w:val="18"/>
          <w:szCs w:val="18"/>
          <w:color w:val="auto"/>
        </w:rPr>
        <w:t>Rodman &amp; Renshaw LLC (the “Placement Agent”) acted as the Company’s exclusive placement agent in connection with the March 2026 Offering. As compensation in connection with the March 2026 Offering, the Company agreed to (i) pay the Placement Agent a cash fee equal to 6.0% of the gross proceeds from the March 2026 Offering, (ii) reimburse certain expenses of $75, (iii) pay $16 for clearing and closing expenses, and (iv) issue to the Placement Agent or its designees warrants to purchase a number of shares of Common Stock equal to 4.0% of the aggregate number of shares placed in the Registered Direct Offering (180,031 shares), at an exercise price equal to 125% of the offering price per share (or $2.0175 per share), with a term of five years from the commencement of the Registered Direct Offering (the “March 2026 Placement Agent Warrants”). The exercise price and the number of shares of common stock issuable upon exercise of the March 2026 Placement Agent Warrants are subject to appropriate adjustments in the event of certain stock dividends and distributions, stock splits, stock combinations, reclassifications or similar events affecting the common stock. The March 2026 Placement Agent Warrants will be exercisable at any time after the date of issuance and will expire on the fifth anniversary of the date of issuance. The March 2026 Placement Agent Warrants met certain scope exceptions under ASC 718 for equity classification. Therefore, these instruments are recorded as a component of stockholders’ equity in Additional-paid-in-capital in the Condensed Consolidated Balance Sheet as of March 31, 2026. There were no warrant exercises during the three months ended March 31, 2026.</w:t>
      </w:r>
    </w:p>
    <w:p>
      <w:pPr>
        <w:spacing w:after="0" w:line="196"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March 2026 Offering, pursuant to the terms of a Warrant Amendment Agreement, dated as of March 10, 2026 (the “Warrant Amendment Agreement”), the exercise price of all 539 Accompanying Warrants and 846 of the November 2024 Accompanying Warrants was reduced to $1.614 per share and the term was extended to five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years following the closing date of the March 2026 Offering. The investor paid $173 in exchange for the reduction in exercise price and the extension of the term of these warrants. The Company paid the Placement Agent a cash fee of 6.0% of the gross proceeds paid for the warrant amendment.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2017 Equity Incentive Plan</w:t>
      </w:r>
    </w:p>
    <w:p>
      <w:pPr>
        <w:spacing w:after="0" w:line="189"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The Company’s 2017 Plan became effective in August 2017. Following the effective date of the Company's 2020 Plan, the Company ceased granting awards under the 2017 Plan, however, the terms and conditions of the 2017 Plan continue to govern any outstanding awards granted thereunder.</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2020 Incentive Award Plan</w:t>
      </w:r>
    </w:p>
    <w:p>
      <w:pPr>
        <w:spacing w:after="0" w:line="202" w:lineRule="exact"/>
        <w:rPr>
          <w:sz w:val="20"/>
          <w:szCs w:val="20"/>
          <w:color w:val="auto"/>
        </w:rPr>
      </w:pPr>
    </w:p>
    <w:p>
      <w:pPr>
        <w:ind w:left="60" w:right="279" w:firstLine="324"/>
        <w:spacing w:after="0" w:line="272" w:lineRule="auto"/>
        <w:rPr>
          <w:sz w:val="20"/>
          <w:szCs w:val="20"/>
          <w:color w:val="auto"/>
        </w:rPr>
      </w:pPr>
      <w:r>
        <w:rPr>
          <w:rFonts w:ascii="Times New Roman" w:cs="Times New Roman" w:eastAsia="Times New Roman" w:hAnsi="Times New Roman"/>
          <w:sz w:val="17"/>
          <w:szCs w:val="17"/>
          <w:color w:val="auto"/>
        </w:rPr>
        <w:t>The Company’s 2020 Plan was approved and became effective at the Company’s 2020 annual meeting of stockholders on May 20, 2020, and unless earlier terminated by the Board of Directors, will remain in effect until March 26, 2030. The 2020 Plan originally authorized for issuance the sum of (i) 57 shares of the Company’s common stock and</w:t>
      </w:r>
    </w:p>
    <w:p>
      <w:pPr>
        <w:spacing w:after="0" w:line="2" w:lineRule="exact"/>
        <w:rPr>
          <w:sz w:val="20"/>
          <w:szCs w:val="20"/>
          <w:color w:val="auto"/>
        </w:rPr>
      </w:pPr>
    </w:p>
    <w:p>
      <w:pPr>
        <w:ind w:left="60" w:right="159" w:hanging="10"/>
        <w:spacing w:after="0" w:line="251" w:lineRule="auto"/>
        <w:tabs>
          <w:tab w:leader="none" w:pos="3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shares of the Company’s common stock, which represents the number of shares that remained available for issuance under the 2017 Plan immediately prior to the approval of the 2020 Plan by the Company’s stockholders. Any shares of common stock which, immediately prior to the approval of the 2020 Plan by the Company’s stockholders, were subject to awards granted under the 2017 Plan that are forfeited or lapse unexercised and are not issued under the 2017 Plan will increase the number of shares of common stock available for grant under the 2020 Plan. In addition, the number of shares available for issuance under the 2020 Plan will increase on the first day of each calendar year, beginning January 1, 2021 and ending on and including January 1, 2030, by a number of shares equal to the lesser of (A) 4% of the aggregate number of shares of the Company’s common stock outstanding on the final day of the immediately preceding calendar year and (B) such smaller number of shares of common stock as determined by the Board of Directors. The shares available for issuance under the 2020 Plan increased by 893 shares and 124 shares on January 1, 2026 and 2025, respectively.</w:t>
      </w:r>
    </w:p>
    <w:p>
      <w:pPr>
        <w:spacing w:after="0" w:line="152"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Stock options granted under the 2020 Plan have a term of ten years. The vesting schedule of all awards granted under the 2020 Plan is determined by the Board of Directors, which is generally four years.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March 31, 2026, there were 413 shares available to be granted under the 2020 Plan.</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BTI Restricted stock units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BTI RSUs.</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0" w:type="dxa"/>
            <w:vAlign w:val="bottom"/>
            <w:vMerge w:val="restart"/>
          </w:tcPr>
          <w:p>
            <w:pPr>
              <w:ind w:left="7120"/>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3"/>
        </w:trPr>
        <w:tc>
          <w:tcPr>
            <w:tcW w:w="7400" w:type="dxa"/>
            <w:vAlign w:val="bottom"/>
            <w:vMerge w:val="continue"/>
          </w:tcPr>
          <w:p>
            <w:pPr>
              <w:spacing w:after="0"/>
              <w:rPr>
                <w:sz w:val="15"/>
                <w:szCs w:val="15"/>
                <w:color w:val="auto"/>
              </w:rPr>
            </w:pPr>
          </w:p>
        </w:tc>
        <w:tc>
          <w:tcPr>
            <w:tcW w:w="14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19" w:firstLine="324"/>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the Company granted 409 time-based BTI RSUs. These BTI RSUs vest quarterly over two years, with vesting beginning on November 4, 2025. The weighted average grant date fair value per share for the BTI RSUs for the three months ended March 31, 2026 was $1.86. The outstanding BTI RSUs issued prior to 2026 generally vest over four years, with 25% vesting at the one-year anniversary of the grant date and the balance vesting ratably over the remaining 12 quarters of the vesting period. The total fair value of BTI RSUs vested in the three months ended March 31, 2026 was $1. Unrecognized stock-based compensation expense related to the BTI RSUs was approximately $597 and $537 as of March 31, 2026 and 2025,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OnkosXcel profit sharing units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the PSUs associated with OnkosXcel as described below.</w:t>
      </w:r>
    </w:p>
    <w:p>
      <w:pPr>
        <w:spacing w:after="0" w:line="200" w:lineRule="exact"/>
        <w:rPr>
          <w:sz w:val="20"/>
          <w:szCs w:val="20"/>
          <w:color w:val="auto"/>
        </w:rPr>
      </w:pP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216"/>
        </w:trPr>
        <w:tc>
          <w:tcPr>
            <w:tcW w:w="5880" w:type="dxa"/>
            <w:vAlign w:val="bottom"/>
            <w:vMerge w:val="restart"/>
          </w:tcPr>
          <w:p>
            <w:pPr>
              <w:ind w:left="57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price per unit</w:t>
            </w:r>
          </w:p>
        </w:tc>
        <w:tc>
          <w:tcPr>
            <w:tcW w:w="0" w:type="dxa"/>
            <w:vAlign w:val="bottom"/>
          </w:tcPr>
          <w:p>
            <w:pPr>
              <w:spacing w:after="0"/>
              <w:rPr>
                <w:sz w:val="1"/>
                <w:szCs w:val="1"/>
                <w:color w:val="auto"/>
              </w:rPr>
            </w:pPr>
          </w:p>
        </w:tc>
      </w:tr>
      <w:tr>
        <w:trPr>
          <w:trHeight w:val="199"/>
        </w:trPr>
        <w:tc>
          <w:tcPr>
            <w:tcW w:w="588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(in whole dollars)</w:t>
            </w:r>
          </w:p>
        </w:tc>
        <w:tc>
          <w:tcPr>
            <w:tcW w:w="0" w:type="dxa"/>
            <w:vAlign w:val="bottom"/>
          </w:tcPr>
          <w:p>
            <w:pPr>
              <w:spacing w:after="0"/>
              <w:rPr>
                <w:sz w:val="1"/>
                <w:szCs w:val="1"/>
                <w:color w:val="auto"/>
              </w:rPr>
            </w:pPr>
          </w:p>
        </w:tc>
      </w:tr>
      <w:tr>
        <w:trPr>
          <w:trHeight w:val="210"/>
        </w:trPr>
        <w:tc>
          <w:tcPr>
            <w:tcW w:w="5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0" w:type="dxa"/>
            <w:vAlign w:val="bottom"/>
          </w:tcPr>
          <w:p>
            <w:pPr>
              <w:spacing w:after="0"/>
              <w:rPr>
                <w:sz w:val="1"/>
                <w:szCs w:val="1"/>
                <w:color w:val="auto"/>
              </w:rPr>
            </w:pPr>
          </w:p>
        </w:tc>
      </w:tr>
      <w:tr>
        <w:trPr>
          <w:trHeight w:val="216"/>
        </w:trPr>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units as of March 31, 2026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During 2024, OnkosXcel Employee Holdings, LLC, a management holding company used to facilitate the grant of equity interests to service providers of OnkosXcel granted 15 individual (not in thousands) time-based PSUs related to OnkosXcel to certain employees of the Company in consideration for services provided to OnkosXcel. The PSUs represent indirect equity interests in OnkosXcel. These PSUs vest ratably over 48 months.</w:t>
      </w:r>
    </w:p>
    <w:p>
      <w:pPr>
        <w:spacing w:after="0" w:line="139"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PSUs granted in 2024 were estimated at the date of grant using a Black-Scholes option pricing model and assumptions below.</w:t>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2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2024 grant profit share</w:t>
            </w:r>
          </w:p>
        </w:tc>
      </w:tr>
      <w:tr>
        <w:trPr>
          <w:trHeight w:val="238"/>
        </w:trPr>
        <w:tc>
          <w:tcPr>
            <w:tcW w:w="6560" w:type="dxa"/>
            <w:vAlign w:val="bottom"/>
          </w:tcPr>
          <w:p>
            <w:pPr>
              <w:spacing w:after="0"/>
              <w:rPr>
                <w:sz w:val="20"/>
                <w:szCs w:val="20"/>
                <w:color w:val="auto"/>
              </w:rPr>
            </w:pPr>
          </w:p>
        </w:tc>
        <w:tc>
          <w:tcPr>
            <w:tcW w:w="2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unit valuation inputs</w:t>
            </w:r>
          </w:p>
        </w:tc>
      </w:tr>
      <w:tr>
        <w:trPr>
          <w:trHeight w:val="210"/>
        </w:trPr>
        <w:tc>
          <w:tcPr>
            <w:tcW w:w="656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9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97.4 %</w:t>
            </w:r>
          </w:p>
        </w:tc>
        <w:tc>
          <w:tcPr>
            <w:tcW w:w="320" w:type="dxa"/>
            <w:vAlign w:val="bottom"/>
            <w:shd w:val="clear" w:color="auto" w:fill="CCEEFF"/>
          </w:tcPr>
          <w:p>
            <w:pPr>
              <w:spacing w:after="0"/>
              <w:rPr>
                <w:sz w:val="18"/>
                <w:szCs w:val="18"/>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 of interest</w:t>
            </w:r>
          </w:p>
        </w:tc>
        <w:tc>
          <w:tcPr>
            <w:tcW w:w="19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3.6 %</w:t>
            </w:r>
          </w:p>
        </w:tc>
        <w:tc>
          <w:tcPr>
            <w:tcW w:w="320" w:type="dxa"/>
            <w:vAlign w:val="bottom"/>
          </w:tcPr>
          <w:p>
            <w:pPr>
              <w:spacing w:after="0"/>
              <w:rPr>
                <w:sz w:val="18"/>
                <w:szCs w:val="18"/>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2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22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5.8 years</w:t>
            </w:r>
          </w:p>
        </w:tc>
      </w:tr>
    </w:tbl>
    <w:p>
      <w:pPr>
        <w:spacing w:after="0" w:line="179" w:lineRule="exact"/>
        <w:rPr>
          <w:sz w:val="20"/>
          <w:szCs w:val="20"/>
          <w:color w:val="auto"/>
        </w:rPr>
      </w:pPr>
    </w:p>
    <w:p>
      <w:pPr>
        <w:jc w:val="both"/>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Unrecognized stock-based compensation expense related to these awards was $58 and $319 as of March 31, 2026 and 2025, respectively.</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OnkosXcel restricted stock units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the OnkosXcel RSUs.</w:t>
      </w:r>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400" w:type="dxa"/>
            <w:vAlign w:val="bottom"/>
            <w:vMerge w:val="restart"/>
          </w:tcPr>
          <w:p>
            <w:pPr>
              <w:ind w:left="716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38"/>
        </w:trPr>
        <w:tc>
          <w:tcPr>
            <w:tcW w:w="7400" w:type="dxa"/>
            <w:vAlign w:val="bottom"/>
            <w:vMerge w:val="continue"/>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0" w:type="dxa"/>
            <w:vAlign w:val="bottom"/>
          </w:tcPr>
          <w:p>
            <w:pPr>
              <w:spacing w:after="0"/>
              <w:rPr>
                <w:sz w:val="1"/>
                <w:szCs w:val="1"/>
                <w:color w:val="auto"/>
              </w:rPr>
            </w:pPr>
          </w:p>
        </w:tc>
      </w:tr>
      <w:tr>
        <w:trPr>
          <w:trHeight w:val="210"/>
        </w:trPr>
        <w:tc>
          <w:tcPr>
            <w:tcW w:w="7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7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7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Cancelled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133 OnkosXcel Restricted Stock Units outstanding. Unrecognized stock-based compensation expense related to the awards expected to vest was approximately $12 and $420 as of March 31, 2026 and 2025, respectively.</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BTI Stock options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the Company’s stock option activity for the three months ended March 31, 2026 is presented below.</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00" w:type="dxa"/>
            <w:vAlign w:val="bottom"/>
            <w:vMerge w:val="restart"/>
          </w:tcPr>
          <w:p>
            <w:pPr>
              <w:ind w:left="532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5500" w:type="dxa"/>
            <w:vAlign w:val="bottom"/>
            <w:vMerge w:val="continue"/>
          </w:tcPr>
          <w:p>
            <w:pPr>
              <w:spacing w:after="0"/>
              <w:rPr>
                <w:sz w:val="15"/>
                <w:szCs w:val="15"/>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gridSpan w:val="2"/>
            <w:vMerge w:val="continue"/>
          </w:tcPr>
          <w:p>
            <w:pPr>
              <w:spacing w:after="0"/>
              <w:rPr>
                <w:sz w:val="15"/>
                <w:szCs w:val="15"/>
                <w:color w:val="auto"/>
              </w:rPr>
            </w:pPr>
          </w:p>
        </w:tc>
        <w:tc>
          <w:tcPr>
            <w:tcW w:w="15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186.78</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4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150.86</w:t>
            </w:r>
          </w:p>
        </w:tc>
        <w:tc>
          <w:tcPr>
            <w:tcW w:w="2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as of March 31, 2026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4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206.37</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the intrinsic value of options outstanding was $0. The intrinsic value for stock options is calculated based on the difference between the exercise prices of the underlying awards and the quoted stock price of the Company’s common stock as of the reporting date.</w:t>
      </w:r>
    </w:p>
    <w:p>
      <w:pPr>
        <w:spacing w:after="0" w:line="149" w:lineRule="exact"/>
        <w:rPr>
          <w:sz w:val="20"/>
          <w:szCs w:val="20"/>
          <w:color w:val="auto"/>
        </w:rPr>
      </w:pPr>
    </w:p>
    <w:p>
      <w:pPr>
        <w:jc w:val="both"/>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No stock options were exercised for the three months ended March 31, 2026. As of March 31, 2026, the total intrinsic value of stock options exercisable was $0.</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weighted average grant date fair value per share of options granted as of March 31, 2026 was $1.73.</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weighted average grant date fair value per share of options vested as of March 31, 2026 was $152.46.</w:t>
      </w:r>
    </w:p>
    <w:p>
      <w:pPr>
        <w:spacing w:after="0" w:line="198" w:lineRule="exact"/>
        <w:rPr>
          <w:sz w:val="20"/>
          <w:szCs w:val="20"/>
          <w:color w:val="auto"/>
        </w:rPr>
      </w:pPr>
    </w:p>
    <w:p>
      <w:pPr>
        <w:ind w:left="60" w:right="659"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remaining contractual life is 5.1 years for options exercisable as of March 31, 2026. The weighted average remaining contractual life was 6.4 years for options outstanding as of March 31, 2026.</w:t>
      </w:r>
    </w:p>
    <w:p>
      <w:pPr>
        <w:spacing w:after="0" w:line="121"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Unrecognized compensation expense related to unvested stock option awards as of March 31, 2026 was $409 and will be recognized over the remaining vesting periods of the underlying awards. The weighted-average period over which such compensation is expected to be recognized is 0.7 years.</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2"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fair value of stock options granted during the three months ended March 31, 2026 and 2025 was estimated using the Black-Scholes pricing model with the following assumptions:</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0" w:type="dxa"/>
            <w:vAlign w:val="bottom"/>
            <w:vMerge w:val="restart"/>
          </w:tcPr>
          <w:p>
            <w:pPr>
              <w:ind w:left="3720"/>
              <w:spacing w:after="0"/>
              <w:rPr>
                <w:sz w:val="20"/>
                <w:szCs w:val="20"/>
                <w:color w:val="auto"/>
              </w:rPr>
            </w:pPr>
            <w:r>
              <w:rPr>
                <w:rFonts w:ascii="Times New Roman" w:cs="Times New Roman" w:eastAsia="Times New Roman" w:hAnsi="Times New Roman"/>
                <w:sz w:val="14"/>
                <w:szCs w:val="14"/>
                <w:b w:val="1"/>
                <w:bCs w:val="1"/>
                <w:color w:val="auto"/>
              </w:rPr>
              <w:t>​​​</w:t>
            </w:r>
          </w:p>
        </w:tc>
        <w:tc>
          <w:tcPr>
            <w:tcW w:w="248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4000" w:type="dxa"/>
            <w:vAlign w:val="bottom"/>
            <w:vMerge w:val="continue"/>
          </w:tcPr>
          <w:p>
            <w:pPr>
              <w:spacing w:after="0"/>
              <w:rPr>
                <w:sz w:val="15"/>
                <w:szCs w:val="15"/>
                <w:color w:val="auto"/>
              </w:rPr>
            </w:pPr>
          </w:p>
        </w:tc>
        <w:tc>
          <w:tcPr>
            <w:tcW w:w="248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years</w:t>
            </w: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of interest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319" w:firstLine="324"/>
        <w:spacing w:after="0" w:line="281" w:lineRule="auto"/>
        <w:rPr>
          <w:sz w:val="20"/>
          <w:szCs w:val="20"/>
          <w:color w:val="auto"/>
        </w:rPr>
      </w:pPr>
      <w:r>
        <w:rPr>
          <w:rFonts w:ascii="Times New Roman" w:cs="Times New Roman" w:eastAsia="Times New Roman" w:hAnsi="Times New Roman"/>
          <w:sz w:val="17"/>
          <w:szCs w:val="17"/>
          <w:color w:val="auto"/>
        </w:rPr>
        <w:t>In 2026, the Company continued using the historical volatility of its common stock to estimate volatility. Prior to 2023, volatility was estimated using a combination of the historical volatility of publicly traded peer companies and that of the Company’s common stock. The expected term of the awards is estimated based on the simplified method, which calculates the expected term based upon the midpoint of the life of the award and the vesting period. The Company uses</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the simplified method because it does not have sufficient option exercise data to provide a reasonable basis upon which to estimate the expected term. The expected dividend yield is zero percent as the Company has no history of paying dividends nor does management expect to pay dividends over the contractual terms of these options. The risk-free interest rates are determined by reference to the U.S. Treasury yield curve in effect at the time of grant, with maturities approximating the expected term of the stock options. The fair value of the underlying common stock is generally determined as the closing price of the Company’s common stock on The Nasdaq Capital Market on the grant date, with consideration of whether there is material nonpublic information that could impact that estimated fair value when it is released.</w:t>
      </w:r>
    </w:p>
    <w:p>
      <w:pPr>
        <w:spacing w:after="0" w:line="165"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awards issued under the 2017 Plan and the 2020 Plan, as well as the OnkosXcel RSUs and PSUs, of $435 and $180 for the three months ended March 31, 2026 and 2025, which were comprised as follows: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29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10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shd w:val="clear" w:color="auto" w:fill="CCEEFF"/>
          </w:tcPr>
          <w:p>
            <w:pPr>
              <w:jc w:val="right"/>
              <w:ind w:right="90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3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ind w:right="90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2020 Employee Stock Purchase Plan</w:t>
      </w:r>
    </w:p>
    <w:p>
      <w:pPr>
        <w:spacing w:after="0" w:line="189"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The Company’s 2020 Employee Stock Purchase Plan (the “ESPP”) was also approved and became effective at the Company’s 2020 annual meeting of stockholders on May 20, 2020. The ESPP is designed to assist eligible employees of the Company with the opportunity to purchase the Company’s common stock at a discount through accumulated payroll deductions during successive offering periods. The aggregate number of shares that were initially available to be issued pursuant to rights granted under the ESPP was 6 shares of common stock. In addition, the number of shares available for issuance under the ESPP increases on the first day of each calendar year, beginning on January 1, 2021 and ending on and including January 1, 2030, by a number of shares of common stock equal to the lesser of (a) 1% of the shares outstanding on the final day of the immediately preceding calendar year and (b) such smaller number of shares as determined by the Board of Directors. The number of shares that may be issued or transferred pursuant to rights granted under the component of the ESPP that is intended to qualify for favorable U.S. federal tax treatment under Section 423 of the Internal Revenue Code (the “Section 423 Component”) shall not exceed 31 shares. The purchase price will be determined by the administrator of the ESPP and, for purposes of the Section 423 Component, shall not be less than 85% of the fair value of a share on the first trading day or on the last trading day of the applicable offering period, whichever is lower. The shares available for issuance under the ESPP increased by 224 shares and 31 shares on January 1, 2026 and 2025, respectively. To date, no shares have been sold under the ESPP. There were 330 shares available for issuance as of March 31, 2026.</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Leases</w:t>
      </w:r>
    </w:p>
    <w:p>
      <w:pPr>
        <w:spacing w:after="0" w:line="189" w:lineRule="exact"/>
        <w:rPr>
          <w:sz w:val="20"/>
          <w:szCs w:val="20"/>
          <w:color w:val="auto"/>
        </w:rPr>
      </w:pPr>
    </w:p>
    <w:p>
      <w:pPr>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BTI leases office space for its corporate headquarters at 555 Long Wharf Drive, New Haven, Connecticut (the “HQ Lease”) under an operating lease that was set to expire in February 2026. The Company did not exercise the option to renew the HQ Lease for an additional five-year term.</w:t>
      </w:r>
    </w:p>
    <w:p>
      <w:pPr>
        <w:spacing w:after="0" w:line="135"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Prior to the expiration of the HQ Lease, on February 17, 2026, the Company agreed to amend the HQ lease agreement. The amendment extends the lease on a month-to-month basis with a continued monthly base rent payment of $33. As the lease is now on a month-to-month basis, the Company has accounted for the arrangement as a short-term lease and no right-of-use asset or lease liability has been recorded.</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Lease expense was $103 and $101 for the three months ended March 31, 2026 and 2025, respectively.</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Fair Value Measurements</w:t>
      </w:r>
    </w:p>
    <w:p>
      <w:pPr>
        <w:spacing w:after="0" w:line="202" w:lineRule="exact"/>
        <w:rPr>
          <w:sz w:val="20"/>
          <w:szCs w:val="20"/>
          <w:color w:val="auto"/>
        </w:rPr>
      </w:pPr>
    </w:p>
    <w:p>
      <w:pPr>
        <w:ind w:left="60" w:right="319"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groups its assets and liabilities measured at fair value in three levels based on the nature of the inputs and assumptions used to determine fair value. Refer to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within the Company’s Annual Report on Form 10-K for the year ended December 31, 2025 for additional information on the accounting policies related to fair value.</w:t>
      </w:r>
    </w:p>
    <w:p>
      <w:pPr>
        <w:spacing w:after="0" w:line="139"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net, and accounts payable approximate fair value due to the short-term nature of these instruments. As of March 31, 2026 and December 31, 2025, the Company had $15,295 and $27,085, respectively, primarily in money market funds that hold U.S. government cash equivalent instruments (included in cash and cash equivalents) which were valued based on Level 1 inputs. There were no transfers between levels within the hierarchy during the three months ended March 31, 2026 and the year ended December 31, 2025.</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Derivative liabilities measured at fair value on a recurring basis are summarized below.</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9"/>
        </w:trPr>
        <w:tc>
          <w:tcPr>
            <w:tcW w:w="4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196"/>
        </w:trPr>
        <w:tc>
          <w:tcPr>
            <w:tcW w:w="4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7"/>
                <w:szCs w:val="17"/>
                <w:color w:val="auto"/>
              </w:rPr>
            </w:pPr>
          </w:p>
        </w:tc>
        <w:tc>
          <w:tcPr>
            <w:tcW w:w="6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9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BTI Warrants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w:t>
            </w: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liability - OnkosXcel Warrants</w:t>
            </w:r>
          </w:p>
        </w:tc>
        <w:tc>
          <w:tcPr>
            <w:tcW w:w="140" w:type="dxa"/>
            <w:vAlign w:val="bottom"/>
          </w:tcPr>
          <w:p>
            <w:pPr>
              <w:spacing w:after="0"/>
              <w:rPr>
                <w:sz w:val="18"/>
                <w:szCs w:val="18"/>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9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w:t>
            </w:r>
          </w:p>
        </w:tc>
      </w:tr>
      <w:tr>
        <w:trPr>
          <w:trHeight w:val="20"/>
        </w:trPr>
        <w:tc>
          <w:tcPr>
            <w:tcW w:w="4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619"/>
        </w:trPr>
        <w:tc>
          <w:tcPr>
            <w:tcW w:w="4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9"/>
        </w:trPr>
        <w:tc>
          <w:tcPr>
            <w:tcW w:w="4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196"/>
        </w:trPr>
        <w:tc>
          <w:tcPr>
            <w:tcW w:w="4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196"/>
        </w:trPr>
        <w:tc>
          <w:tcPr>
            <w:tcW w:w="4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7"/>
                <w:szCs w:val="17"/>
                <w:color w:val="auto"/>
              </w:rPr>
            </w:pPr>
          </w:p>
        </w:tc>
        <w:tc>
          <w:tcPr>
            <w:tcW w:w="6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9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BTI Warrants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liability - OnkosXcel Warrants</w:t>
            </w:r>
          </w:p>
        </w:tc>
        <w:tc>
          <w:tcPr>
            <w:tcW w:w="14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9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r>
      <w:tr>
        <w:trPr>
          <w:trHeight w:val="20"/>
        </w:trPr>
        <w:tc>
          <w:tcPr>
            <w:tcW w:w="4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 xml:space="preserve">Derivative liabilities are comprised of the OnkosXcel Warrants, BTI Warrants, and Option Warrants. The fair value of the derivative liabilities was determined using Binomial Option Pricing and Distribution models for the OnkosXcel Warrants and Option Warrants, and the Black Scholes model was used for the BTI Warrants. As discussed in Note 9,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Credit Facilities</w:t>
      </w:r>
      <w:r>
        <w:rPr>
          <w:rFonts w:ascii="Times New Roman" w:cs="Times New Roman" w:eastAsia="Times New Roman" w:hAnsi="Times New Roman"/>
          <w:sz w:val="18"/>
          <w:szCs w:val="18"/>
          <w:color w:val="auto"/>
        </w:rPr>
        <w:t>, the Equity Investment Right was terminated on November 25, 2024 in connection with the Fifth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to the Credit Agreement.</w:t>
      </w:r>
    </w:p>
    <w:p>
      <w:pPr>
        <w:spacing w:after="0" w:line="135" w:lineRule="exact"/>
        <w:rPr>
          <w:sz w:val="20"/>
          <w:szCs w:val="20"/>
          <w:color w:val="auto"/>
        </w:rPr>
      </w:pPr>
    </w:p>
    <w:p>
      <w:pPr>
        <w:jc w:val="both"/>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changes in Level 3 liabilities measured at fair value for the three months ended March 31, 2026 and 2025. Both observable and unobservable inputs were used to determine the fair value of positions that the Company has classified within the Level 3 category.</w:t>
      </w:r>
    </w:p>
    <w:p>
      <w:pPr>
        <w:spacing w:after="0" w:line="15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-3175</wp:posOffset>
            </wp:positionV>
            <wp:extent cx="13373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 Balance - January 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 of derivative liabilities - BTI Warrant (March 2025 Accompanying Warrants)</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 of derivative liabilities - Option Warrant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 of derivative liabilities - Option Warrant</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r>
      <w:tr>
        <w:trPr>
          <w:trHeight w:val="20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 Balance - March 31</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The derivative liabilities were reported at their fair values in the Condensed Consolidated Balance Sheets. The change in fair value of the derivative liabilities was reported in the Condensed Consolidated Statements of Operations as Other (income) expense, net, for the three months ended March 31, 2026.</w:t>
      </w:r>
    </w:p>
    <w:p>
      <w:pPr>
        <w:spacing w:after="0" w:line="149"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In estimating the fair value of the derivative liability related to the OnkosXcel Warrants, inputs included third-party fair value estimates of OnkosXcel limited liability company units along with the volatility of those units based on the historical volatility of the Company’s stock, along with a peer group of comparable publicly traded companies), and the timing and probability of the relevant capital transactions occurring. As of March 31, 2026, the OnkosXcel Warrants had no fair value, as the Company does not anticipate a public offering of OnkosXcel at this time.</w:t>
      </w:r>
    </w:p>
    <w:p>
      <w:pPr>
        <w:spacing w:after="0" w:line="143"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In estimating the fair value of the derivative liability related to the Option Warrants, the valuation inputs used were a strike price of $3.50, the Company’s stock price of $2.70, volatility of 39.2% (adjusted to set the value of securities in the March 2025 Offering equal to the consideration paid), a term of 0.04 years and a risk-free rate of 4.39%. The Option Warrants expired on March 18, 2025 without being exercised, and the Company recorded a termination gain of $369 in Other (income) expense, net, in the Company’s Condensed Consolidated Statements of Operations.</w:t>
      </w:r>
    </w:p>
    <w:p>
      <w:pPr>
        <w:spacing w:after="0" w:line="143"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In estimating the fair value of the derivative liability related to the BTI Warrants – March 2025 Accompanying Warrants, the valuation inputs used were a strike price of $4.20, the Company’s stock price of $2.70, volatility of 39.2% (adjusted to set the value of securities in the March 2025 Offering equal to the consideration paid), a term of 5 years and a risk-free rate of 4.01%. As the fair value measurement of the derivative liability related to the BTI Warrants – March 2025 Warrants is classified within Level 3 of the fair value hierarchy and relies on a significant unobservable input (volatility), the resulting fair value is subject to inherent measurement uncertainty. Reasonably possible changes in the volatility assumption at the reporting date could have resulted in a significantly higher or lower fair value measurement and increases in volatility would generally increase the fair value of the warrant liability while decreases in volatility would reduce it. The Company remeasured the fair value of the remaining warrants at March 31, 2026 of $151, and for the three months ended March 31, 2026 recorded a net gain of $203 within Other (income) expense, net in the Company’s Condensed Consolidated Statements of Operations. The valuation inputs used as of March 31, 2026 were a strike price of $4.20, the Company’s stock price of $1.34, volatility of 41.15%, term of 3.9 years and risk-free rate of 3.37%.</w:t>
      </w:r>
    </w:p>
    <w:p>
      <w:pPr>
        <w:spacing w:after="0" w:line="190"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Credit Agreement as of March 31, 2026 and December 31, 2025 was $101,772 and $107,850, respectively. Both observable and unobservable inputs were used to determine the fair value of long-term debt, which was classified within the Level 3 category.</w:t>
      </w:r>
    </w:p>
    <w:p>
      <w:pPr>
        <w:spacing w:after="0" w:line="149"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BTI warrants issued and outstanding by the Company and the corresponding balance sheet classification:</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Warrant Recipient</w:t>
            </w:r>
          </w:p>
        </w:tc>
        <w:tc>
          <w:tcPr>
            <w:tcW w:w="720" w:type="dxa"/>
            <w:vAlign w:val="bottom"/>
          </w:tcPr>
          <w:p>
            <w:pPr>
              <w:spacing w:after="0"/>
              <w:rPr>
                <w:sz w:val="13"/>
                <w:szCs w:val="13"/>
                <w:color w:val="auto"/>
              </w:rPr>
            </w:pPr>
          </w:p>
        </w:tc>
        <w:tc>
          <w:tcPr>
            <w:tcW w:w="1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Warrant Type</w:t>
            </w: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80" w:type="dxa"/>
            <w:vAlign w:val="bottom"/>
          </w:tcPr>
          <w:p>
            <w:pPr>
              <w:spacing w:after="0"/>
              <w:rPr>
                <w:sz w:val="13"/>
                <w:szCs w:val="13"/>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3"/>
                <w:szCs w:val="13"/>
                <w:color w:val="auto"/>
              </w:rPr>
            </w:pPr>
          </w:p>
        </w:tc>
        <w:tc>
          <w:tcPr>
            <w:tcW w:w="12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0" w:type="dxa"/>
            <w:vAlign w:val="bottom"/>
          </w:tcPr>
          <w:p>
            <w:pPr>
              <w:spacing w:after="0"/>
              <w:rPr>
                <w:sz w:val="1"/>
                <w:szCs w:val="1"/>
                <w:color w:val="auto"/>
              </w:rPr>
            </w:pPr>
          </w:p>
        </w:tc>
      </w:tr>
      <w:tr>
        <w:trPr>
          <w:trHeight w:val="173"/>
        </w:trPr>
        <w:tc>
          <w:tcPr>
            <w:tcW w:w="276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Lenders and Purchasers</w:t>
            </w:r>
          </w:p>
        </w:tc>
        <w:tc>
          <w:tcPr>
            <w:tcW w:w="25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Closing Date Warrants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4/19/2022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8"/>
        </w:trPr>
        <w:tc>
          <w:tcPr>
            <w:tcW w:w="27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Lenders and Purchasers</w:t>
            </w:r>
          </w:p>
        </w:tc>
        <w:tc>
          <w:tcPr>
            <w:tcW w:w="2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2023 Warrants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12/5/2023</w:t>
            </w:r>
          </w:p>
        </w:tc>
        <w:tc>
          <w:tcPr>
            <w:tcW w:w="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2"/>
                <w:szCs w:val="12"/>
                <w:color w:val="auto"/>
              </w:rPr>
            </w:pPr>
          </w:p>
        </w:tc>
        <w:tc>
          <w:tcPr>
            <w:tcW w:w="1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9"/>
        </w:trPr>
        <w:tc>
          <w:tcPr>
            <w:tcW w:w="27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Lenders and Purchasers</w:t>
            </w:r>
          </w:p>
        </w:tc>
        <w:tc>
          <w:tcPr>
            <w:tcW w:w="25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2024 Warrants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3/20/2024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8"/>
        </w:trPr>
        <w:tc>
          <w:tcPr>
            <w:tcW w:w="27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Armistice Capital Master Fund Ltd.</w:t>
            </w:r>
          </w:p>
        </w:tc>
        <w:tc>
          <w:tcPr>
            <w:tcW w:w="2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Accompanying Warrants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3/27/2024</w:t>
            </w:r>
          </w:p>
        </w:tc>
        <w:tc>
          <w:tcPr>
            <w:tcW w:w="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1.614</w:t>
            </w: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539</w:t>
            </w:r>
          </w:p>
        </w:tc>
        <w:tc>
          <w:tcPr>
            <w:tcW w:w="40" w:type="dxa"/>
            <w:vAlign w:val="bottom"/>
          </w:tcPr>
          <w:p>
            <w:pPr>
              <w:spacing w:after="0"/>
              <w:rPr>
                <w:sz w:val="12"/>
                <w:szCs w:val="12"/>
                <w:color w:val="auto"/>
              </w:rPr>
            </w:pPr>
          </w:p>
        </w:tc>
        <w:tc>
          <w:tcPr>
            <w:tcW w:w="1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149"/>
        </w:trPr>
        <w:tc>
          <w:tcPr>
            <w:tcW w:w="27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Armistice Capital Master Fund Ltd.</w:t>
            </w:r>
          </w:p>
        </w:tc>
        <w:tc>
          <w:tcPr>
            <w:tcW w:w="25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November 2024 Accompanying Warrants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11/25/2024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1.614</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846</w:t>
            </w: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148"/>
        </w:trPr>
        <w:tc>
          <w:tcPr>
            <w:tcW w:w="27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Heights Capital Management</w:t>
            </w:r>
          </w:p>
        </w:tc>
        <w:tc>
          <w:tcPr>
            <w:tcW w:w="2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November 2024 Accompanying Warrants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11/25/2024</w:t>
            </w:r>
          </w:p>
        </w:tc>
        <w:tc>
          <w:tcPr>
            <w:tcW w:w="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40" w:type="dxa"/>
            <w:vAlign w:val="bottom"/>
          </w:tcPr>
          <w:p>
            <w:pPr>
              <w:spacing w:after="0"/>
              <w:rPr>
                <w:sz w:val="12"/>
                <w:szCs w:val="12"/>
                <w:color w:val="auto"/>
              </w:rPr>
            </w:pPr>
          </w:p>
        </w:tc>
        <w:tc>
          <w:tcPr>
            <w:tcW w:w="1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148"/>
        </w:trPr>
        <w:tc>
          <w:tcPr>
            <w:tcW w:w="27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Hudson Bay Capital Management</w:t>
            </w:r>
          </w:p>
        </w:tc>
        <w:tc>
          <w:tcPr>
            <w:tcW w:w="25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November 2024 Accompanying Warrants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11/25/2024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149"/>
        </w:trPr>
        <w:tc>
          <w:tcPr>
            <w:tcW w:w="27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IntraCoastal Capital, LLC</w:t>
            </w:r>
          </w:p>
        </w:tc>
        <w:tc>
          <w:tcPr>
            <w:tcW w:w="2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November 2024 Accompanying Warrants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11/25/2024</w:t>
            </w:r>
          </w:p>
        </w:tc>
        <w:tc>
          <w:tcPr>
            <w:tcW w:w="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40" w:type="dxa"/>
            <w:vAlign w:val="bottom"/>
          </w:tcPr>
          <w:p>
            <w:pPr>
              <w:spacing w:after="0"/>
              <w:rPr>
                <w:sz w:val="12"/>
                <w:szCs w:val="12"/>
                <w:color w:val="auto"/>
              </w:rPr>
            </w:pPr>
          </w:p>
        </w:tc>
        <w:tc>
          <w:tcPr>
            <w:tcW w:w="1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148"/>
        </w:trPr>
        <w:tc>
          <w:tcPr>
            <w:tcW w:w="27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Murchison Capital Partners, LP and assignees</w:t>
            </w:r>
          </w:p>
        </w:tc>
        <w:tc>
          <w:tcPr>
            <w:tcW w:w="25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March 2025 Accompanying Warrants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3/4/2025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4.20</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1,700</w:t>
            </w: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216"/>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Armistice Capital Master Fund Ltd.</w:t>
            </w:r>
          </w:p>
        </w:tc>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March 2026</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Accompanying Warrants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3/11/2026</w:t>
            </w:r>
          </w:p>
        </w:tc>
        <w:tc>
          <w:tcPr>
            <w:tcW w:w="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40" w:type="dxa"/>
            <w:vAlign w:val="bottom"/>
          </w:tcPr>
          <w:p>
            <w:pPr>
              <w:spacing w:after="0"/>
              <w:rPr>
                <w:sz w:val="18"/>
                <w:szCs w:val="18"/>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Augustus Trading LLC</w:t>
            </w: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March 2026</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Placement Agent Warrants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3/11/2026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2.0175</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16"/>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David Dinkin</w:t>
            </w:r>
          </w:p>
        </w:tc>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March 2026</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Placement Agent Warrants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3/11/2026</w:t>
            </w:r>
          </w:p>
        </w:tc>
        <w:tc>
          <w:tcPr>
            <w:tcW w:w="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2.0175</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40" w:type="dxa"/>
            <w:vAlign w:val="bottom"/>
          </w:tcPr>
          <w:p>
            <w:pPr>
              <w:spacing w:after="0"/>
              <w:rPr>
                <w:sz w:val="18"/>
                <w:szCs w:val="18"/>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9"/>
        </w:trPr>
        <w:tc>
          <w:tcPr>
            <w:tcW w:w="27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Wilson Drive Holdings LLC</w:t>
            </w:r>
          </w:p>
        </w:tc>
        <w:tc>
          <w:tcPr>
            <w:tcW w:w="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March 2026</w:t>
            </w:r>
          </w:p>
        </w:tc>
        <w:tc>
          <w:tcPr>
            <w:tcW w:w="18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Placement Agent Warrants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3/11/2026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2.0175</w:t>
            </w:r>
          </w:p>
        </w:tc>
        <w:tc>
          <w:tcPr>
            <w:tcW w:w="4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83"/>
        </w:trPr>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warrants issued</w:t>
            </w:r>
          </w:p>
        </w:tc>
        <w:tc>
          <w:tcPr>
            <w:tcW w:w="7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7,860</w:t>
            </w: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The fair value of the Closing Date Warrants, which was a non-recurring fair value, was determined as of the date of issuance using a Black-Scholes pricing model and the fair value of $3,245 was recorded as a component of stockholders’ equity in Additional-paid-in-capital in the Condensed Consolidated Balance Sheets, with the offset recorded as a discount on the amounts funded under the OFA Facilities. This non-recurring measurement is classified as Level 2. The inputs used were a strike price of $320.64, the Company’s stock price of $238.88, volatility of 95%, term of 7 years and risk-free rate of 2.95%.</w:t>
      </w:r>
    </w:p>
    <w:p>
      <w:pPr>
        <w:spacing w:after="0" w:line="187"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As discussed in Note 9, Debt and Credit Facilities, in connection with the closing of the Second Amendment of the Credit Agreement, on the Second Amendment Effective Date, the Company amended and restated the Closing Date Warrants granted to the Lenders to have an exercise price of $58.3232 per share.</w:t>
      </w:r>
    </w:p>
    <w:p>
      <w:pPr>
        <w:spacing w:after="0" w:line="176" w:lineRule="exact"/>
        <w:rPr>
          <w:sz w:val="20"/>
          <w:szCs w:val="20"/>
          <w:color w:val="auto"/>
        </w:rPr>
      </w:pPr>
    </w:p>
    <w:p>
      <w:pPr>
        <w:ind w:left="60" w:right="299" w:firstLine="324"/>
        <w:spacing w:after="0" w:line="277" w:lineRule="auto"/>
        <w:rPr>
          <w:sz w:val="20"/>
          <w:szCs w:val="20"/>
          <w:color w:val="auto"/>
        </w:rPr>
      </w:pPr>
      <w:r>
        <w:rPr>
          <w:rFonts w:ascii="Times New Roman" w:cs="Times New Roman" w:eastAsia="Times New Roman" w:hAnsi="Times New Roman"/>
          <w:sz w:val="17"/>
          <w:szCs w:val="17"/>
          <w:color w:val="auto"/>
        </w:rPr>
        <w:t>Using a Black-Scholes pricing model, the Company determined that the Closing Date Warrants’ fair values at the original strike price of $320.64 and the amended strike price of $58.3232 were $548 and $802, respectively, as of the Second Amendment Effective Date. The Closing Date Warrants’ incremental increase in fair value for the repricing of $254, was recorded as a component of stockholders’ equity in Additional-paid-in-capital in the Condensed Consolidated Balance Sheets, with the offset recorded as a discount on the amounts refinanced under the Credit Agreement.</w:t>
      </w:r>
    </w:p>
    <w:p>
      <w:pPr>
        <w:spacing w:after="0" w:line="168"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Second Amendment, the Company issued 4 “2023 Warrants” at a strike price of $58.3232 per share. The fair value of the 2023 Warrants, which is a non-recurring fair value, was determined as of the date of issuance using a Black-Scholes pricing model and the fair value of $200 was recorded as a component of stockholders’ equity in Additional-paid-in-capital in the Condensed Consolidated Balance Sheets, with the offset recorded as a discount on the amounts funded under the Credit Agreement. This non-recurring measurement is classified as Level 2. The inputs used were a strike price of $58.3232, the Company’s stock price of $59.36, volatility of 99%, term of 5.4 years and risk-free rate of 4.14%.</w:t>
      </w:r>
    </w:p>
    <w:p>
      <w:pPr>
        <w:spacing w:after="0" w:line="189"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Fourth Amendment, the Company issued 6 “2024 Warrants” at a strike price of $49.1568 per share. The fair value of the “2024 Warrants”, which was a non-recurring fair value, was determined as of the date of issuance using a Black-Scholes pricing model and the fair value of $224 was recorded as a component of stockholders’ equity in Additional-paid-in-capital in the Condensed Consolidated Balance Sheets, with the offset recorded as a discount on the amounts funded under the OFA Facilities. This non-recurring measurement is classified as Level 2. The inputs used were a strike price of $49.1568, the Company’s stock price of $44.48, volatility of 112.2%, term of 5 years and risk-free rate of 4.25%.</w:t>
      </w:r>
    </w:p>
    <w:p>
      <w:pPr>
        <w:spacing w:after="0" w:line="189" w:lineRule="exact"/>
        <w:rPr>
          <w:sz w:val="20"/>
          <w:szCs w:val="20"/>
          <w:color w:val="auto"/>
        </w:rPr>
      </w:pPr>
    </w:p>
    <w:p>
      <w:pPr>
        <w:jc w:val="both"/>
        <w:ind w:left="60" w:right="459" w:firstLine="324"/>
        <w:spacing w:after="0" w:line="266" w:lineRule="auto"/>
        <w:rPr>
          <w:sz w:val="20"/>
          <w:szCs w:val="20"/>
          <w:color w:val="auto"/>
        </w:rPr>
      </w:pPr>
      <w:r>
        <w:rPr>
          <w:rFonts w:ascii="Times New Roman" w:cs="Times New Roman" w:eastAsia="Times New Roman" w:hAnsi="Times New Roman"/>
          <w:sz w:val="18"/>
          <w:szCs w:val="18"/>
          <w:color w:val="auto"/>
        </w:rPr>
        <w:t>In addition, in connection with the Fifth Amendment of the Credit Agreement, on the Fifth Amendment Effective Date of November 25, 2024, the Company amended and restated the Closing Date Warrants, 2023 Warrants, and 2024 Warrants granted to the Lenders to have an exercise price of $7.68 per share.</w:t>
      </w:r>
    </w:p>
    <w:p>
      <w:pPr>
        <w:spacing w:after="0" w:line="176" w:lineRule="exact"/>
        <w:rPr>
          <w:sz w:val="20"/>
          <w:szCs w:val="20"/>
          <w:color w:val="auto"/>
        </w:rPr>
      </w:pPr>
    </w:p>
    <w:p>
      <w:pPr>
        <w:ind w:left="60" w:right="279" w:firstLine="324"/>
        <w:spacing w:after="0" w:line="256" w:lineRule="auto"/>
        <w:rPr>
          <w:sz w:val="20"/>
          <w:szCs w:val="20"/>
          <w:color w:val="auto"/>
        </w:rPr>
      </w:pPr>
      <w:r>
        <w:rPr>
          <w:rFonts w:ascii="Times New Roman" w:cs="Times New Roman" w:eastAsia="Times New Roman" w:hAnsi="Times New Roman"/>
          <w:sz w:val="18"/>
          <w:szCs w:val="18"/>
          <w:color w:val="auto"/>
        </w:rPr>
        <w:t>Using a Black-Scholes pricing model, the Company determined that the Closing Date Warrants, 2023 Warrants, and 2024 Warrants’ fair values at the previously amended strike price of $58.3232 and original strike price of $49.1568 the amended strike price of $7.68 were $105 and $164, respectively, as of the Fifth Amendment Effective Date. The Closing Date Warrants, 2023 Warrants, and 2024 Warrants’ incremental increase in fair value for the repricing of $59, was recorded as a component of stockholders’ equity in Additional-paid-in-capital in the Condensed Consolidated Balance Sheets, with the offset recorded as a discount on the amounts refinanced under the Credit Agreement.</w:t>
      </w:r>
    </w:p>
    <w:p>
      <w:pPr>
        <w:spacing w:after="0" w:line="187"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fair value of the Accompanying Warrants at issuance on March 25, 2024 was determined using a Black-Scholes pricing model and was recorded as a derivative liability with the offset recorded as a component of stockholders’ equity in Additional-paid-in-capital in the Condensed Consolidated Balance Sheets. This fair value measurement is classified as Level 2. On November 25, 2024, 534 of the 539 Accompanying Warrants’ strike price were amended to $9.136. In connection with the March 2026 Offering discussed in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all 539 Accompanying Warrants’ strike price were amended to $1.614 and the term was extended to five years following the closing date of the March 2026 Offering, as part of the consideration provided to one of the investors in the offering. The increase in fair value due to the amended strike price of $224 was recorded as an increase in the carrying value of the Derivative liability, with the offset recorded a reduction to Additional paid-in-capital in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Company’s Condensed Consolidated Balance Sheets. The Company remeasured the Accompanying Warrants’ fair value at March 31, 2026 of $596, and for the three months ended March 31, 2026 recorded a net gain of $130 within Other (income) expense, net in the Company’s Condensed Consolidated Statements of Operations. The valuation inputs used as of March 31, 2026 were a strike price of $1.614, the Company’s stock price of $1.34, volatility of 122.0%, term of 4.9 years and risk-free rate of 3.92%.</w:t>
      </w:r>
    </w:p>
    <w:p>
      <w:pPr>
        <w:spacing w:after="0" w:line="183"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 xml:space="preserve">The fair value of the November 2024 Accompanying Warrants at issuance on November 25, 2024 was determined using a Black-Scholes pricing model and was recorded as a derivative liability with the offset recorded as a component of stockholders’ equity in Additional-paid-in-capital in the Condensed Consolidated Balance Sheets. This fair value measurement is classified as Level 2. In connection with the March 2026 Offering discussed in Note 11,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846 of the 913 November 2024 Accompanying Warrants’ strike price were amended to $1.614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 was extended to five years following the closing date of the March 2026 Offering, as part of the consideration provided to one of the investors in the offering. The increase in fair value due to the amended strike price of $282 was recorded as an increase in the carrying value of the Derivative liability, with the offset recorded a reduction to Additional paid-in-capital in the Company’s Condensed Consolidated Balance Sheets. The Company remeasured the November 2024 Accompanying Warrants’ fair value at March 31, 2026 of $990, and for the three months ended March 31, 2026 recorded a net gain of $226 within Other (income) expense, net in the Company’s Condensed Consolidated Statements of Operations. The valuation inputs used as of March 31, 2026 for the 846 amended November 2024 Accompanying Warrants were a strike price of $1.614, the Company’s stock price of $1.34, volatility of 122.0%, term of 4.9 years and risk-free rate of 3.92%. The valuation inputs used as of March 31, 2026 for the remaining 67 November 2024 Accompanying Warrants were a strike price of $7.680, the Company’s stock price of $1.34, volatility of 133.3%, term of 3.7 years and risk-free rate of 3.85%.</w:t>
      </w:r>
    </w:p>
    <w:p>
      <w:pPr>
        <w:spacing w:after="0" w:line="195"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 fair value of the March 2026 Accompanying Warrants at issuance on March 11, 2026 was determined using a Black-Scholes pricing model and the fair value of $5,940 was recorded as a derivative liability with the offset recorded as a component of stockholders’ equity in Additional-paid-in-capital in the Condensed Consolidated Balance Sheets. This fair value measurement is classified as Level 2. The valuation inputs used were a strike price of $1.614, the Company’s stock price of $1.57, volatility of 121.8%, a term of 5 years and a risk-free rate of 3.79%. The Company remeasured the March 2026 Accompanying Warrants’ fair value at March 31, 2026 of $4,980, and for the three months ended March 31, 2026 recorded a net gain of $960 within Other (income) expense, net in the Company’s Condensed Consolidated Statements of Operations. The valuation inputs used as of March 31, 2026 were a strike price of $1.614, the Company’s stock price of $1.34, volatility of 122.0%, term of 4.9 years and risk-free rate of 3.92%.</w:t>
      </w:r>
    </w:p>
    <w:p>
      <w:pPr>
        <w:spacing w:after="0" w:line="188"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The fair value of the March 2026 Placement Agent Warrants, which was a non-recurring fair value, was determined as of the date of issuance using a Black-Scholes pricing model and the fair value of $232 was recorded as a component of stockholders’ equity in Additional-paid-in-capital in the Condensed Consolidated Balance Sheets. This non-recurring fair value measurement is classified as Level 2. The valuation inputs used were a strike price of $2.0175, the Company’s stock price of $1.57, volatility of 121.8%, a term of 5 years and a risk-free rate of 3.79%.</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Net Loss Per Share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Basic and diluted net loss per share are as follows: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9"/>
        </w:trPr>
        <w:tc>
          <w:tcPr>
            <w:tcW w:w="6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7"/>
                <w:szCs w:val="17"/>
                <w:color w:val="auto"/>
              </w:rPr>
            </w:pP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(numerator)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(12,691)</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(denominator)</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(0.54)</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Potentially dilutive securities outstanding consists of stock options, RSUs and performance units, and BTI warrants.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had common stock equivalents outstanding are as follows: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1700" w:type="dxa"/>
            <w:vAlign w:val="bottom"/>
            <w:gridSpan w:val="3"/>
          </w:tcPr>
          <w:p>
            <w:pPr>
              <w:jc w:val="center"/>
              <w:ind w:left="757"/>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840" w:type="dxa"/>
            <w:vAlign w:val="bottom"/>
          </w:tcPr>
          <w:p>
            <w:pPr>
              <w:spacing w:after="0"/>
              <w:rPr>
                <w:sz w:val="16"/>
                <w:szCs w:val="16"/>
                <w:color w:val="auto"/>
              </w:rPr>
            </w:pPr>
          </w:p>
        </w:tc>
      </w:tr>
      <w:tr>
        <w:trPr>
          <w:trHeight w:val="199"/>
        </w:trPr>
        <w:tc>
          <w:tcPr>
            <w:tcW w:w="6300" w:type="dxa"/>
            <w:vAlign w:val="bottom"/>
          </w:tcPr>
          <w:p>
            <w:pPr>
              <w:spacing w:after="0"/>
              <w:rPr>
                <w:sz w:val="17"/>
                <w:szCs w:val="17"/>
                <w:color w:val="auto"/>
              </w:rPr>
            </w:pPr>
          </w:p>
        </w:tc>
        <w:tc>
          <w:tcPr>
            <w:tcW w:w="1700" w:type="dxa"/>
            <w:vAlign w:val="bottom"/>
            <w:tcBorders>
              <w:bottom w:val="single" w:sz="8" w:color="auto"/>
            </w:tcBorders>
            <w:gridSpan w:val="3"/>
          </w:tcPr>
          <w:p>
            <w:pPr>
              <w:jc w:val="center"/>
              <w:ind w:left="71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7"/>
                <w:szCs w:val="17"/>
                <w:color w:val="auto"/>
              </w:rPr>
            </w:pPr>
          </w:p>
        </w:tc>
      </w:tr>
      <w:tr>
        <w:trPr>
          <w:trHeight w:val="196"/>
        </w:trPr>
        <w:tc>
          <w:tcPr>
            <w:tcW w:w="6300" w:type="dxa"/>
            <w:vAlign w:val="bottom"/>
          </w:tcPr>
          <w:p>
            <w:pPr>
              <w:spacing w:after="0"/>
              <w:rPr>
                <w:sz w:val="17"/>
                <w:szCs w:val="17"/>
                <w:color w:val="auto"/>
              </w:rPr>
            </w:pPr>
          </w:p>
        </w:tc>
        <w:tc>
          <w:tcPr>
            <w:tcW w:w="11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6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17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BTI Warrants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7,860</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5,792</w:t>
            </w:r>
          </w:p>
        </w:tc>
      </w:tr>
      <w:tr>
        <w:trPr>
          <w:trHeight w:val="209"/>
        </w:trPr>
        <w:tc>
          <w:tcPr>
            <w:tcW w:w="6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common stock equivalents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w:t>
            </w:r>
          </w:p>
        </w:tc>
      </w:tr>
      <w:tr>
        <w:trPr>
          <w:trHeight w:val="20"/>
        </w:trPr>
        <w:tc>
          <w:tcPr>
            <w:tcW w:w="6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02"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From time to time, in the ordinary course of business, the Company may be subject to litigation and regulatory examinations as well as information gathering requests, inquiries and/or investigations. Other than the items below, the Company is not currently subject to any matters where it believes there is a reasonable possibility that a material loss may be incurred.</w:t>
      </w:r>
    </w:p>
    <w:p>
      <w:pPr>
        <w:spacing w:after="0" w:line="139"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July 7, 2023, plaintiff Katelyn Martin filed a class action complaint against the Company and certain executives in the United States District Court for the District of Connecticut, captioned </w:t>
      </w:r>
      <w:r>
        <w:rPr>
          <w:rFonts w:ascii="Times New Roman" w:cs="Times New Roman" w:eastAsia="Times New Roman" w:hAnsi="Times New Roman"/>
          <w:sz w:val="18"/>
          <w:szCs w:val="18"/>
          <w:i w:val="1"/>
          <w:iCs w:val="1"/>
          <w:color w:val="auto"/>
        </w:rPr>
        <w:t>Martin v. BioXcel Therapeutics, et al.</w:t>
      </w:r>
      <w:r>
        <w:rPr>
          <w:rFonts w:ascii="Times New Roman" w:cs="Times New Roman" w:eastAsia="Times New Roman" w:hAnsi="Times New Roman"/>
          <w:sz w:val="18"/>
          <w:szCs w:val="18"/>
          <w:color w:val="auto"/>
        </w:rPr>
        <w:t xml:space="preserve">, 3:23-cv-00915 (D. Conn). The case has since been renamed to </w:t>
      </w:r>
      <w:r>
        <w:rPr>
          <w:rFonts w:ascii="Times New Roman" w:cs="Times New Roman" w:eastAsia="Times New Roman" w:hAnsi="Times New Roman"/>
          <w:sz w:val="18"/>
          <w:szCs w:val="18"/>
          <w:i w:val="1"/>
          <w:iCs w:val="1"/>
          <w:color w:val="auto"/>
        </w:rPr>
        <w:t>Hills et al v. BioXcel Therapeutics, Inc. et</w:t>
      </w:r>
      <w:r>
        <w:rPr>
          <w:rFonts w:ascii="Times New Roman" w:cs="Times New Roman" w:eastAsia="Times New Roman" w:hAnsi="Times New Roman"/>
          <w:sz w:val="18"/>
          <w:szCs w:val="18"/>
          <w:color w:val="auto"/>
        </w:rPr>
        <w:t xml:space="preserve"> al. On October 4, 2023, pursuant to the Private Securities Litigation Reform Act, the court appointed two co-Lead Plaintiffs. The co-Lead Plaintiffs filed an amended complaint on December 5, 2023, alleging violations of Sections 10(b) and 20A of the Securities and Exchange Act of 1934 (the “Exchange Act”) and SEC Rule 10b-5 promulgated thereunder. On July 11, 2024, the Court dismissed the amended complaint without prejudice and, on August 1, 2024, co-Lead Plaintiffs filed a second amended complaint. The second amended complaint alleges that defendants made false or misleading statements regarding the TRANQUILITY II trial and the development of BXCL501 for an expanded indication related to the treatment of certain Alzheimer’s-related agitation. The Company moved to dismiss the second amended complaint on September 6, 2024. On February 24, 2025, while the Company’s motion to dismiss remained pending, Plaintiffs moved for leave to further amend their complaint. On September 29, 2025, the Court issued an order granting Plaintiffs’ motion for leave to amend, denying Defendants’ motion to dismiss as moot, and allowing Plaintiffs to proceed on certain of their claims. The Company filed an answer to the third amended complaint on October 28, 2025.</w:t>
      </w:r>
    </w:p>
    <w:p>
      <w:pPr>
        <w:spacing w:after="0" w:line="157"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On January 27, 2026, the parties filed a joint motion to vacate deadlines pending settlement, and on February 27, 2026, the parties filed a stipulation regarding settlement. The settlement agreement includes a cash payment of $9,750 funded by the Company’s insurance carriers. On March 2, the Court granted preliminary approval of the settlement. Accordingly, the Company recorded an estimated $9,750 liability within Other current liabilities in the Company’s Condensed Consolidated Balance Sheets with a corresponding insurance recovery for the 100% portion to be paid directly by certain of the Company’s insurance carriers within Other current assets in the Company’s Condensed Consolidated Balance Sheets. In March 2026, the insurance carriers funded the settlement escrow for the $9,750 cash settlement. The settlement is subject to the hearing on the motion for final approval, scheduled for September 2, 2026, and no payments will be released from escrow until such approval is granted. Accordingly, the settlement liability and related insurance recovery will remain recorded on the Company’s Condensed Consolidated Balance Sheets until final approval of the settlement is obtained.</w:t>
      </w:r>
    </w:p>
    <w:p>
      <w:pPr>
        <w:spacing w:after="0" w:line="165"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November 28, 2023, Plaintiffs Pratheesan Panancherry and Jeffrey Bastress filed a stockholder derivative complaint in the United States District Court for the District of Connecticut purportedly on behalf of the Company and against Vimal Mehta, Richard I. Steinhart, Peter Mueller, June Bray, Sandeep Laumas, Michael Miller, Michal Votruba, and Krishnan Nandabalan as Defendants, and the Company as Nominal Defendant under the caption </w:t>
      </w:r>
      <w:r>
        <w:rPr>
          <w:rFonts w:ascii="Times New Roman" w:cs="Times New Roman" w:eastAsia="Times New Roman" w:hAnsi="Times New Roman"/>
          <w:sz w:val="18"/>
          <w:szCs w:val="18"/>
          <w:i w:val="1"/>
          <w:iCs w:val="1"/>
          <w:color w:val="auto"/>
        </w:rPr>
        <w:t>Panancherry et al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Mehta et al</w:t>
      </w:r>
      <w:r>
        <w:rPr>
          <w:rFonts w:ascii="Times New Roman" w:cs="Times New Roman" w:eastAsia="Times New Roman" w:hAnsi="Times New Roman"/>
          <w:sz w:val="18"/>
          <w:szCs w:val="18"/>
          <w:color w:val="auto"/>
        </w:rPr>
        <w:t xml:space="preserve">, 3:23-cv-1554. Following the initial action, Plaintiffs Maria Vomvolakis (3:24-cv-3) and Kelly Fowler (3:24-cv-203) each filed separate stockholder derivative complaints in the District of Connecticut raising similar claims as Panancherry and Bastress, including business torts and violations of the Securities Exchange Act of 1934. The cases have been consolidated under the caption </w:t>
      </w:r>
      <w:r>
        <w:rPr>
          <w:rFonts w:ascii="Times New Roman" w:cs="Times New Roman" w:eastAsia="Times New Roman" w:hAnsi="Times New Roman"/>
          <w:sz w:val="18"/>
          <w:szCs w:val="18"/>
          <w:i w:val="1"/>
          <w:iCs w:val="1"/>
          <w:color w:val="auto"/>
        </w:rPr>
        <w:t>In re BioXcel Therapeutics, Inc. Stockholder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599"/>
        <w:spacing w:after="0" w:line="284" w:lineRule="auto"/>
        <w:rPr>
          <w:sz w:val="20"/>
          <w:szCs w:val="20"/>
          <w:color w:val="auto"/>
        </w:rPr>
      </w:pPr>
      <w:r>
        <w:rPr>
          <w:rFonts w:ascii="Times New Roman" w:cs="Times New Roman" w:eastAsia="Times New Roman" w:hAnsi="Times New Roman"/>
          <w:sz w:val="18"/>
          <w:szCs w:val="18"/>
          <w:i w:val="1"/>
          <w:iCs w:val="1"/>
          <w:color w:val="auto"/>
        </w:rPr>
        <w:t>Derivative Litigation</w:t>
      </w:r>
      <w:r>
        <w:rPr>
          <w:rFonts w:ascii="Times New Roman" w:cs="Times New Roman" w:eastAsia="Times New Roman" w:hAnsi="Times New Roman"/>
          <w:sz w:val="18"/>
          <w:szCs w:val="18"/>
          <w:color w:val="auto"/>
        </w:rPr>
        <w:t>, 3:23-cv-1554 (D. Conn.). On October 30, 2025, the Court entered the parties’ joint stipulation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staying the consolidated action until the resolution of </w:t>
      </w:r>
      <w:r>
        <w:rPr>
          <w:rFonts w:ascii="Times New Roman" w:cs="Times New Roman" w:eastAsia="Times New Roman" w:hAnsi="Times New Roman"/>
          <w:sz w:val="18"/>
          <w:szCs w:val="18"/>
          <w:i w:val="1"/>
          <w:iCs w:val="1"/>
          <w:color w:val="auto"/>
        </w:rPr>
        <w:t>Hills v. BioXcel et al</w:t>
      </w:r>
      <w:r>
        <w:rPr>
          <w:rFonts w:ascii="Times New Roman" w:cs="Times New Roman" w:eastAsia="Times New Roman" w:hAnsi="Times New Roman"/>
          <w:sz w:val="18"/>
          <w:szCs w:val="18"/>
          <w:color w:val="auto"/>
        </w:rPr>
        <w:t>, 3:23-cv-00915 (D. Conn.).</w:t>
      </w:r>
    </w:p>
    <w:p>
      <w:pPr>
        <w:spacing w:after="0" w:line="133"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January 11, 2024, Plaintiff Jeremy Smith filed a stockholder derivative complaint in the United States District Court for the District of Delaware purportedly on behalf of the Company and against Vimal Mehta, Peter Mueller, June Bray, Sandeep Laumas, Michael Miller, Michal Votruba, Richard I. Steinhart, Robert Risinger, and Krishnan Nandabalan as Defendants, and the Company as Nominal Defendant under the caption </w:t>
      </w:r>
      <w:r>
        <w:rPr>
          <w:rFonts w:ascii="Times New Roman" w:cs="Times New Roman" w:eastAsia="Times New Roman" w:hAnsi="Times New Roman"/>
          <w:sz w:val="18"/>
          <w:szCs w:val="18"/>
          <w:i w:val="1"/>
          <w:iCs w:val="1"/>
          <w:color w:val="auto"/>
        </w:rPr>
        <w:t>Smith v. Mehta et al,</w:t>
      </w:r>
      <w:r>
        <w:rPr>
          <w:rFonts w:ascii="Times New Roman" w:cs="Times New Roman" w:eastAsia="Times New Roman" w:hAnsi="Times New Roman"/>
          <w:sz w:val="18"/>
          <w:szCs w:val="18"/>
          <w:color w:val="auto"/>
        </w:rPr>
        <w:t xml:space="preserve"> 1:24-cv-00041. Following the initial action, Plaintiff Janice Korff filed a stockholder derivative complaint in the District of Delaware raising similar claims as Smith (1:24-cv-130), including business torts and violations of the Securities Exchange Act of 1934. The cases have been consolidated under the caption </w:t>
      </w:r>
      <w:r>
        <w:rPr>
          <w:rFonts w:ascii="Times New Roman" w:cs="Times New Roman" w:eastAsia="Times New Roman" w:hAnsi="Times New Roman"/>
          <w:sz w:val="18"/>
          <w:szCs w:val="18"/>
          <w:i w:val="1"/>
          <w:iCs w:val="1"/>
          <w:color w:val="auto"/>
        </w:rPr>
        <w:t>In re BioXcel Therapeutics, Inc. Derivative Litigation</w:t>
      </w:r>
      <w:r>
        <w:rPr>
          <w:rFonts w:ascii="Times New Roman" w:cs="Times New Roman" w:eastAsia="Times New Roman" w:hAnsi="Times New Roman"/>
          <w:sz w:val="18"/>
          <w:szCs w:val="18"/>
          <w:color w:val="auto"/>
        </w:rPr>
        <w:t xml:space="preserve">, 1:24-cv-00041 (D. Del.). On October 30, 2025, the Court entered the parties’ joint stipulation staying the consolidated action until the resolution of </w:t>
      </w:r>
      <w:r>
        <w:rPr>
          <w:rFonts w:ascii="Times New Roman" w:cs="Times New Roman" w:eastAsia="Times New Roman" w:hAnsi="Times New Roman"/>
          <w:sz w:val="18"/>
          <w:szCs w:val="18"/>
          <w:i w:val="1"/>
          <w:iCs w:val="1"/>
          <w:color w:val="auto"/>
        </w:rPr>
        <w:t>Hills v. BioXcel et al</w:t>
      </w:r>
      <w:r>
        <w:rPr>
          <w:rFonts w:ascii="Times New Roman" w:cs="Times New Roman" w:eastAsia="Times New Roman" w:hAnsi="Times New Roman"/>
          <w:sz w:val="18"/>
          <w:szCs w:val="18"/>
          <w:color w:val="auto"/>
        </w:rPr>
        <w:t>, 3:23-cv-00915 (D. Conn.).</w:t>
      </w:r>
    </w:p>
    <w:p>
      <w:pPr>
        <w:spacing w:after="0" w:line="148"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May 7, 2025, Plaintiff Yaakov Portnoy filed a stockholder derivative complaint in the Court of Chancery of the State of Delaware purportedly on behalf of the Company and against Vimal Mehta, Peter Mueller, June Bray, Sandeep “Steve” Laumas, Michael P. Miller, Michal Votruba, Richard I. Steinhart, Robert Risinger, and Krishnan Nandabalan, and the Company as Nominal Defendant under the caption </w:t>
      </w:r>
      <w:r>
        <w:rPr>
          <w:rFonts w:ascii="Times New Roman" w:cs="Times New Roman" w:eastAsia="Times New Roman" w:hAnsi="Times New Roman"/>
          <w:sz w:val="18"/>
          <w:szCs w:val="18"/>
          <w:i w:val="1"/>
          <w:iCs w:val="1"/>
          <w:color w:val="auto"/>
        </w:rPr>
        <w:t>Yaakov Portnoy, derivatively on behalf of BioXcel Therapeutics,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 v. Vimal Mehta, et al</w:t>
      </w:r>
      <w:r>
        <w:rPr>
          <w:rFonts w:ascii="Times New Roman" w:cs="Times New Roman" w:eastAsia="Times New Roman" w:hAnsi="Times New Roman"/>
          <w:sz w:val="18"/>
          <w:szCs w:val="18"/>
          <w:color w:val="auto"/>
        </w:rPr>
        <w:t>, 2025-0508-BWD (Del. Ch.). The complaint alleges similar claims to those raised in</w:t>
      </w:r>
      <w:r>
        <w:rPr>
          <w:rFonts w:ascii="Times New Roman" w:cs="Times New Roman" w:eastAsia="Times New Roman" w:hAnsi="Times New Roman"/>
          <w:sz w:val="18"/>
          <w:szCs w:val="18"/>
          <w:i w:val="1"/>
          <w:iCs w:val="1"/>
          <w:color w:val="auto"/>
        </w:rPr>
        <w:t xml:space="preserve"> In re BioXcel Therapeutics, Inc. Derivative Litigation</w:t>
      </w:r>
      <w:r>
        <w:rPr>
          <w:rFonts w:ascii="Times New Roman" w:cs="Times New Roman" w:eastAsia="Times New Roman" w:hAnsi="Times New Roman"/>
          <w:sz w:val="18"/>
          <w:szCs w:val="18"/>
          <w:color w:val="auto"/>
        </w:rPr>
        <w:t>, 1:24-cv-00041 (D. Del.), including business torts. On January 27,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Court entered the parties’ joint stipulation staying the case until the resolution of </w:t>
      </w:r>
      <w:r>
        <w:rPr>
          <w:rFonts w:ascii="Times New Roman" w:cs="Times New Roman" w:eastAsia="Times New Roman" w:hAnsi="Times New Roman"/>
          <w:sz w:val="18"/>
          <w:szCs w:val="18"/>
          <w:i w:val="1"/>
          <w:iCs w:val="1"/>
          <w:color w:val="auto"/>
        </w:rPr>
        <w:t>Hills v. BioXcel et al</w:t>
      </w:r>
      <w:r>
        <w:rPr>
          <w:rFonts w:ascii="Times New Roman" w:cs="Times New Roman" w:eastAsia="Times New Roman" w:hAnsi="Times New Roman"/>
          <w:sz w:val="18"/>
          <w:szCs w:val="18"/>
          <w:color w:val="auto"/>
        </w:rPr>
        <w:t>, 3:23-cv-00915 (D. Conn.).</w:t>
      </w:r>
    </w:p>
    <w:p>
      <w:pPr>
        <w:spacing w:after="0" w:line="151"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March 20, 2026, Plaintiff Travis Vrana filed a stockholder derivative complaint purportedly on behalf of the Company and against Peter Mueller, June Bray, Sandeep Laumas, David Mack, Vimal Mehta, Michael Miller, Rajiv Patni, Michal Votruba, Richard Steinhart, and Robert Risinger as Defendants, and the Company as Nominal Defendant under the caption </w:t>
      </w:r>
      <w:r>
        <w:rPr>
          <w:rFonts w:ascii="Times New Roman" w:cs="Times New Roman" w:eastAsia="Times New Roman" w:hAnsi="Times New Roman"/>
          <w:sz w:val="18"/>
          <w:szCs w:val="18"/>
          <w:i w:val="1"/>
          <w:iCs w:val="1"/>
          <w:color w:val="auto"/>
        </w:rPr>
        <w:t>Vrana v. Mueller et al</w:t>
      </w:r>
      <w:r>
        <w:rPr>
          <w:rFonts w:ascii="Times New Roman" w:cs="Times New Roman" w:eastAsia="Times New Roman" w:hAnsi="Times New Roman"/>
          <w:sz w:val="18"/>
          <w:szCs w:val="18"/>
          <w:color w:val="auto"/>
        </w:rPr>
        <w:t>, 3:26-cv-00423 (D. Conn.). The complaint alleges two claims for breach of fiduciary duty, aiding and abetting breach of fiduciary duty, false and misleading statements in violation of Sections 10(b) and 14(a) of the Securities Exchange Act of 1934, unjust enrichment, and waste of corporate assets. It is based upon substantially similar facts and circumstances as the other derivative complaints.</w:t>
      </w:r>
    </w:p>
    <w:p>
      <w:pPr>
        <w:spacing w:after="0" w:line="162" w:lineRule="exact"/>
        <w:rPr>
          <w:sz w:val="20"/>
          <w:szCs w:val="20"/>
          <w:color w:val="auto"/>
        </w:rPr>
      </w:pPr>
    </w:p>
    <w:p>
      <w:pPr>
        <w:ind w:left="60" w:right="419" w:firstLine="324"/>
        <w:spacing w:after="0" w:line="312" w:lineRule="auto"/>
        <w:rPr>
          <w:sz w:val="20"/>
          <w:szCs w:val="20"/>
          <w:color w:val="auto"/>
        </w:rPr>
      </w:pPr>
      <w:r>
        <w:rPr>
          <w:rFonts w:ascii="Times New Roman" w:cs="Times New Roman" w:eastAsia="Times New Roman" w:hAnsi="Times New Roman"/>
          <w:sz w:val="17"/>
          <w:szCs w:val="17"/>
          <w:color w:val="auto"/>
        </w:rPr>
        <w:t>At this time, the Company does not believe the claims in the above-captioned matters have merit, and intends to vigorously defend against them; however, the potential costs and liabilities associated with this litigation are uncertain.</w:t>
      </w:r>
    </w:p>
    <w:p>
      <w:pPr>
        <w:spacing w:after="0" w:line="9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In April 2022, the Company signed a commercial supply agreement that requires minimum annual payments for the first three years of the agreement that in aggregate total $10,000 for the three-year period, of which $5,000 was originally due in year ended 2024. On July 11, 2024, the Company entered into an amendment to the commercial supply agreement (the “Product Supply Agreement Amendment”) that reduces the specified minimum annual payment over the next three years starting in the year ended 2024 and, thereafter, for a specified interval, provides for minimum annual payments to the extent that the Company receives approval of a supplemental new drug application (sNDA) or a new drug application (NDA) from the FDA for enumerated indications. The Company’s renegotiated agreement reduced the minimum commitment for 2024 to $1,000 and thereafter for the term of the agreement in annual amounts ranging from $2,000 to $5,000 subject, in certain instances, to the extent that the Company receives approval of an sNDA or NDA from the FDA for enumerated indications. In accordance with the Product Supply Agreement Amendment, the minimum commitments were reduced to $1,000, $2,000 and $2,000 in the years 2024, 2025, and 2026. In addition, the Company agreed to make a reconciliation payment of $1,200 in the third quarter of 2024 for full settlement for amounts due prior to the July 11, 2024 amendment.</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17. Segment Information</w:t>
      </w:r>
    </w:p>
    <w:p>
      <w:pPr>
        <w:spacing w:after="0" w:line="202"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The Company views its operations and manages its business as one operating and reportable segment, utilizing artificial intelligence (“AI”) to develop transformative medicines in neuroscience and immuno-oncology. The Company is focused on utilizing cutting-edge technology and innovative research to develop high-value therapeutics aimed at transforming patients’ lives. The Company’s approach employs a unique AI platform to reduce therapeutic development costs and potentially accelerate development timelines.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Consistent with the operational structure, the Chief Executive Officer, as the chief operating decision maker (“CODM”), reviews weekly cash usage and allocates resources based on consolidated net loss that also is reported on the consolidated statements of operations. The measure of segment assets is reported on the balance sheet as total consolidated assets. The CODM utilizes consolidated net loss by comparing actual results against budgeted amounts on a quarterly basis. As part of this process, consolidated net loss is a critical performance measure used to evaluate the Company’s operating performance and guide strategic decisions and resource allocations, including additional investments in research and development and commercialization activities.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40" w:type="dxa"/>
            <w:vAlign w:val="bottom"/>
            <w:vMerge w:val="restart"/>
          </w:tcPr>
          <w:p>
            <w:pPr>
              <w:ind w:left="51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4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20" w:type="dxa"/>
            <w:vAlign w:val="bottom"/>
            <w:gridSpan w:val="2"/>
          </w:tcPr>
          <w:p>
            <w:pPr>
              <w:jc w:val="right"/>
              <w:ind w:right="5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58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58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58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8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Professional fees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Clinical trials expense</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Chemical, manufacturing and controls cost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research and development costs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costs: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Professional fees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and marketing</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Travel related expenses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commercial costs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58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8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Professional fees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Travel related expenses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selling, general and administrative costs</w:t>
            </w:r>
          </w:p>
        </w:tc>
        <w:tc>
          <w:tcPr>
            <w:tcW w:w="24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w:t>
            </w:r>
          </w:p>
        </w:tc>
        <w:tc>
          <w:tcPr>
            <w:tcW w:w="26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2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loss</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(12,691)</w:t>
            </w:r>
          </w:p>
        </w:tc>
        <w:tc>
          <w:tcPr>
            <w:tcW w:w="2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Loss</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(12,691)</w:t>
            </w:r>
          </w:p>
        </w:tc>
        <w:tc>
          <w:tcPr>
            <w:tcW w:w="2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18. Subsequent Events</w:t>
      </w:r>
    </w:p>
    <w:p>
      <w:pPr>
        <w:spacing w:after="0" w:line="200"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the Company filed a prospectus supplement with the Securities and Exchange Commission for the offer and sale of up to $80,000 shares of common stock pursuant to the Equity Distribution Agreement with Canaccord. After March 31, 2026 but before financial statement issuance, the Company sold 2,381 shares under the Equity Distribution Agreement for gross proceeds of $2,698 and received proceeds of $2,644, net of issuance costs of $54.</w:t>
      </w:r>
    </w:p>
    <w:p>
      <w:pPr>
        <w:spacing w:after="0" w:line="185"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Ninth Amendment to the Credit Agreement, on April 15, 2026 the Company granted warrants to the Lenders to purchase up to 1,354 shares of common stock of the Company, at an exercise price of $0.01 per share. On April 30, 2026 and May 2, 2026, the Company issued 671 and 671 shares of its common stock, respectively, in connection with the cashless exercise of the 1,354 warrants.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interim condensed consolidated financial statements and related notes appearing elsewhere in this report and the audited financial statements and related notes contained in our Annual Report on Form 10-K for the year ended December 31, 2025. In addition to historical information, this discussion and analysis contains forward-looking statements that involve risks, uncertainties and assumptions. Our actual results may differ materially from those discussed below and in the forward-looking statements. Factors that could cause or contribute to these differences include, without limitation, those discussed in this Management’s Discussion and Analysis of Financial Condition and Results of Operations, those listed under “Summary Risk Factors,” and those discussed in the section titled “Risk Factors” included in Part II, Item 1A. of this report. All dollar amounts in the below Management’s Discussion and Analysis of Financial Condition and Results of Operations are presented in U.S. dollars, and all dollar and share amounts are presented in thousands, unless otherwise noted or the context otherwise provides.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BioXcel Therapeutics, Inc. (Nasdaq: BTAI, “the Company”) is a biopharmaceutical company built on artificial intelligence (“AI”) to develop transformative medicines in neuroscience. Our wholly owned subsidiary, OnkosXcel Therapeutics, is focused on the development of medicines in immuno-oncology. We have utilized cutting-edge technology and innovative research to develop high-value therapeutics aimed at transforming patients’ lives. We developed a proprietary AI platform to reduce therapeutic development costs and potentially accelerate development timelines. Our approach leverages existing approved drugs and/or clinically evaluated product candidates together with big data and proprietary machine learning algorithms to identify new therapeutic indications. We believe this differentiated approach has proven its potential to reduce the expense and time associated with drug development in diseases with substantial unmet medical needs.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Our most advanced neuroscience candidate is BXCL501. In indications other than those approved by the FDA as</w:t>
      </w:r>
    </w:p>
    <w:p>
      <w:pPr>
        <w:spacing w:after="0" w:line="15" w:lineRule="exact"/>
        <w:rPr>
          <w:sz w:val="20"/>
          <w:szCs w:val="20"/>
          <w:color w:val="auto"/>
        </w:rPr>
      </w:pPr>
    </w:p>
    <w:p>
      <w:pPr>
        <w:ind w:left="60" w:right="159"/>
        <w:spacing w:after="0" w:line="232" w:lineRule="auto"/>
        <w:rPr>
          <w:sz w:val="20"/>
          <w:szCs w:val="20"/>
          <w:color w:val="auto"/>
        </w:rPr>
      </w:pPr>
      <w:r>
        <w:rPr>
          <w:rFonts w:ascii="Times New Roman" w:cs="Times New Roman" w:eastAsia="Times New Roman" w:hAnsi="Times New Roman"/>
          <w:sz w:val="18"/>
          <w:szCs w:val="18"/>
          <w:color w:val="auto"/>
        </w:rPr>
        <w:t>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BXCL501 is an investigational, proprietary, orally dissolving sublingual film formulation of dexmedetomidine in development for the treatment of agitation associated with psychiatric and neurological disorders. Our most advanced immuno-oncology asset, BXCL701, is an investigational oral innate immune activator from OnkosXcel Therapeutics as a potential therapy for the treatment of aggressive forms of prostate cancer, pancreatic cancer, and other solid and liquid tumors.</w:t>
      </w:r>
    </w:p>
    <w:p>
      <w:pPr>
        <w:spacing w:after="0" w:line="193" w:lineRule="exact"/>
        <w:rPr>
          <w:sz w:val="20"/>
          <w:szCs w:val="20"/>
          <w:color w:val="auto"/>
        </w:rPr>
      </w:pPr>
    </w:p>
    <w:p>
      <w:pPr>
        <w:jc w:val="both"/>
        <w:ind w:left="60" w:right="239" w:firstLine="324"/>
        <w:spacing w:after="0" w:line="193" w:lineRule="auto"/>
        <w:rPr>
          <w:sz w:val="20"/>
          <w:szCs w:val="20"/>
          <w:color w:val="auto"/>
        </w:rPr>
      </w:pPr>
      <w:r>
        <w:rPr>
          <w:rFonts w:ascii="Times New Roman" w:cs="Times New Roman" w:eastAsia="Times New Roman" w:hAnsi="Times New Roman"/>
          <w:sz w:val="18"/>
          <w:szCs w:val="18"/>
          <w:color w:val="auto"/>
        </w:rPr>
        <w:t>On April 6, 2022, we announced that the FDA approved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(dexmedetomidine) sublingual film for the acute treatment of agitation associated with schizophrenia or bipolar I or II disorder in adults.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approved to be self-administrated by patients under the supervision of a health care provider. On July 6, 2022, we announced that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was commercially available in doses of 120 and 180 micrograms (“mcg”).</w:t>
      </w:r>
    </w:p>
    <w:p>
      <w:pPr>
        <w:spacing w:after="0" w:line="200" w:lineRule="exact"/>
        <w:rPr>
          <w:sz w:val="20"/>
          <w:szCs w:val="20"/>
          <w:color w:val="auto"/>
        </w:rPr>
      </w:pPr>
    </w:p>
    <w:p>
      <w:pPr>
        <w:ind w:left="60" w:right="379" w:firstLine="324"/>
        <w:spacing w:after="0" w:line="265" w:lineRule="auto"/>
        <w:rPr>
          <w:sz w:val="20"/>
          <w:szCs w:val="20"/>
          <w:color w:val="auto"/>
        </w:rPr>
      </w:pPr>
      <w:r>
        <w:rPr>
          <w:rFonts w:ascii="Times New Roman" w:cs="Times New Roman" w:eastAsia="Times New Roman" w:hAnsi="Times New Roman"/>
          <w:sz w:val="18"/>
          <w:szCs w:val="18"/>
          <w:color w:val="auto"/>
        </w:rPr>
        <w:t>On August 27, 2025, we announced that the SERENITY At-Home Pivotal Phase 3 trial evaluating the safety of BXCL501, as an acute treatment for agitation associated with bipolar disorders or schizophrenia in the at-home setting, met its primary objective. The data from this study formed the basis of the sNDA submission for a label expansion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into the at-home setting. The sNDA was filed with the FDA on January 14, 2026.</w:t>
      </w:r>
    </w:p>
    <w:p>
      <w:pPr>
        <w:spacing w:after="0" w:line="64"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On September 10, 2025, we further announced positive topline exploratory efficacy data from the SERENITY At-Home Pivotal Phase 3 safety trial, which demonstrated BXCL501 had sustained effects on agitation and consistent benefit with repeat dosing.</w:t>
      </w:r>
    </w:p>
    <w:p>
      <w:pPr>
        <w:spacing w:after="0" w:line="176" w:lineRule="exact"/>
        <w:rPr>
          <w:sz w:val="20"/>
          <w:szCs w:val="20"/>
          <w:color w:val="auto"/>
        </w:rPr>
      </w:pPr>
    </w:p>
    <w:p>
      <w:pPr>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On October 10, 2025, we announced positive results from the correlation study related to exploratory efficacy outcomes from the SERENITY At-Home trial. The results demonstrated a strong correlation between the clinician assessments and the patient or caregiver (informant) assessments. The results, along with the data from the SERENITY At-Home trial, have been included in the sNDA filed with the FDA on January 14,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Our TRANQUILITY program is designed to evaluate BXCL501 as a potential treatment option for agitation associated with Alzheimer’s dementia in the outpatient or at-home setting and in-care facilities. We have had several FDA meetings to discuss the development program, and the FDA has commented on the proposed protocol for our TRANQUILITY In-Care Phase 3 trial, which is designed to evaluate the efficacy and safety of a 60 mcg dose of BXCL501 for agitation associated with Alzheimer’s dementia. We have plans for initiation of the trial pending funding.</w:t>
      </w:r>
    </w:p>
    <w:p>
      <w:pPr>
        <w:spacing w:after="0" w:line="183" w:lineRule="exact"/>
        <w:rPr>
          <w:sz w:val="20"/>
          <w:szCs w:val="20"/>
          <w:color w:val="auto"/>
        </w:rPr>
      </w:pPr>
    </w:p>
    <w:p>
      <w:pPr>
        <w:ind w:left="60" w:right="919" w:firstLine="324"/>
        <w:spacing w:after="0" w:line="282" w:lineRule="auto"/>
        <w:rPr>
          <w:sz w:val="20"/>
          <w:szCs w:val="20"/>
          <w:color w:val="auto"/>
        </w:rPr>
      </w:pPr>
      <w:r>
        <w:rPr>
          <w:rFonts w:ascii="Times New Roman" w:cs="Times New Roman" w:eastAsia="Times New Roman" w:hAnsi="Times New Roman"/>
          <w:sz w:val="18"/>
          <w:szCs w:val="18"/>
          <w:color w:val="auto"/>
        </w:rPr>
        <w:t>As described further below, we have deprioritized the development of BXCL501 for certain other proposed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1905635</wp:posOffset>
            </wp:positionH>
            <wp:positionV relativeFrom="paragraph">
              <wp:posOffset>-236855</wp:posOffset>
            </wp:positionV>
            <wp:extent cx="285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2"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Our most advanced immuno-oncology candidate, BXCL701, is an investigational oral innate immune activator from OnkosXcel Therapeutics as a potential therapy for the treatment of aggressive forms of prostate cancer, pancreatic cancer, and other solid and liquid tumors. As described further below, we have deprioritized the development of our BXCL701 programs, except as noted under “Immuno-Oncology”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-225425</wp:posOffset>
            </wp:positionV>
            <wp:extent cx="285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IGALMI</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b w:val="1"/>
          <w:bCs w:val="1"/>
          <w:color w:val="auto"/>
        </w:rPr>
        <w:t xml:space="preserve"> Commercialization Strategy</w:t>
      </w:r>
    </w:p>
    <w:p>
      <w:pPr>
        <w:spacing w:after="0" w:line="226" w:lineRule="exact"/>
        <w:rPr>
          <w:sz w:val="20"/>
          <w:szCs w:val="20"/>
          <w:color w:val="auto"/>
        </w:rPr>
      </w:pPr>
    </w:p>
    <w:p>
      <w:pPr>
        <w:ind w:left="60" w:right="159" w:firstLine="324"/>
        <w:spacing w:after="0" w:line="228" w:lineRule="auto"/>
        <w:rPr>
          <w:sz w:val="20"/>
          <w:szCs w:val="20"/>
          <w:color w:val="auto"/>
        </w:rPr>
      </w:pPr>
      <w:r>
        <w:rPr>
          <w:rFonts w:ascii="Times New Roman" w:cs="Times New Roman" w:eastAsia="Times New Roman" w:hAnsi="Times New Roman"/>
          <w:sz w:val="17"/>
          <w:szCs w:val="17"/>
          <w:color w:val="auto"/>
        </w:rPr>
        <w:t>We are continuing to supply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through existing distribution channels. At the same time, while seeking potential commercial partners, we are maintaining IGALMI’s market presence with minimal commercial resources following our Clinical Reprioritization. Our commercialization efforts are designed to build the foundation to launch additional potential follow-on indications. If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would be approved outside the U.S., we would consider launching the product through collaborations with third parties. However, no foreign applications have been made at this time.</w:t>
      </w:r>
    </w:p>
    <w:p>
      <w:pPr>
        <w:spacing w:after="0" w:line="174" w:lineRule="exact"/>
        <w:rPr>
          <w:sz w:val="20"/>
          <w:szCs w:val="20"/>
          <w:color w:val="auto"/>
        </w:rPr>
      </w:pPr>
    </w:p>
    <w:p>
      <w:pPr>
        <w:ind w:left="60" w:right="179" w:firstLine="324"/>
        <w:spacing w:after="0" w:line="285" w:lineRule="auto"/>
        <w:rPr>
          <w:sz w:val="20"/>
          <w:szCs w:val="20"/>
          <w:color w:val="auto"/>
        </w:rPr>
      </w:pPr>
      <w:r>
        <w:rPr>
          <w:rFonts w:ascii="Times New Roman" w:cs="Times New Roman" w:eastAsia="Times New Roman" w:hAnsi="Times New Roman"/>
          <w:sz w:val="18"/>
          <w:szCs w:val="18"/>
          <w:color w:val="auto"/>
        </w:rPr>
        <w:t>On January 12, 2026, we announced the appointment of an Interim Chief Commercial Officer to support the potential launch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at-home setting.</w:t>
      </w:r>
    </w:p>
    <w:p>
      <w:pPr>
        <w:spacing w:after="0" w:line="7" w:lineRule="exact"/>
        <w:rPr>
          <w:sz w:val="20"/>
          <w:szCs w:val="20"/>
          <w:color w:val="auto"/>
        </w:rPr>
      </w:pPr>
    </w:p>
    <w:p>
      <w:pPr>
        <w:ind w:left="60" w:right="219" w:firstLine="324"/>
        <w:spacing w:after="0" w:line="230" w:lineRule="auto"/>
        <w:rPr>
          <w:sz w:val="20"/>
          <w:szCs w:val="20"/>
          <w:color w:val="auto"/>
        </w:rPr>
      </w:pPr>
      <w:r>
        <w:rPr>
          <w:rFonts w:ascii="Times New Roman" w:cs="Times New Roman" w:eastAsia="Times New Roman" w:hAnsi="Times New Roman"/>
          <w:sz w:val="18"/>
          <w:szCs w:val="18"/>
          <w:color w:val="auto"/>
        </w:rPr>
        <w:t>In conjunction with the appointment of the Interim Chief Commercial Officer, on February 12, 2026, we announced the completion of an updated market opportunity assessment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acute agitation associated with bipolar disorders or schizophrenia in the at-home (outpatient) setting, informed by results from the SERENITY At-Home clinical study.</w:t>
      </w:r>
    </w:p>
    <w:p>
      <w:pPr>
        <w:spacing w:after="0" w:line="158"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The commercial opportunity assessment was based on recently completed market research leveraging an updated Target Product Profile based on results from the SERENITY At-Home clinical study. The assessment incorporated interviews with 15 prescribers and 5 payers with leadership responsibility at large health plans as well as survey responses from 180 prescribers with extensive relevant experience. In addition, patient-level claims analyses were used to estimate the number of diagnosed and treated patients who may be candidates for IGALMI.</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 agitation landscape insights:</w:t>
      </w:r>
    </w:p>
    <w:p>
      <w:pPr>
        <w:spacing w:after="0" w:line="185" w:lineRule="exact"/>
        <w:rPr>
          <w:sz w:val="20"/>
          <w:szCs w:val="20"/>
          <w:color w:val="auto"/>
        </w:rPr>
      </w:pPr>
    </w:p>
    <w:p>
      <w:pPr>
        <w:ind w:left="720" w:right="139" w:hanging="319"/>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Prescribers reported a moderate to high unmet need, noting that current treatment options are not indicated for at-home use, may be sedating, are slow to take effect, and/or are controlled substances with the potential to cause dependence.</w:t>
      </w:r>
    </w:p>
    <w:p>
      <w:pPr>
        <w:spacing w:after="0" w:line="135" w:lineRule="exact"/>
        <w:rPr>
          <w:rFonts w:ascii="Times New Roman" w:cs="Times New Roman" w:eastAsia="Times New Roman" w:hAnsi="Times New Roman"/>
          <w:sz w:val="18"/>
          <w:szCs w:val="18"/>
          <w:color w:val="auto"/>
        </w:rPr>
      </w:pPr>
    </w:p>
    <w:p>
      <w:pPr>
        <w:ind w:left="720" w:right="239" w:hanging="319"/>
        <w:spacing w:after="0" w:line="25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Analyses of market research and claims data identified approximately 2.3 million treated bipolar disorder and schizophrenia patients experiencing frequent episodes of acute agitation in the at-home setting in the United States, of whom up to 1.8 million may be eligible for IGALMI treatment. This represents up to 86 million addressable annual episodes that may require treatment. This updated estimate is generally consistent with prior estimates of approximately 57-77 million addressable annual episodes, with further refinement based on the additional insights from market research.</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IGALMI opportunity in the at-home setting:</w:t>
      </w:r>
    </w:p>
    <w:p>
      <w:pPr>
        <w:spacing w:after="0" w:line="198" w:lineRule="exact"/>
        <w:rPr>
          <w:sz w:val="20"/>
          <w:szCs w:val="20"/>
          <w:color w:val="auto"/>
        </w:rPr>
      </w:pPr>
    </w:p>
    <w:p>
      <w:pPr>
        <w:ind w:left="720" w:right="339" w:hanging="319"/>
        <w:spacing w:after="0" w:line="266"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Prescribers reported moderate to high interest in IGALMI for the treatment of acute agitation in the at-home setting, projecting use in approximately 70% of their schizophrenia and bipolar disorder patients, regardless of agitation severity.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79" w:hanging="319"/>
        <w:spacing w:after="0" w:line="26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Prescribers anticipated that IGALMI would be used either alone or in combination with existing off-label treatments for acute agitation, and that IGALMI would most frequently replace benzodiazepines, which may cause dependence.</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Payers indicated expectations for broad formulary coverage with standard adjudication controls.</w:t>
      </w:r>
    </w:p>
    <w:p>
      <w:pPr>
        <w:spacing w:after="0" w:line="184"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reported patient and caregiver research (N=80) indicated that patients with schizophrenia and bipolar disorder would expect to use IGALMI in approximately 80% of their acute agitation episodes.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IGALMI® sNDA Submission for At-Home Use and Milestone</w:t>
      </w:r>
    </w:p>
    <w:p>
      <w:pPr>
        <w:spacing w:after="0" w:line="270" w:lineRule="exact"/>
        <w:rPr>
          <w:sz w:val="20"/>
          <w:szCs w:val="20"/>
          <w:color w:val="auto"/>
        </w:rPr>
      </w:pPr>
    </w:p>
    <w:p>
      <w:pPr>
        <w:ind w:left="60" w:right="159" w:firstLine="324"/>
        <w:spacing w:after="0" w:line="238" w:lineRule="auto"/>
        <w:rPr>
          <w:sz w:val="20"/>
          <w:szCs w:val="20"/>
          <w:color w:val="auto"/>
        </w:rPr>
      </w:pPr>
      <w:r>
        <w:rPr>
          <w:rFonts w:ascii="Times New Roman" w:cs="Times New Roman" w:eastAsia="Times New Roman" w:hAnsi="Times New Roman"/>
          <w:sz w:val="18"/>
          <w:szCs w:val="18"/>
          <w:color w:val="auto"/>
        </w:rPr>
        <w:t>On January 20, 2026, we announced we submitted a supplemental New Drug Application, or sNDA, to the FDA for IGALMI® in the at-home use setting for the acute treatment of agitation associated with bipolar disorders or schizophrenia. This sNDA submission seeks to expand IGALMI’s label to include the broader at home patient population where there are no FDA-approved options currently available. On April 1, 2026, we announced that the FDA has accepted our sNDA for approval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at-home use in the acute treatment of agitation associated with bipolar disorders or schizophrenia. The FDA has assigned a Prescription Drug User Fee Act (PDUFA) target action date of November 14, 2026</w:t>
      </w:r>
    </w:p>
    <w:p>
      <w:pPr>
        <w:spacing w:after="0" w:line="200"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On March 5, 2026 we announced positive topline results from a Phase 2 investigator-sponsored trial (IST) evaluating BXCL501 for the treatment of opioid withdrawal symptoms in adults with opioid use disorder (OUD) undergoing a methadone taper.</w:t>
      </w:r>
    </w:p>
    <w:p>
      <w:pPr>
        <w:spacing w:after="0" w:line="176"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On April 8, 2026, we announced the enrollment of the first patients in a U.S. Department of War (DoW)-funded Phase 2a clinical trial evaluating BXCL501 for the treatment of acute stress reactions (ASR), also known as acute stress disorder (ASD). The trial is being led by the University of North Carolina at Chapel Hill (UNC) Institute of Trauma Recovery and marks a significant milestone in the collaboration between BioXcel Therapeutics and UNC.</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March 2026 Offering and Warrant Amendment</w:t>
      </w:r>
    </w:p>
    <w:p>
      <w:pPr>
        <w:spacing w:after="0" w:line="22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On March 10, 2026, we entered into a securities purchase agreement (the “March 2026 Offering”) with the purchaser named therein (the “Purchaser”). Pursuant to the March 2026 Offering, we agreed to issue and sell to the Purchaser and the Purchaser agreed to buy in a registered direct offering (i) an aggregate of 2,480 shares (the “Shares”) of our common stock and accompanying warrants to purchase up to 2,480 shares of common stock at a combined offering price of $1.739 per Share and accompanying warrant, and (ii) Pre-Funded warrants to purchase up to 2,020 shares of Common Stock and accompanying warrants to purchase up to 2,020 shares of common stock, at a combined offering price of $1.738 per share underlying the Pre-Funded Warrants and accompanying warrant, which equals the offering price per Share and accompanying warrant less the $0.001 exercise price per share of the Pre-Funded Warrants, pursuant to our effective registration statement on Form S-3 (File No. 333-275261), including the base prospectus included therein, and a prospectus supplement filed with the Securities and Exchange Commission on March 10, 2026. The accompanying warrants have an exercise price of $1.614 per share, are immediately exercisable upon issuance, and will expire on the five-year anniversary of the date of issuance.</w:t>
      </w:r>
    </w:p>
    <w:p>
      <w:pPr>
        <w:spacing w:after="0" w:line="190"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The March 2026 Offering closed on March 11, 2026. We received aggregate gross proceeds of approximately $7,825, before deducting placement agent fees and estimated offering expenses payable by us.</w:t>
      </w:r>
    </w:p>
    <w:p>
      <w:pPr>
        <w:spacing w:after="0" w:line="162"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Rodman &amp; Renshaw LLC (the “Placement Agent”) acted as our exclusive placement agent in connection with the March 2026 Offering. As compensation in connection with the March 2026 Offering, we agreed to pay the Placement Agent a cash fee equal to 6.0% of the gross proceeds from the March 2026 Offering, and issue to the Placement Agent or its designees warrants to purchase a number of shares of common stock equal to 4.0% of the aggregate number of shares placed in the Registered Direct Offering (180,031 shares), at an exercise price equal to 125% of the offering price per share (or $2.0175 per share), with a term of five years from the commencement of the Registered Direct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Offering (the “Placement Agent Warrants”). We also agreed to reimburse the Placement Agent for certain expenses in an amount of up to $75 and to pay up to $16 for clearing and closing expenses.</w:t>
      </w:r>
    </w:p>
    <w:p>
      <w:pPr>
        <w:spacing w:after="0" w:line="162"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March 2026 Offering, pursuant to the terms of a Warrant Amendment Agreement, dated as of March 10, 2026 (the “Warrant Amendment Agreement”), the exercise price of certain outstanding warrants issued on March 27, 2024 and November 25, 2024 to purchase up to an aggregate of 1,385 shares of common stock held by the Purchaser was reduced to $1.614 per share, equal to the exercise price of the Accompanying Warrants issued in the March 2026 Offering, and the term of such warrants was extended to five years following the closing date of the March 2026 Offering. The investor paid approximately $173 in exchange for the reduction in exercise price and the extension of the term of these warrants. We paid the Placement Agent a cash fee of 6.0% of the gross proceeds paid for the warrant amendment.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Neuroscience Clinical Programs and Investigator-Sponsored Trials</w:t>
      </w:r>
    </w:p>
    <w:p>
      <w:pPr>
        <w:spacing w:after="0" w:line="229"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status of our major neuroscience clinical development programs and investigator-sponsored trials as of the date of this Quarterly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114300</wp:posOffset>
            </wp:positionV>
            <wp:extent cx="5503545" cy="27603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03545"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About BXCL501</w:t>
      </w:r>
    </w:p>
    <w:p>
      <w:pPr>
        <w:spacing w:after="0" w:line="202" w:lineRule="exact"/>
        <w:rPr>
          <w:sz w:val="20"/>
          <w:szCs w:val="20"/>
          <w:color w:val="auto"/>
        </w:rPr>
      </w:pPr>
    </w:p>
    <w:p>
      <w:pPr>
        <w:ind w:left="60" w:right="159" w:firstLine="324"/>
        <w:spacing w:after="0" w:line="230" w:lineRule="auto"/>
        <w:rPr>
          <w:sz w:val="20"/>
          <w:szCs w:val="20"/>
          <w:color w:val="auto"/>
        </w:rPr>
      </w:pPr>
      <w:r>
        <w:rPr>
          <w:rFonts w:ascii="Times New Roman" w:cs="Times New Roman" w:eastAsia="Times New Roman" w:hAnsi="Times New Roman"/>
          <w:sz w:val="18"/>
          <w:szCs w:val="18"/>
          <w:color w:val="auto"/>
        </w:rPr>
        <w:t>BXCL501 is our most advanced neuroscience clinical candidate. In indications other than those approved by the FDA as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BXCL501 is an investigational, proprietary, orally dissolving sublingual film formulation of dexmedetomidine, a selective alpha-2 receptor agonist, targeting symptoms from stress-related behaviors such as agitation.</w:t>
      </w:r>
    </w:p>
    <w:p>
      <w:pPr>
        <w:spacing w:after="0" w:line="158"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As a selective adrenergic agonist with a sublingual or buccal route of administration, BXCL501 is designed to be easy to administer and has shown a relatively rapid onset of action in multiple clinical trials, studying patients with schizophrenia, bipolar disorders, and dementia associated with Alzheimer’s disease. We believe the results from these studies suggest that BXCL501 has the potential to generate a calming effect without producing excessive sedation. We also believe BXCL501 is highly differentiated from antipsychotics and benzodiazepines, which are currently used as first-line standard-of-care treatment for agitation despite often producing unwanted side effects such as excessive sedation or extra pyramidal motor effects. Managing patient agitation in neuropsychiatric and neurodegenerative disorders represents a significant challenge for physicians and caregivers. We believe BXCL501 has the potential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address these challenges and, if approved for the respective indications, has the potential to become the standard of care for the acute treatment of agitation associated with these disorders.</w:t>
      </w:r>
    </w:p>
    <w:p>
      <w:pPr>
        <w:spacing w:after="0" w:line="135" w:lineRule="exact"/>
        <w:rPr>
          <w:sz w:val="20"/>
          <w:szCs w:val="20"/>
          <w:color w:val="auto"/>
        </w:rPr>
      </w:pPr>
    </w:p>
    <w:p>
      <w:pPr>
        <w:ind w:left="60" w:right="379" w:firstLine="324"/>
        <w:spacing w:after="0" w:line="258" w:lineRule="auto"/>
        <w:rPr>
          <w:sz w:val="20"/>
          <w:szCs w:val="20"/>
          <w:color w:val="auto"/>
        </w:rPr>
      </w:pPr>
      <w:r>
        <w:rPr>
          <w:rFonts w:ascii="Times New Roman" w:cs="Times New Roman" w:eastAsia="Times New Roman" w:hAnsi="Times New Roman"/>
          <w:sz w:val="18"/>
          <w:szCs w:val="18"/>
          <w:color w:val="auto"/>
        </w:rPr>
        <w:t>In addition, based on its mechanism of action, we believe BXCL501 has the potential to address some behavioral symptoms of several additional diseases or conditions, including opioid use disorder (“OUD”), acute stress disorder (“ASD”) and post-traumatic stress disorder (“PTSD”). BXCL501 is currently being evaluated for treatment of patients with those conditions in clinical trials sponsored by leading academic research institutions. See Government-Supported Investigator-Sponsored Trials (“ISTs”) below.</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BXCL501 Late-Stage Clinical Programs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SERENITY Program: Acute Treatment of Agitation Associated with Bipolar I or II Disorder or Schizophrenia</w:t>
      </w:r>
    </w:p>
    <w:p>
      <w:pPr>
        <w:spacing w:after="0" w:line="214" w:lineRule="exact"/>
        <w:rPr>
          <w:sz w:val="20"/>
          <w:szCs w:val="20"/>
          <w:color w:val="auto"/>
        </w:rPr>
      </w:pPr>
    </w:p>
    <w:p>
      <w:pPr>
        <w:ind w:left="60" w:right="199" w:firstLine="324"/>
        <w:spacing w:after="0" w:line="224" w:lineRule="auto"/>
        <w:rPr>
          <w:sz w:val="20"/>
          <w:szCs w:val="20"/>
          <w:color w:val="auto"/>
        </w:rPr>
      </w:pPr>
      <w:r>
        <w:rPr>
          <w:rFonts w:ascii="Times New Roman" w:cs="Times New Roman" w:eastAsia="Times New Roman" w:hAnsi="Times New Roman"/>
          <w:sz w:val="18"/>
          <w:szCs w:val="18"/>
          <w:color w:val="auto"/>
        </w:rPr>
        <w:t>Under our SERENITY program, we are focused on the continued development of BXCL501 (currently marketed and commercialized as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as a potential treatment option for agitation associated with bipolar I or II disorder or schizophrenia in the outpatient or at-home setting.</w:t>
      </w:r>
    </w:p>
    <w:p>
      <w:pPr>
        <w:spacing w:after="0" w:line="158" w:lineRule="exact"/>
        <w:rPr>
          <w:sz w:val="20"/>
          <w:szCs w:val="20"/>
          <w:color w:val="auto"/>
        </w:rPr>
      </w:pPr>
    </w:p>
    <w:p>
      <w:pPr>
        <w:ind w:left="60" w:right="159" w:firstLine="324"/>
        <w:spacing w:after="0" w:line="274" w:lineRule="auto"/>
        <w:rPr>
          <w:sz w:val="20"/>
          <w:szCs w:val="20"/>
          <w:color w:val="auto"/>
        </w:rPr>
      </w:pPr>
      <w:r>
        <w:rPr>
          <w:rFonts w:ascii="Times New Roman" w:cs="Times New Roman" w:eastAsia="Times New Roman" w:hAnsi="Times New Roman"/>
          <w:sz w:val="17"/>
          <w:szCs w:val="17"/>
          <w:color w:val="auto"/>
        </w:rPr>
        <w:t>We completed the clinical study of BXCL501 in patients with agitation associated with bipolar disorders or schizophrenia in SERENITY III, which consisted of two parts. The first part was comparable to our pivotal SERENITY I and II studies. Using similar inclusion and exclusion criterion under a well-controlled in-patient setting, acutely agitated patients with bipolar disorders or schizophrenia were randomized to self-administer either 60 mcg of BXCL501 or placebo in a double-blind placebo-controlled trial. The primary endpoint of Part I was efficacy, as measured by the change in PEC score change from baseline at two hours post-dose. The secondary objectives of Part I were safety and tolerability.</w:t>
      </w:r>
    </w:p>
    <w:p>
      <w:pPr>
        <w:spacing w:after="0" w:line="132"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On August 18, 2025 we announced that the Company had received positive pre-sNDA meeting responses from the FDA.</w:t>
      </w:r>
    </w:p>
    <w:p>
      <w:pPr>
        <w:spacing w:after="0" w:line="162"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The primary purpose of the planned pre-sNDA meeting on August 20, 2025 with the FDA was to gain alignment with the FDA regarding the content and format of the Company’s planned sNDA submission for the at-home (outpatient) use of BXCL501, including the clinical, nonclinical, and chemistry and manufacturing and controls (CMC) requirements. The Company concluded that the objectives of the pre-sNDA meeting had been accomplished based on the FDA’s written responses and determined that the meeting, originally scheduled for August 20, 2025, was no longer required. The pre-sNDA preliminary meeting comments received from FDA on August 14, 2025, will serve as the official record. Acceptance of the sNDA will be subject to the FDA’s review of the complete filing.</w:t>
      </w:r>
    </w:p>
    <w:p>
      <w:pPr>
        <w:spacing w:after="0" w:line="189" w:lineRule="exact"/>
        <w:rPr>
          <w:sz w:val="20"/>
          <w:szCs w:val="20"/>
          <w:color w:val="auto"/>
        </w:rPr>
      </w:pPr>
    </w:p>
    <w:p>
      <w:pPr>
        <w:ind w:left="60" w:right="479" w:firstLine="324"/>
        <w:spacing w:after="0" w:line="233" w:lineRule="auto"/>
        <w:rPr>
          <w:sz w:val="20"/>
          <w:szCs w:val="20"/>
          <w:color w:val="auto"/>
        </w:rPr>
      </w:pPr>
      <w:r>
        <w:rPr>
          <w:rFonts w:ascii="Times New Roman" w:cs="Times New Roman" w:eastAsia="Times New Roman" w:hAnsi="Times New Roman"/>
          <w:sz w:val="18"/>
          <w:szCs w:val="18"/>
          <w:color w:val="auto"/>
        </w:rPr>
        <w:t>On August 27, 2025 we announced that the SERENITY At-Home Pivotal Phase 3 trial evaluating the safety of BXCL501, the Company’s proprietary, sublingual film formulation of dexmedetomidine, as an acute treatment for agitation associated with bipolar disorders or schizophrenia in the at-home setting, met its primary objective. The data from this successful study formed the basis of the sNDA submission for label expansion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at-home setting.</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SERENITY At-Home Topline Summary</w:t>
      </w:r>
    </w:p>
    <w:p>
      <w:pPr>
        <w:spacing w:after="0" w:line="202"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agitation episodes: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246 patients randomized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collected 2,628 agitation episodes in 215 patients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Treated 2,437 episodes in 208 patients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 patients (81%) completed the full 12-week trial</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of 11.7 agitation episodes recorded per treated patient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patients were able to successfully self-administer the film</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enrolled patients was 45% bipolar disorders and 55% schizophrenia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SERENITY AT-Home Primary Endpoint Data</w:t>
      </w:r>
    </w:p>
    <w:p>
      <w:pPr>
        <w:spacing w:after="0" w:line="202"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The 120 mcg dose of BXCL501 was safe and well-tolerated in patients with episodes of agitation in the outpatient setting and met the primary objective.</w:t>
      </w:r>
    </w:p>
    <w:p>
      <w:pPr>
        <w:spacing w:after="0" w:line="121"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discontinuations due to tolerability in the BXCL501 arm</w:t>
      </w:r>
    </w:p>
    <w:p>
      <w:pPr>
        <w:spacing w:after="0" w:line="27" w:lineRule="exact"/>
        <w:rPr>
          <w:rFonts w:ascii="Times New Roman" w:cs="Times New Roman" w:eastAsia="Times New Roman" w:hAnsi="Times New Roman"/>
          <w:sz w:val="18"/>
          <w:szCs w:val="18"/>
          <w:color w:val="auto"/>
        </w:rPr>
      </w:pPr>
    </w:p>
    <w:p>
      <w:pPr>
        <w:ind w:left="720" w:right="419" w:hanging="319"/>
        <w:spacing w:after="0" w:line="204"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 profile consistent with approved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label and multiple clinical trials in the institutional setting</w:t>
      </w:r>
    </w:p>
    <w:p>
      <w:pPr>
        <w:spacing w:after="0" w:line="1" w:lineRule="exact"/>
        <w:rPr>
          <w:rFonts w:ascii="Times New Roman" w:cs="Times New Roman" w:eastAsia="Times New Roman" w:hAnsi="Times New Roman"/>
          <w:sz w:val="18"/>
          <w:szCs w:val="18"/>
          <w:color w:val="auto"/>
        </w:rPr>
      </w:pPr>
    </w:p>
    <w:p>
      <w:pPr>
        <w:ind w:left="2020" w:hanging="323"/>
        <w:spacing w:after="0"/>
        <w:tabs>
          <w:tab w:leader="none" w:pos="2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drug-related serious adverse events (SAEs), syncopes or falls reported</w:t>
      </w:r>
    </w:p>
    <w:p>
      <w:pPr>
        <w:spacing w:after="0" w:line="9" w:lineRule="exact"/>
        <w:rPr>
          <w:rFonts w:ascii="Times New Roman" w:cs="Times New Roman" w:eastAsia="Times New Roman" w:hAnsi="Times New Roman"/>
          <w:sz w:val="18"/>
          <w:szCs w:val="18"/>
          <w:color w:val="auto"/>
        </w:rPr>
      </w:pPr>
    </w:p>
    <w:p>
      <w:pPr>
        <w:ind w:left="2020" w:hanging="323"/>
        <w:spacing w:after="0"/>
        <w:tabs>
          <w:tab w:leader="none" w:pos="2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new or unexpected treatment emergent adverse events (TEAEs)</w:t>
      </w:r>
    </w:p>
    <w:p>
      <w:pPr>
        <w:spacing w:after="0" w:line="9" w:lineRule="exact"/>
        <w:rPr>
          <w:rFonts w:ascii="Times New Roman" w:cs="Times New Roman" w:eastAsia="Times New Roman" w:hAnsi="Times New Roman"/>
          <w:sz w:val="18"/>
          <w:szCs w:val="18"/>
          <w:color w:val="auto"/>
        </w:rPr>
      </w:pPr>
    </w:p>
    <w:p>
      <w:pPr>
        <w:ind w:left="2020" w:hanging="323"/>
        <w:spacing w:after="0"/>
        <w:tabs>
          <w:tab w:leader="none" w:pos="2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severe TEAEs associated with BXCL501 treatment and most TEAEs were mild</w:t>
      </w:r>
    </w:p>
    <w:p>
      <w:pPr>
        <w:spacing w:after="0" w:line="9" w:lineRule="exact"/>
        <w:rPr>
          <w:rFonts w:ascii="Times New Roman" w:cs="Times New Roman" w:eastAsia="Times New Roman" w:hAnsi="Times New Roman"/>
          <w:sz w:val="18"/>
          <w:szCs w:val="18"/>
          <w:color w:val="auto"/>
        </w:rPr>
      </w:pPr>
    </w:p>
    <w:p>
      <w:pPr>
        <w:ind w:left="2020" w:hanging="323"/>
        <w:spacing w:after="0"/>
        <w:tabs>
          <w:tab w:leader="none" w:pos="2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trend of more frequent AEs over time or with repeat dosing</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Tolerability remained consistent throughout the repeat dosing in the trial</w:t>
      </w:r>
    </w:p>
    <w:p>
      <w:pPr>
        <w:spacing w:after="0" w:line="207"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On September 10, 2025, we announced positive topline exploratory efficacy data from the SERENITY At-Home Pivotal Phase 3 safety trial, which demonstrated that BXCL501 had continued effects and consistent benefit with repeat dosing. While this trial was not powered for efficacy assessments, these findings seen in the trial further support the potential of BXCL501 for use in the outpatient setting.</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Effect Across Total Number of Agitation Episodes</w:t>
      </w:r>
    </w:p>
    <w:p>
      <w:pPr>
        <w:spacing w:after="0" w:line="227" w:lineRule="exact"/>
        <w:rPr>
          <w:sz w:val="20"/>
          <w:szCs w:val="20"/>
          <w:color w:val="auto"/>
        </w:rPr>
      </w:pPr>
    </w:p>
    <w:p>
      <w:pPr>
        <w:ind w:left="60" w:right="619" w:firstLine="324"/>
        <w:spacing w:after="0" w:line="312" w:lineRule="auto"/>
        <w:rPr>
          <w:sz w:val="20"/>
          <w:szCs w:val="20"/>
          <w:color w:val="auto"/>
        </w:rPr>
      </w:pPr>
      <w:r>
        <w:rPr>
          <w:rFonts w:ascii="Times New Roman" w:cs="Times New Roman" w:eastAsia="Times New Roman" w:hAnsi="Times New Roman"/>
          <w:sz w:val="17"/>
          <w:szCs w:val="17"/>
          <w:color w:val="auto"/>
        </w:rPr>
        <w:t>Across 2,433 treated episodes in the trial, BXCL501 demonstrated a significant mean reduction in the modified Clinical Global Impression–Severity (mCGI-S) score from baseline compared to placebo at 2 hours (p&lt;.05).</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Effect Across Severity of Agitation Episodes</w:t>
      </w:r>
    </w:p>
    <w:p>
      <w:pPr>
        <w:spacing w:after="0" w:line="227"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Patients experienced a complete resolution of agitation symptoms measured by mCGI-S at significantly higher rates with BXCL501 compared to placebo across severity of agitation episodes, with an overall resolution of 50% in the BXCL501 arm, compared to 33% on placebo (p &lt;.0001). Severe agitation episodes fully resolved (no agitation) in 61% of episodes in the BXCL501 arm, compared to 18% on placebo (p &lt;.0001). Moderate agitation episodes fully resolved in 43% of cases for patients in the BXCL501 arm, compared to 34% on placebo (p &lt;.0005). Mild agitation episodes fully resolved in 60% of cases for patients in the BXCL501, compared to 40% on placebo (p &lt;.0001). In sum, complete resolution of agitation was significantly higher with BXCL501 compared to placebo regardless of agitation episode severity.</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Effect Across Number of Treated Agitation Episodes</w:t>
      </w:r>
    </w:p>
    <w:p>
      <w:pPr>
        <w:spacing w:after="0" w:line="227"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mean reduction in agitation symptoms experienced by patients following administration of BXCL501 was maintained throughout repeated dosing in the trial. There was a mean reduction in mCGI-S score of 1.2 following the first 12 doses and a mean reduction of 1.4 following 13 or more doses of BXCL501. This underscores the potential of BXCL501 to continue to provide benefit across repeated dosing.</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Efficacy Across Duration of the Trial</w:t>
      </w:r>
    </w:p>
    <w:p>
      <w:pPr>
        <w:spacing w:after="0" w:line="227"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 reduction in agitation symptoms experienced by patients following administration of BXCL501 was also maintained throughout the trial’s duration. Evaluating the 12-week trial period on a time-based scale, agitation episodes treated with BXCL501 during weeks 1-4, 5-8 and 9-12 all had a mean reduction in mCGI-S score of 1.3. This underscores the potential of BXCL501 to maintain a sustained benefit across longer treatment durations.</w:t>
      </w:r>
    </w:p>
    <w:p>
      <w:pPr>
        <w:spacing w:after="0" w:line="180"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The standard method for measuring acute agitation associated with schizophrenia and bipolar disorder is the Positive and Negative Syndrome Scale – Excited Component (PEC) administered by a trained clinician, which was used in the Serenity I &amp; II Pivotal Trials. In order to evaluate BXCL501 for continued clinical effect with repeat dosing in the at-home setting using an exploratory efficacy measurement, the Company, in consultation with FDA, developed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modified CGI-S (mCGI-S) scale, which can be scored by patients and/or caregivers. The study assessed the correlation between PEC and mCGI-S in this prospective, open label, in-clinic trial in 33 patients.</w:t>
      </w:r>
    </w:p>
    <w:p>
      <w:pPr>
        <w:spacing w:after="0" w:line="162"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On October 14, 2025, we announced that results from the 33 patient open label trial demonstrated a strong correlation between the clinician assessments and the patient or caregiver (informant) rated outcomes, providing support for using mCGI-S to assess efficacy in the outpatient setting. A statistically significant and strong correlation between the PEC and mCGI-S with a correlation of ρ=0.89; p&lt;0.0001 for patients and ρ=0.88; p&lt;0.0001 for informants was observed.</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serious adverse events reported and the safety profile remains consistent with the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label.</w:t>
      </w:r>
    </w:p>
    <w:p>
      <w:pPr>
        <w:spacing w:after="0" w:line="141" w:lineRule="exact"/>
        <w:rPr>
          <w:sz w:val="20"/>
          <w:szCs w:val="20"/>
          <w:color w:val="auto"/>
        </w:rPr>
      </w:pPr>
    </w:p>
    <w:p>
      <w:pPr>
        <w:ind w:left="60" w:right="479" w:firstLine="324"/>
        <w:spacing w:after="0" w:line="258" w:lineRule="auto"/>
        <w:rPr>
          <w:sz w:val="20"/>
          <w:szCs w:val="20"/>
          <w:color w:val="auto"/>
        </w:rPr>
      </w:pPr>
      <w:r>
        <w:rPr>
          <w:rFonts w:ascii="Times New Roman" w:cs="Times New Roman" w:eastAsia="Times New Roman" w:hAnsi="Times New Roman"/>
          <w:sz w:val="18"/>
          <w:szCs w:val="18"/>
          <w:color w:val="auto"/>
        </w:rPr>
        <w:t>An sNDA was submitted on January 14, 2026 for the acute treatment of agitation in schizophrenia and bipolar disorders in the unsupervised (at-home) setting. On April 1, 2026 we announced that the U.S. FDA has accepted the supplemental New Drug Application (sNDA) for approval of IGALMI® for at-home use in the acute treatment of agitation in the home setting. The FDA has assigned a Prescription Drug User Fee Act (PDUFA) target action date of November 14, 2026.</w:t>
      </w:r>
    </w:p>
    <w:p>
      <w:pPr>
        <w:spacing w:after="0" w:line="179" w:lineRule="exact"/>
        <w:rPr>
          <w:sz w:val="20"/>
          <w:szCs w:val="20"/>
          <w:color w:val="auto"/>
        </w:rPr>
      </w:pPr>
    </w:p>
    <w:p>
      <w:pPr>
        <w:ind w:left="60" w:right="959"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TRANQUILITY Program: Acute Treatment of Agitation Associated with Dementia due to Probable Alzheimer’s Disease (“AAD”)</w:t>
      </w:r>
    </w:p>
    <w:p>
      <w:pPr>
        <w:spacing w:after="0" w:line="132"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Under our TRANQUILITY program, we are evaluating BXCL501 as a potential treatment option for the acute treatment of agitation associated with Alzheimer’s dementia (“AAD”). On June 29, 2023, we announced positive topline results from our TRANQUILITY II Phase 3 trial. The randomized, double-blind, placebo-controlled, parallel group trial evaluated the safety and efficacy of BXCL501 for the acute treatment of AAD in adults 65 years and older with mild to moderate dementia in assisted living facilities and residential care settings who required minimal assistance with activities of daily living.</w:t>
      </w:r>
    </w:p>
    <w:p>
      <w:pPr>
        <w:spacing w:after="0" w:line="147" w:lineRule="exact"/>
        <w:rPr>
          <w:sz w:val="20"/>
          <w:szCs w:val="20"/>
          <w:color w:val="auto"/>
        </w:rPr>
      </w:pPr>
    </w:p>
    <w:p>
      <w:pPr>
        <w:ind w:left="60" w:right="259" w:firstLine="324"/>
        <w:spacing w:after="0" w:line="254" w:lineRule="auto"/>
        <w:rPr>
          <w:sz w:val="20"/>
          <w:szCs w:val="20"/>
          <w:color w:val="auto"/>
        </w:rPr>
      </w:pPr>
      <w:r>
        <w:rPr>
          <w:rFonts w:ascii="Times New Roman" w:cs="Times New Roman" w:eastAsia="Times New Roman" w:hAnsi="Times New Roman"/>
          <w:sz w:val="18"/>
          <w:szCs w:val="18"/>
          <w:color w:val="auto"/>
        </w:rPr>
        <w:t>On June 29, 2023, we also announced that we had learned that an investigator in the TRANQUILITY II study engaged in misconduct. Since that time, we have taken steps to further investigate and evaluate the conduct of the trial at the investigator’s clinical site. On October 25, 2023, we announced that an independent third-party audit of data integrity at the trial site did not identify any findings that they believed impacted the data reliability or integrity, nor did they find any evidence of additional misconduct or fraud. On March 3, 2025, we announced that the FDA concluded that the inspection of the single site in the trial was closed under 21 C.F.R.20.64(d)(3) and released the Establishment Inspection Report, designating “Voluntary Action Indicated” for the site. Based on these steps to date, we believe that there have been no further instances of misconduct or fraud or other findings that adversely impact the data integrity or reliability of the eligibility, safety, and efficacy data obtained at the clinical trial site in question.</w:t>
      </w:r>
    </w:p>
    <w:p>
      <w:pPr>
        <w:spacing w:after="0" w:line="148"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Based on subsequent meetings with and feedback from the FDA, we plan to generate additional Phase 3 efficacy and safety data, in relevant care-facility settings and across severity of dementia, in our TRANQUILITY In-Care trial. On September 5, 2024, we submitted to the FDA the proposed protocol for the trial, a double-blind, placebo-controlled study to evaluate the efficacy and safety of a 60 mcg dose of BXCL501 for acute treatment of AAD in the care setting. On November 12, 2024, we announced that we had received FDA feedback on the proposed protocol. The Company is advancing plans for initiation of the trial upon funding and has selected a CRO to prepare for trial initiation upon funding. At a future meeting with the FDA, we plan to further discuss our trial design and the details of the requirement for long-term safety data.</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Adjunctive treatment in Major Depressive Disorder (“MDD”)</w:t>
      </w:r>
    </w:p>
    <w:p>
      <w:pPr>
        <w:spacing w:after="0" w:line="189" w:lineRule="exact"/>
        <w:rPr>
          <w:sz w:val="20"/>
          <w:szCs w:val="20"/>
          <w:color w:val="auto"/>
        </w:rPr>
      </w:pPr>
    </w:p>
    <w:p>
      <w:pPr>
        <w:jc w:val="both"/>
        <w:ind w:left="60" w:right="639" w:firstLine="324"/>
        <w:spacing w:after="0" w:line="266" w:lineRule="auto"/>
        <w:rPr>
          <w:sz w:val="20"/>
          <w:szCs w:val="20"/>
          <w:color w:val="auto"/>
        </w:rPr>
      </w:pPr>
      <w:r>
        <w:rPr>
          <w:rFonts w:ascii="Times New Roman" w:cs="Times New Roman" w:eastAsia="Times New Roman" w:hAnsi="Times New Roman"/>
          <w:sz w:val="18"/>
          <w:szCs w:val="18"/>
          <w:color w:val="auto"/>
        </w:rPr>
        <w:t>We were previously evaluating BXCL501 as an adjunctive treatment for MDD. The initial clinical study in this program was a double-blind, placebo-controlled, multiple ascending dose (“MAD”) trial to evaluate the safety and tolerability of daily doses of BXCL501 in healthy volunteers.</w:t>
      </w:r>
    </w:p>
    <w:p>
      <w:pPr>
        <w:spacing w:after="0" w:line="135"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As part of the Clinical Reprioritization we paused our plan to develop a Phase 2 human proof-of-concept trial design to investigate BXCL501 as a potential adjunctive treatment and its potential accelerant effect in combination with first-line selective serotonin reuptake inhibitors or serotonin-norepinephrine reuptake inhibitors.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Pediatric Study</w:t>
      </w:r>
    </w:p>
    <w:p>
      <w:pPr>
        <w:spacing w:after="0" w:line="202" w:lineRule="exact"/>
        <w:rPr>
          <w:sz w:val="20"/>
          <w:szCs w:val="20"/>
          <w:color w:val="auto"/>
        </w:rPr>
      </w:pPr>
    </w:p>
    <w:p>
      <w:pPr>
        <w:ind w:left="60" w:right="159" w:firstLine="324"/>
        <w:spacing w:after="0" w:line="242" w:lineRule="auto"/>
        <w:rPr>
          <w:sz w:val="20"/>
          <w:szCs w:val="20"/>
          <w:color w:val="auto"/>
        </w:rPr>
      </w:pPr>
      <w:r>
        <w:rPr>
          <w:rFonts w:ascii="Times New Roman" w:cs="Times New Roman" w:eastAsia="Times New Roman" w:hAnsi="Times New Roman"/>
          <w:sz w:val="18"/>
          <w:szCs w:val="18"/>
          <w:color w:val="auto"/>
        </w:rPr>
        <w:t>In June 2021, we initiated a global clinical trial designed to evaluate the safety and efficacy of BXCL501 in the acute treatment of agitation associated with schizophrenia and bipolar disorders in the pediatric population, in part to fulfill pediatric study requirements agreed to with the FDA in connection with the approval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trial protocol has been reviewed by the FDA, as well as by the European Medicines Agency, to fulfill potential commitments to study the effects of BXCL501 in pediatric patients ages 13 to 17 with schizophrenia and ages 10 to 17 with bipolar disorders. Enrollment of patients with schizophrenia, schizoaffective disorder, bipolar I, and bipolar II disorder is ongoing in this multisite, double-blind, placebo-controlled parallel group trial. Approximately 63% of the 150 total subjects have been enrolled in the U.S. and 95 of such subjects have completed the clinical trial. In July 2023, we stopped activities in the European region as enrollment and site recruitment was unproductive. Similar to our registration trials in schizophrenia and bipolar disorder (SERENITY I and II), the primary endpoint is the change from baseline PEC total score at two hours. The U.S. portion of this program remains active following the Clinical Reprioritization.</w:t>
      </w:r>
    </w:p>
    <w:p>
      <w:pPr>
        <w:spacing w:after="0" w:line="203"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In October 2024, we submitted a request to the FDA for an extension and plan to submit an updated trial protocol to complete enrollment requirements for pediatric patients with schizophrenia or schizoaffective disorder. The FDA granted a 3-year extension to complete the pediatric study.</w:t>
      </w:r>
    </w:p>
    <w:p>
      <w:pPr>
        <w:spacing w:after="0" w:line="176" w:lineRule="exact"/>
        <w:rPr>
          <w:sz w:val="20"/>
          <w:szCs w:val="20"/>
          <w:color w:val="auto"/>
        </w:rPr>
      </w:pPr>
    </w:p>
    <w:p>
      <w:pPr>
        <w:ind w:left="60" w:right="479" w:firstLine="324"/>
        <w:spacing w:after="0" w:line="312" w:lineRule="auto"/>
        <w:rPr>
          <w:sz w:val="20"/>
          <w:szCs w:val="20"/>
          <w:color w:val="auto"/>
        </w:rPr>
      </w:pPr>
      <w:r>
        <w:rPr>
          <w:rFonts w:ascii="Times New Roman" w:cs="Times New Roman" w:eastAsia="Times New Roman" w:hAnsi="Times New Roman"/>
          <w:sz w:val="17"/>
          <w:szCs w:val="17"/>
          <w:color w:val="auto"/>
        </w:rPr>
        <w:t>To support pediatrics in the at-home setting, FDA has requested an at-home/ outpatient study in pediatric patients following the inpatient study. The design of this study will be discussed and agreed with FDA prior to initiating it.</w:t>
      </w:r>
    </w:p>
    <w:p>
      <w:pPr>
        <w:spacing w:after="0" w:line="1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IGALMI</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Post-Marketing Requirement Study</w:t>
      </w:r>
    </w:p>
    <w:p>
      <w:pPr>
        <w:spacing w:after="0" w:line="104" w:lineRule="exact"/>
        <w:rPr>
          <w:sz w:val="20"/>
          <w:szCs w:val="20"/>
          <w:color w:val="auto"/>
        </w:rPr>
      </w:pPr>
    </w:p>
    <w:p>
      <w:pPr>
        <w:ind w:left="60" w:right="199" w:firstLine="324"/>
        <w:spacing w:after="0" w:line="225" w:lineRule="auto"/>
        <w:rPr>
          <w:sz w:val="20"/>
          <w:szCs w:val="20"/>
          <w:color w:val="auto"/>
        </w:rPr>
      </w:pPr>
      <w:r>
        <w:rPr>
          <w:rFonts w:ascii="Times New Roman" w:cs="Times New Roman" w:eastAsia="Times New Roman" w:hAnsi="Times New Roman"/>
          <w:sz w:val="18"/>
          <w:szCs w:val="18"/>
          <w:color w:val="auto"/>
        </w:rPr>
        <w:t>On June 25, 2024, we announced positive topline results from our post-marketing requirement study evaluating whether tolerance, tachyphylaxis, or withdrawal occur following repeat dosing of the 180 mcg (highest approved dose)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This study was a single-arm, open-label study of 28 inpatient adults with frequent episodes of agitation associated with bipolar disorders or schizophrenia who self-administered 180 mcg dose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as needed over seven days. A total of 83 episodes were treated. The study achieved its objective and demonstrated no evidence of tachyphylaxis, tolerance, or withdrawal, and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was generally well tolerated during the study.</w:t>
      </w:r>
    </w:p>
    <w:p>
      <w:pPr>
        <w:spacing w:after="0" w:line="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Additional Neuroscience Opportunities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BXCL501 Pipeline Opportunities for Franchise Expansion</w:t>
      </w:r>
    </w:p>
    <w:p>
      <w:pPr>
        <w:spacing w:after="0" w:line="202" w:lineRule="exact"/>
        <w:rPr>
          <w:sz w:val="20"/>
          <w:szCs w:val="20"/>
          <w:color w:val="auto"/>
        </w:rPr>
      </w:pPr>
    </w:p>
    <w:p>
      <w:pPr>
        <w:ind w:left="60" w:right="339" w:firstLine="324"/>
        <w:spacing w:after="0" w:line="258" w:lineRule="auto"/>
        <w:rPr>
          <w:sz w:val="20"/>
          <w:szCs w:val="20"/>
          <w:color w:val="auto"/>
        </w:rPr>
      </w:pPr>
      <w:r>
        <w:rPr>
          <w:rFonts w:ascii="Times New Roman" w:cs="Times New Roman" w:eastAsia="Times New Roman" w:hAnsi="Times New Roman"/>
          <w:sz w:val="18"/>
          <w:szCs w:val="18"/>
          <w:color w:val="auto"/>
        </w:rPr>
        <w:t>Based on its potential mechanism of action, we believe BXCL501 has the potential for broad applicability across several indications where agitation is a symptom of a condition or underlying disease. Research published in the journal Frontiers in Pharmacology showed that BXCL501 caused a significant reduction in behaviors induced by stress in translatable behavioral models related to psychiatric disorders, providing further support for the drug’s mechanism of action and potential suitability for broadly addressing stress-related disorders in addition to agitation.</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Government-Supported Investigator-Sponsored Trials (“ISTs”)</w:t>
      </w:r>
    </w:p>
    <w:p>
      <w:pPr>
        <w:spacing w:after="0" w:line="229"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Our research partners have been awarded grants for the development of BXCL501 in alcohol use disorder (“AUD”) with comorbid post-traumatic stress disorder (“PTSD”), opioid use disorder (“OUD”), and acute stress disorder (“ASD”). The Company is providing, or has provided, regulatory and operational support and investigational product for these development opportunities, which are being funded through Cooperative Agreements with the U.S. Department of Defense Congressionally Directed Medical Research Program and National Institute on Drug Abuse (“NIDA”). Clinical and regulatory responsibilities are led by clinical researchers and regulatory staff at the Veterans Affairs Connecticut Healthcare System, Yale University Medical School, RTI International, Columbia University New York State Psychiatric Institute, and University of North Carolina at Chapel Hill.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Opioid Use Disorder (“OUD”)</w:t>
      </w:r>
    </w:p>
    <w:p>
      <w:pPr>
        <w:spacing w:after="0" w:line="22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As the Company previously announced, NIDA awarded a grant to Columbia University to fund clinical testing of BXCL501 as a potential treatment for mitigation of opioid withdrawal symptoms in patients diagnosed with OUD. The original 160-patient, three-site, four-arm study is a randomized, double-blind, double-dummy inpatient study comparing BXCL501 (180 mcg and 240 mcg BID), lofexidine (as a positive control), and placebo. The study’s goal was to evaluate the safety and efficacy of BXCL501 relative to lofexidine and placebo in subjects with OUD. A majority of OUD patients participating in the study were anticipated to be exposed to fentanyl adulterated or associated with xylazine. To date, four different sites have recruited, enrolled, and dosed patients diagnosed with OUD who are physically dependent on opioids, including prescription opioids. The Company supplied BXCL501 for the study, which was sponsored by Columbia University. The study was subsequently stopped at 80 patients, or approximately one-half the original total.</w:t>
      </w:r>
    </w:p>
    <w:p>
      <w:pPr>
        <w:spacing w:after="0" w:line="188"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On March 5, 2026, the Company announced positive topline results from the Columbia Phase 2 investigator-sponsored trial evaluating BXCL501 for the treatment of opioid withdrawal symptoms in adults with opioid use disorder undergoing a methadone taper. In the study, BXCL501 240 µg BID reduced opioid withdrawal symptoms compared to placebo during a seven-day methadone taper, as measured by the Short Opiate Withdrawal Scale-Gossop (SOWS-Gossop). After receiving BXCL501 240 µg, patients experienced a greater than 30% reduction in SOWS-Gossop scores, with peak symptom improvement observed on days 3 and 4. The reduction in withdrawal symptoms with BXCL501 numerically exceeded that observed with lofexidine 0.54 mg administered four times daily. BXCL501 demonstrated a favorable tolerability profile, with rates of key adverse events (including dizziness, orthostatic hypotension, bradycardia and insomnia) comparable to or lower than those reported for lofexidine in the Lucemyra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(lofexidine) FDA label.</w:t>
      </w:r>
    </w:p>
    <w:p>
      <w:pPr>
        <w:spacing w:after="0" w:line="75"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This study was planned as a 4-arm trial: BXCL501 180 µg BID or 240 µg BID, placebo, and lofexidine 0.54 mg QID as a positive control. It enrolled participants who were predominantly exposed to fentanyl and included a high proportion of participants exposed to fentanyl adulterated or associated with xylazine (FAAX), which has been designated as an emerging threat by the White House Office of National Drug Control Policy.</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Alcohol Use Disorder (“AUD”) with Comorbid Post-traumatic Stress Disorder (“PTSD”)</w:t>
      </w:r>
    </w:p>
    <w:p>
      <w:pPr>
        <w:spacing w:after="0" w:line="229" w:lineRule="exact"/>
        <w:rPr>
          <w:sz w:val="20"/>
          <w:szCs w:val="20"/>
          <w:color w:val="auto"/>
        </w:rPr>
      </w:pPr>
    </w:p>
    <w:p>
      <w:pPr>
        <w:ind w:left="60" w:right="319" w:firstLine="324"/>
        <w:spacing w:after="0" w:line="261" w:lineRule="auto"/>
        <w:rPr>
          <w:sz w:val="20"/>
          <w:szCs w:val="20"/>
          <w:color w:val="auto"/>
        </w:rPr>
      </w:pPr>
      <w:r>
        <w:rPr>
          <w:rFonts w:ascii="Times New Roman" w:cs="Times New Roman" w:eastAsia="Times New Roman" w:hAnsi="Times New Roman"/>
          <w:sz w:val="18"/>
          <w:szCs w:val="18"/>
          <w:color w:val="auto"/>
        </w:rPr>
        <w:t>In December 2020, the Veterans Affairs Connecticut Healthcare System and Yale University Medical School were awarded a grant by the U.S. Department of Defense’s Congressionally Directed Medical Research Program with the overall objective to evaluate BXCL501 in patients who suffer from AUD with comorbid PTSD. The Company provided BXCL501 for the inpatient Alcohol Interaction Study, which has been completed.</w:t>
      </w:r>
    </w:p>
    <w:p>
      <w:pPr>
        <w:spacing w:after="0" w:line="180"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Yale has received approval from the Institutional Review Board (“IRB”) and allowance from the FDA to proceed with a trial to evaluate the effects of up to 80 mcg BID of BXCL501 per day for 28 days on alcohol consumption, PTSD symptoms, cognitive function, memory, sleep, and mood in patients diagnosed with mild, moderate, or severe AUD and who meet Criterion A for comorbid PTSD. The outpatient study has received funding approval from the Pharmacotherapies for Alcohol and Substance Use Disorders Alliance (funded through a Cooperative Agreement between the U.S. Department of Defense Congressionally Directed Medical Research Program and RTI International). Patient screening and enrollment has begun, with the first patient expected to be dosed in the first half of 2026. Study results may be used to inform a Phase 3 study in patients diagnosed with PTSD intended to commence with support by the Department of Defense Congressionally Directed Medical Research Program.</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Acute Stress Disorder (“ASD”)</w:t>
      </w:r>
    </w:p>
    <w:p>
      <w:pPr>
        <w:spacing w:after="0" w:line="22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On October 15, 2024, we announced a U.S. Department of War (DoW) grant to the University of North Carolina (“UNC”) to fund a study of BXCL501 for treating ASD. The award provides $2,800 to the UNC Institute for Trauma Recovery from September 15, 2024 through September 14, 2026 to evaluate the potential efficacy of BXCL501 to reduce acute stress reactions, also known as acute stress disorder (ASD), symptom severity and/or posttraumatic</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neuropsychiatric symptoms. The double-blind, placebo-controlled trial is expected to enroll 100 patients experiencing acute stress reactions resulting from motor vehicle collisions.</w:t>
      </w:r>
    </w:p>
    <w:p>
      <w:pPr>
        <w:spacing w:after="0" w:line="135" w:lineRule="exact"/>
        <w:rPr>
          <w:sz w:val="20"/>
          <w:szCs w:val="20"/>
          <w:color w:val="auto"/>
        </w:rPr>
      </w:pPr>
    </w:p>
    <w:p>
      <w:pPr>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On April 8, 2026, we announced the enrollment of the first patients in this DoW-funded Phase 2a clinical trial. The trial is being led by the University of North Carolina at Chapel Hill (UNC) Institute of Trauma Recovery and marks a significant milestone in the collaboration between BioXcel Therapeutics and UNC.</w:t>
      </w:r>
    </w:p>
    <w:p>
      <w:pPr>
        <w:spacing w:after="0" w:line="135"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double-blind, placebo-controlled trial (NCT06943404) is designed to enroll 100 patients experiencing ASRs following motor vehicle collisions and will evaluate the potential of BXCL501 to reduce ASR symptom severity, improve neurocognitive function, and prevent the progression to chronic posttraumatic neuropsychiatric symptoms. BioXcel Therapeutics is supplying BXCL501 for the trial.</w:t>
      </w:r>
    </w:p>
    <w:p>
      <w:pPr>
        <w:spacing w:after="0" w:line="139" w:lineRule="exact"/>
        <w:rPr>
          <w:sz w:val="20"/>
          <w:szCs w:val="20"/>
          <w:color w:val="auto"/>
        </w:rPr>
      </w:pPr>
    </w:p>
    <w:p>
      <w:pPr>
        <w:ind w:left="60" w:right="399" w:firstLine="324"/>
        <w:spacing w:after="0" w:line="257" w:lineRule="auto"/>
        <w:rPr>
          <w:sz w:val="20"/>
          <w:szCs w:val="20"/>
          <w:color w:val="auto"/>
        </w:rPr>
      </w:pPr>
      <w:r>
        <w:rPr>
          <w:rFonts w:ascii="Times New Roman" w:cs="Times New Roman" w:eastAsia="Times New Roman" w:hAnsi="Times New Roman"/>
          <w:sz w:val="18"/>
          <w:szCs w:val="18"/>
          <w:color w:val="auto"/>
        </w:rPr>
        <w:t xml:space="preserve">ASR symptoms occur in the days and weeks after trauma, and include anxiety, sleep disturbance, concentration difficulty, pain, and somatic symptoms such as dizziness and lightheadedness. Chronic adverse posttraumatic neuropsychiatric symptoms occur when acute stress reactions do not resolve, and include persistent pain, posttraumatic stress, and depressive symptoms. ASRs are common among service men and women, police and other first responders, and survivors of shootings and natural disasters. ASRs affect more than 40 million Americans who seek emergency department care annually after traumatic stress exposure (e.g., motor vehicle collision) </w:t>
      </w:r>
      <w:r>
        <w:rPr>
          <w:rFonts w:ascii="Times New Roman" w:cs="Times New Roman" w:eastAsia="Times New Roman" w:hAnsi="Times New Roman"/>
          <w:sz w:val="24"/>
          <w:szCs w:val="24"/>
          <w:color w:val="auto"/>
          <w:vertAlign w:val="superscript"/>
        </w:rPr>
        <w:t>1,2</w:t>
      </w:r>
    </w:p>
    <w:p>
      <w:pPr>
        <w:spacing w:after="0" w:line="81" w:lineRule="exact"/>
        <w:rPr>
          <w:sz w:val="20"/>
          <w:szCs w:val="20"/>
          <w:color w:val="auto"/>
        </w:rPr>
      </w:pPr>
    </w:p>
    <w:p>
      <w:pPr>
        <w:ind w:left="60" w:right="159" w:firstLine="314"/>
        <w:spacing w:after="0" w:line="223" w:lineRule="auto"/>
        <w:tabs>
          <w:tab w:leader="none" w:pos="490"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Adler, Amy B., et al. “Post-traumatic stress disorder risk and witnessing team members in acute psychological stress during combat.” BJPsych Open, vol. 6, no. 5, Sept. 2020, https://doi.org/10.1192/bjo.2020.81.</w:t>
      </w:r>
    </w:p>
    <w:p>
      <w:pPr>
        <w:spacing w:after="0" w:line="159" w:lineRule="exact"/>
        <w:rPr>
          <w:sz w:val="20"/>
          <w:szCs w:val="20"/>
          <w:color w:val="auto"/>
        </w:rPr>
      </w:pPr>
    </w:p>
    <w:p>
      <w:pPr>
        <w:ind w:left="60" w:right="199" w:firstLine="314"/>
        <w:spacing w:after="0" w:line="231" w:lineRule="auto"/>
        <w:tabs>
          <w:tab w:leader="none" w:pos="49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Lewis, Gemma C., et al. “Incidence and predictors of acute psychological distress and dissociation after motor vehicle collision: A cross-sectional study.” Journal of Trauma &amp;amp; Dissociation, vol. 15, no. 5, 30 Sept. 2014, pp. 527– 547, https://doi.org/10.1080/15299732.2014.908805.</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BXCL502 Development</w:t>
      </w:r>
    </w:p>
    <w:p>
      <w:pPr>
        <w:spacing w:after="0" w:line="202"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We identified a second neuropsychiatric drug candidate, BXCL502 − Latrepirdine (Dimebon) − through our AI-based platform. We plan to evaluate BXCL502 initially as a monotherapy and possibly in combination with BXCL501 for the chronic treatment of agitation in patients with dementia and acute stress disorder. The active pharmaceutical ingredient (“API”) underlying BXCL502 affects serotonergic signaling in the brain. Our preclinical data suggests BXCL502 has the potential to treat stress-related neuropsychiatric symptoms in dementia and other stress-related disorders. In previously published third-party clinical trial data, daily administration of the API of BXCL502 demonstrated improvement in behaviors using a well-established, clinically validated symptom scale. Formulation and further clinical development planning for BXCL502 was paused as part of the Clinical Reprioritization.</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Product Candidates Identified Leveraging our AI Platform</w:t>
      </w:r>
    </w:p>
    <w:p>
      <w:pPr>
        <w:spacing w:after="0" w:line="189"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Our AI platform is comprised of a series of customized and specific AI applications aimed at identifying, predicting efficacy and testing of late-stage assets with known mechanisms of action and associated pharmacology and safety data. We target neuropsychiatric and neurological rare disorders, where the compounds are either disease-modifying or symptom-mitigating. Compounds are tested in relevant models of disease and rank-ordered based on the potential to enter the clinic and ease of development. Disease areas of interest are stress related such as agitation, or neuropsychiatric symptoms associated with dementia and responsible for increased levels of healthcare burden. For example, our pipeline concepts BXCL503 and BXCL504 putatively have the potential to address apathy and aggression in dementia, respectively. These programs were also paused as part of the Clinical Reprioritization.</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Neuroscience Intellectual Property</w:t>
      </w:r>
    </w:p>
    <w:p>
      <w:pPr>
        <w:spacing w:after="0" w:line="189"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Our policy is to protect and enhance the proprietary technologies, inventions, and improvements that are commercially important to our business by filing patent applications in the U.S. and other jurisdictions related to our proprietary technology, inventions, improvements, and product candidates. We also rely on trademarks, trade secrets, and know-how relating to our proprietary technologies and product candidates, continuing innovation, and in-licensing technology and products. This reliance is expected to develop, maintain, and strengthen our proprietary position for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novel therapeutics and novel formulations of existing therapeutics across multiple therapeutic areas. We also plan to rely on data exclusivity, market exclusivity, and patent term extensions when available.</w:t>
      </w:r>
    </w:p>
    <w:p>
      <w:pPr>
        <w:spacing w:after="0" w:line="135"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7"/>
          <w:szCs w:val="17"/>
          <w:color w:val="auto"/>
        </w:rPr>
        <w:t>We have multiple patent families filed to protect our Neuroscience program, including BXCL501. As of May 1, 2026, our neuroscience patent portfolio included one Patent Cooperation Treaty (“PCT”) application not yet in the national phase, 11 U.S. utility applications, 17 issued U.S. utility patents, 47 pending non-U.S. utility applications, 27 allowed or granted non-U.S. patents (including five in Japan), one pending U.S. design patent application, and 2 registered design patents in Japan. Fourteen U.S. utility patents, directed to our proprietary sublingual film formulation of dexmedetomidine and methods of treating agitation, are listed in the FDA’s Approved Drug Products with Therapeutic Equivalence Evaluations (commonly known as the “Orange Book”) for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with expiration dates between 2037 and 2043. In the formulation family, we have granted or allowed patents in China, Europe, Eurasia, Japan, Mexico, and the U.S., and pending applications in the U.S., China, and other major markets. We expect that patents issued in this family will expire no earlier than 2039. We have also filed applications in additional patent families that are relevant to BXCL501. We have one granted European patent and applications pending in the U.S. and Japan directed to methods of treating insomnia using sublingual dexmedetomidine. We expect that patents issued from these applications, will expire no earlier than</w:t>
      </w:r>
    </w:p>
    <w:p>
      <w:pPr>
        <w:spacing w:after="0" w:line="3" w:lineRule="exact"/>
        <w:rPr>
          <w:sz w:val="20"/>
          <w:szCs w:val="20"/>
          <w:color w:val="auto"/>
        </w:rPr>
      </w:pPr>
    </w:p>
    <w:p>
      <w:pPr>
        <w:jc w:val="both"/>
        <w:ind w:left="60" w:right="379"/>
        <w:spacing w:after="0" w:line="271" w:lineRule="auto"/>
        <w:rPr>
          <w:sz w:val="20"/>
          <w:szCs w:val="20"/>
          <w:color w:val="auto"/>
        </w:rPr>
      </w:pPr>
      <w:r>
        <w:rPr>
          <w:rFonts w:ascii="Times New Roman" w:cs="Times New Roman" w:eastAsia="Times New Roman" w:hAnsi="Times New Roman"/>
          <w:sz w:val="18"/>
          <w:szCs w:val="18"/>
          <w:color w:val="auto"/>
        </w:rPr>
        <w:t>2035. We also have granted patents and pending applications filed in major markets, including the U.S., Europe, Japan, and China, directed to methods of treating agitation. We expect that patents issued from these applications, will expire between 2039 and 2043.</w:t>
      </w:r>
    </w:p>
    <w:p>
      <w:pPr>
        <w:spacing w:after="0" w:line="145" w:lineRule="exact"/>
        <w:rPr>
          <w:sz w:val="20"/>
          <w:szCs w:val="20"/>
          <w:color w:val="auto"/>
        </w:rPr>
      </w:pPr>
    </w:p>
    <w:p>
      <w:pPr>
        <w:ind w:left="60" w:right="299" w:firstLine="324"/>
        <w:spacing w:after="0" w:line="272" w:lineRule="auto"/>
        <w:rPr>
          <w:sz w:val="20"/>
          <w:szCs w:val="20"/>
          <w:color w:val="auto"/>
        </w:rPr>
      </w:pPr>
      <w:r>
        <w:rPr>
          <w:rFonts w:ascii="Times New Roman" w:cs="Times New Roman" w:eastAsia="Times New Roman" w:hAnsi="Times New Roman"/>
          <w:sz w:val="18"/>
          <w:szCs w:val="18"/>
          <w:color w:val="auto"/>
        </w:rPr>
        <w:t>In August 2024, the Company received a Notice of Allowance from the U.S. Patent and Trademark Office (“USPTO”) for U.S. Patent Application No. 18/600,431 (the “’431 Application”). The ’431 Application claims methods of treating agitation using an oromucosal formulation of dexmedetomidine. The ‘431 Application issued as U.S. Patent No. 12,138,247 (the ‘247 Patent) patent, issued on November 2024, and is expected to expire no earlier than January 12, 2043. The ’247 Patent is listed in the Orange Book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32"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obtained. In most countries, including the U.S., the patent term is 20 years from the earliest filing date of a non-provisional patent application. Depending upon the timing, duration, and specifics of FDA approval of our product candidates, a U.S. patent that we own or license may be eligible for limited patent term extension under the Drug Price Competition and Patent Term Restoration Act of 1984 (a.k.a., the “Hatch-Waxman Act”). The act permits a patent restoration term of up to five years as compensation for patent term lost during product development and the drug approval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new drug application (“NDA”), plus the time between the submission date of an NDA and the approval of that application. Only one patent applicable to an approved drug is eligible for the extension, and the application for extension must be made prior to patent expiration. The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spacing w:after="0" w:line="197"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The term of a patent can also be extended by PTA established in 35 U.S.C. 154(b). The intention of the PTA is to accommodate for delays caused by the USPTO during the prosecution of a US utility or plant patent application. Under PTA, the USPTO delay is divided into three types: type A (delays after 14 months from the filing date of the application until the USPTO issues a first Office Action and delays after four months from the filing of certain actions by the applicant until the USPTO responds to such actions); type B (delays after three years from the earliest effective filing date until a patent is granted); and type C (delays due to interferences, secrecy orders, and successful appeals). The total amount of PTA is calculated by adding the types A, B, and C delays, and then subtracting any delay that is overlapped among three types or that is attributable to the applicant.</w:t>
      </w:r>
    </w:p>
    <w:p>
      <w:pPr>
        <w:spacing w:after="0" w:line="192"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term of a patent can also be shortened by a terminal disclaimer. A terminal disclaimer is a statement filed by a patent owner in which the owner disclaims or dedicates to the public the terminal part of the term of a patent. Often, the terminal disclaimer is filed in cases where at least one claim of a pending application would have been obvious in light of at least one claim in an earlier-filed patent, (or non-statutory obviousness-type double patenting rejection).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59" w:firstLine="324"/>
        <w:spacing w:after="0" w:line="251" w:lineRule="auto"/>
        <w:rPr>
          <w:sz w:val="20"/>
          <w:szCs w:val="20"/>
          <w:color w:val="auto"/>
        </w:rPr>
      </w:pPr>
      <w:r>
        <w:rPr>
          <w:rFonts w:ascii="Times New Roman" w:cs="Times New Roman" w:eastAsia="Times New Roman" w:hAnsi="Times New Roman"/>
          <w:sz w:val="18"/>
          <w:szCs w:val="18"/>
          <w:color w:val="auto"/>
        </w:rPr>
        <w:t>The patent positions of companies such as ours are generally uncertain and involve complex legal and factual questions. No consistent policy regarding the scope of claims allowable in patents in the field of method of use patents or reformulation patents has emerged in the U.S. patent laws and their interpretation outside of the U.S. are also uncertain. Changes in either the patent laws or their interpretation in the U.S. and other countries may diminish our ability to protect our technology or product candidates and enforce the patent rights that we license, and also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With respect to both licensed and company owned intellectual property,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the manufacture of those products. In addition, if a pending patent application is granted, it is possible that only a subset of the claims that are currently contained in the pending patent application will be issued. Further, the coverage claimed in a patent application can be significantly reduced before the patent is issued, and its scope can be reinterpreted after issuance.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the issued patents that we in-license and those that may issue in the future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outside the scope of the rights granted under any issued patents that we own or exclusively in license.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 For additional information regarding intellectual property regulations and risks, see below under “Immuno-Oncology Intellectual Property” and Part II, Item 1A, “Risk Factors - Risks Related to Our Intellectual Property” elsewhere in this Quarterly Report.</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Immuno-Oncology</w:t>
      </w:r>
    </w:p>
    <w:p>
      <w:pPr>
        <w:spacing w:after="0" w:line="202" w:lineRule="exact"/>
        <w:rPr>
          <w:sz w:val="20"/>
          <w:szCs w:val="20"/>
          <w:color w:val="auto"/>
        </w:rPr>
      </w:pPr>
    </w:p>
    <w:p>
      <w:pPr>
        <w:ind w:left="60" w:right="499" w:firstLine="324"/>
        <w:spacing w:after="0" w:line="281" w:lineRule="auto"/>
        <w:rPr>
          <w:sz w:val="20"/>
          <w:szCs w:val="20"/>
          <w:color w:val="auto"/>
        </w:rPr>
      </w:pPr>
      <w:r>
        <w:rPr>
          <w:rFonts w:ascii="Times New Roman" w:cs="Times New Roman" w:eastAsia="Times New Roman" w:hAnsi="Times New Roman"/>
          <w:sz w:val="17"/>
          <w:szCs w:val="17"/>
          <w:color w:val="auto"/>
        </w:rPr>
        <w:t>On April 19, 2022, we announced the formation of a wholly owned subsidiary, OnkosXcel to develop potentially transformative medicines in oncology. OnkosXcel used proprietary AI capabilities to drive the capital-efficient development of innovative anti-cancer therapeutics. With the Company’s Clinical Reprioritization announcement on August 14, 2023, further work on the immuno-oncology programs was paused, except as noted below.</w:t>
      </w:r>
    </w:p>
    <w:p>
      <w:pPr>
        <w:spacing w:after="0" w:line="124" w:lineRule="exact"/>
        <w:rPr>
          <w:sz w:val="20"/>
          <w:szCs w:val="20"/>
          <w:color w:val="auto"/>
        </w:rPr>
      </w:pPr>
    </w:p>
    <w:p>
      <w:pPr>
        <w:ind w:left="60" w:right="259" w:firstLine="324"/>
        <w:spacing w:after="0" w:line="273" w:lineRule="auto"/>
        <w:rPr>
          <w:sz w:val="20"/>
          <w:szCs w:val="20"/>
          <w:color w:val="auto"/>
        </w:rPr>
      </w:pPr>
      <w:r>
        <w:rPr>
          <w:rFonts w:ascii="Times New Roman" w:cs="Times New Roman" w:eastAsia="Times New Roman" w:hAnsi="Times New Roman"/>
          <w:sz w:val="17"/>
          <w:szCs w:val="17"/>
          <w:color w:val="auto"/>
        </w:rPr>
        <w:t>BXCL701, an investigational, oral innate immune activator, demonstrated a 25% composite response rate in a Phase 2a clinical trial to treat patients with small cell neuroendocrine carcinoma (“SCNC”) phenotype metastatic castration-resistant prostate cancer (“mCRPC”). On February 12, 2024, the Company received Fast Track development designation from the FDA for the investigation of BXCL701 in combination with a checkpoint inhibitor for the treatment of patients with metastatic SCNC with progression on chemotherapy and no evidence of microsatellite instability. A potential registrational trial design in mCRPC patients with SCNC phenotype was finalized, however in light of our Clinical Reprioritization, we have not met with the FDA to discuss this, nor plan to initiate this trial at the current time.</w:t>
      </w:r>
    </w:p>
    <w:p>
      <w:pPr>
        <w:spacing w:after="0" w:line="1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Immuno-Oncology Programs</w:t>
      </w:r>
    </w:p>
    <w:p>
      <w:pPr>
        <w:spacing w:after="0" w:line="202" w:lineRule="exact"/>
        <w:rPr>
          <w:sz w:val="20"/>
          <w:szCs w:val="20"/>
          <w:color w:val="auto"/>
        </w:rPr>
      </w:pPr>
    </w:p>
    <w:p>
      <w:pPr>
        <w:ind w:left="60" w:right="399" w:firstLine="324"/>
        <w:spacing w:after="0" w:line="261" w:lineRule="auto"/>
        <w:rPr>
          <w:sz w:val="20"/>
          <w:szCs w:val="20"/>
          <w:color w:val="auto"/>
        </w:rPr>
      </w:pPr>
      <w:r>
        <w:rPr>
          <w:rFonts w:ascii="Times New Roman" w:cs="Times New Roman" w:eastAsia="Times New Roman" w:hAnsi="Times New Roman"/>
          <w:sz w:val="18"/>
          <w:szCs w:val="18"/>
          <w:color w:val="auto"/>
        </w:rPr>
        <w:t>Below is a summary of the status of our immuno-oncology clinical development programs as of the date of this Quarterly Report. We believe our product candidates, if successfully developed and approved, have the potential to become compelling treatment options for their respective indications. However, further work on our immuno-oncology programs has been paused, other than as noted below.</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694690</wp:posOffset>
            </wp:positionV>
            <wp:extent cx="5494655" cy="24003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9465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BXCL701 as a Potential Treatment for Other Cancers</w:t>
      </w:r>
    </w:p>
    <w:p>
      <w:pPr>
        <w:spacing w:after="0" w:line="202" w:lineRule="exact"/>
        <w:rPr>
          <w:sz w:val="20"/>
          <w:szCs w:val="20"/>
          <w:color w:val="auto"/>
        </w:rPr>
      </w:pPr>
    </w:p>
    <w:p>
      <w:pPr>
        <w:ind w:left="60" w:right="199" w:firstLine="324"/>
        <w:spacing w:after="0" w:line="269" w:lineRule="auto"/>
        <w:rPr>
          <w:sz w:val="20"/>
          <w:szCs w:val="20"/>
          <w:color w:val="auto"/>
        </w:rPr>
      </w:pPr>
      <w:r>
        <w:rPr>
          <w:rFonts w:ascii="Times New Roman" w:cs="Times New Roman" w:eastAsia="Times New Roman" w:hAnsi="Times New Roman"/>
          <w:sz w:val="17"/>
          <w:szCs w:val="17"/>
          <w:color w:val="auto"/>
        </w:rPr>
        <w:t>In addition to its potential use in combination with CPIs to treat mCRPC, an immunologically cold tumor, we have been developing BXCL701 as a therapeutic for pancreatic cancer, and other solid tumors with greater, or “non-cold,” immunological activity that are nonetheless regarded as difficult-to-treat, and hematological malignancies. We believe the synergistic potential of BXCL701 and CPIs, when administered in combination, could increase cancer cell susceptibility to an enhanced immune response, potentially increasing the clinical benefit of CPIs, whose single-agent efficacy in treating these tumor types is generally viewed to be limited to between 13% and 30% of cancer patients and the duration of response to treatment is often short. As such, we envision the potential therapeutic benefit of BXCL701 increasing the sensitivity of cold tumors to CPI therapy, enabling the potential treatment of a range of cancers including pancreatic cancer, breast cancer, colorectal cancer, and ovarian cancer, as well as enhancing the depth of response to CPIs in other cancers. In addition, based on the preclinical observation that BXCL701 showed direct cytotoxic activity against certain leukemic cells, we have initiated clinical development targeting relapsed or refractory acute myeloid leukemia (“AML”).</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Pancreatic Cancer</w:t>
      </w:r>
    </w:p>
    <w:p>
      <w:pPr>
        <w:spacing w:after="0" w:line="189"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Preclinical models demonstrated synergy between DPP inhibition with BXCL701 and anti-PD-1 antibody in the pancreatic cancer tumor microenvironment. Based on these preclinical observations, Georgetown Lombardi Cancer Center initiated a Phase 2 IST to assess the safety of BXCL701 when administered in combination with pembrolizumab (safety lead-in), as well as to estimate the 18-week progression-free survival rate (primary objective of the efficacy phase) in previously treated metastatic pancreatic ductal adenocarcinoma. The trial was expected to enroll approximately 39 patients in its efficacy phase in a Simon 2-stage single-arm, open-label design (19 patients in stage 1 and 20 patients in stage 2). Patients were monitored radiographically and by tumor markers for response assessment. Tumor biopsies and blood samples were collected over the course of treatment to better understand the potential mechanism of action for the combination. The human proof of concept portion of the trial started in the first half of 2024. Twenty-one patients were enrolled. Four out of 18 evaluable patients (22%) were alive and progression-free at 18 weeks. Three had partial responses (17%), and 4 had stable disease (22%), for a disease control rate of 39%. One responder had MSI-H PDAC (Microsatellite Instability High Pancreatic Ductal Adenocarcinoma), while the other 2 had MSS PDAC (Microsatellite Stable Pancreatic Ductal Adenocarcinoma). Median PFS (Progression Free Survival) was 2.3 months (95% CI 1.58 – 5.29), and median overall survival was not reached (NR, 95% CI 4.54 - NR). No new safety signals were identified.</w:t>
      </w: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BXCL701 plus pembrolizumab in second-line advanced PDAC did not reach the preliminary efficacy endpoint to trigger the second stage. However, there were encouraging signs: this combination induced objective responses in 2 MSS pts, and the PFS exceeded 6 months in 3 pts (14%). Ongoing correlative studies should help to examine the characteristics of responders vs. non-responders and elucidate predictive markers of efficacy and resistance to this novel immunotherapy combination.</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Relapsed or Refractory AML</w:t>
      </w:r>
    </w:p>
    <w:p>
      <w:pPr>
        <w:spacing w:after="0" w:line="189"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DPP8/9 inhibition has been shown to be cytotoxic to THP-1 cells, monocytic cancer cells cultured from a patient with AML, but not other cell lines, suggesting a specific vulnerability of AML to these inhibitors which we believe can be exploited for therapeutic benefit. Based on these preclinical observations, Dana-Farber initiated a Phase 1b trial to assess the safety of BXCL701 and to determine the maximum tolerated dose (MTD) and RP2D of BXCL701 as a single agent administered on days 1-3, 8-10, 15-17 and 22-24 in a 4-week (28 days) cycle schedule. This trial started in the first quarter of 2023. A total of 8 patients were treated on days 1-3, 8-10, 15-17 and 22-24 in a 4-week (28 days) cycle schedule across three cohorts as shown below:</w:t>
      </w:r>
    </w:p>
    <w:p>
      <w:pPr>
        <w:spacing w:after="0" w:line="148" w:lineRule="exact"/>
        <w:rPr>
          <w:sz w:val="20"/>
          <w:szCs w:val="20"/>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Cohort 1:</w:t>
      </w:r>
      <w:r>
        <w:rPr>
          <w:rFonts w:ascii="Times New Roman" w:cs="Times New Roman" w:eastAsia="Times New Roman" w:hAnsi="Times New Roman"/>
          <w:sz w:val="17"/>
          <w:szCs w:val="17"/>
          <w:color w:val="auto"/>
        </w:rPr>
        <w:t>0.4 mg (BXCL701 0.2 mg BID);</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Cohort 2:</w:t>
      </w:r>
      <w:r>
        <w:rPr>
          <w:rFonts w:ascii="Times New Roman" w:cs="Times New Roman" w:eastAsia="Times New Roman" w:hAnsi="Times New Roman"/>
          <w:sz w:val="17"/>
          <w:szCs w:val="17"/>
          <w:color w:val="auto"/>
        </w:rPr>
        <w:t>0.6 mg (BXCL701 0.3 mg BID);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Cohort: 0.8 mg (BXCL701 0.4 mg BID) daily</w:t>
      </w:r>
    </w:p>
    <w:p>
      <w:pPr>
        <w:spacing w:after="0" w:line="207" w:lineRule="exact"/>
        <w:rPr>
          <w:sz w:val="20"/>
          <w:szCs w:val="20"/>
          <w:color w:val="auto"/>
        </w:rPr>
      </w:pPr>
    </w:p>
    <w:p>
      <w:pPr>
        <w:jc w:val="both"/>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No DLTs were observed and the study was closed due to poor enrollment on 31 Aug 2025 with an incomplete final cohort. Pharmacokinetic analysis is underway to determine PK parameters associated with single agent dosing in AML patients using this novel dosing regimen.</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Immuno-Oncology Intellectual Property</w:t>
      </w:r>
    </w:p>
    <w:p>
      <w:pPr>
        <w:spacing w:after="0" w:line="18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Intellectual property is of vital importance in our field and in biotechnology generally. We seek to protect and enhance proprietary technology, inventions, and improvements that are commercially important to the development of our business by seeking, maintaining, enforcing, and defending patent and other intellectual property rights, whether developed internally or licensed from third parties. We will also seek to rely on regulatory protection afforded through inclusion in expedited development and review, data exclusivity, market exclusivity, and patent term extensions where available.</w:t>
      </w:r>
    </w:p>
    <w:p>
      <w:pPr>
        <w:spacing w:after="0" w:line="147" w:lineRule="exact"/>
        <w:rPr>
          <w:sz w:val="20"/>
          <w:szCs w:val="20"/>
          <w:color w:val="auto"/>
        </w:rPr>
      </w:pPr>
    </w:p>
    <w:p>
      <w:pPr>
        <w:ind w:left="60" w:right="279" w:firstLine="324"/>
        <w:spacing w:after="0" w:line="254" w:lineRule="auto"/>
        <w:rPr>
          <w:sz w:val="20"/>
          <w:szCs w:val="20"/>
          <w:color w:val="auto"/>
        </w:rPr>
      </w:pPr>
      <w:r>
        <w:rPr>
          <w:rFonts w:ascii="Times New Roman" w:cs="Times New Roman" w:eastAsia="Times New Roman" w:hAnsi="Times New Roman"/>
          <w:sz w:val="18"/>
          <w:szCs w:val="18"/>
          <w:color w:val="auto"/>
        </w:rPr>
        <w:t>As of May 1, 2026, we have multiple patent families filed to protect our immuno-oncology program, including our core patent family directed to methods of using BXCL701 with immune checkpoint inhibitors, which is granted in the U.S., Japan, Australia, Canada, Russia, China, India, Taiwan, South Africa, Mexico, New Zealand, Europe and United Arab Emirates. Additional applications in this family are pending in major markets. Patents issued from this family are expected to expire no earlier than 2036. We have an additional patent issued in the U.S. directed to a method of selecting patients based on a biomarker and methods of treating certain cancers, with an expected expiration date no earlier than 2039. A corresponding European Patent case directed to selecting patients is issued and is expected to expire no earlier than 2039.</w:t>
      </w:r>
    </w:p>
    <w:p>
      <w:pPr>
        <w:spacing w:after="0" w:line="165" w:lineRule="exact"/>
        <w:rPr>
          <w:sz w:val="20"/>
          <w:szCs w:val="20"/>
          <w:color w:val="auto"/>
        </w:rPr>
      </w:pPr>
    </w:p>
    <w:p>
      <w:pPr>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Additional applications are directed to administering BXCL701 in combination with various other molecules, biomarkers, and dosing regimens. We expect that any patents issuing from these applications will expire no earlier than 2043 to 2044.</w:t>
      </w:r>
    </w:p>
    <w:p>
      <w:pPr>
        <w:spacing w:after="0" w:line="135"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We expect to file additional patent applications in support of current and new immuno-oncology clinical candidates as well as new platform and core technologies. For additional information regarding intellectual property regulations and risks, see above under “Neuroscience Intellectual Property” and Part II, Item 1A, “Risk Factors - Risks Related to Our Intellectual Property” elsewhere in this Quarterly Report.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2" w:lineRule="exact"/>
        <w:rPr>
          <w:sz w:val="20"/>
          <w:szCs w:val="20"/>
          <w:color w:val="auto"/>
        </w:rPr>
      </w:pPr>
    </w:p>
    <w:p>
      <w:pPr>
        <w:ind w:left="60" w:right="799" w:firstLine="324"/>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financial statements are prepared in accordance with U.S. Generally Accepted Accounting Principles.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94" w:lineRule="exact"/>
        <w:rPr>
          <w:sz w:val="20"/>
          <w:szCs w:val="20"/>
          <w:color w:val="auto"/>
        </w:rPr>
      </w:pPr>
    </w:p>
    <w:p>
      <w:pPr>
        <w:jc w:val="both"/>
        <w:ind w:left="60" w:right="359" w:firstLine="324"/>
        <w:spacing w:after="0" w:line="226" w:lineRule="auto"/>
        <w:rPr>
          <w:sz w:val="20"/>
          <w:szCs w:val="20"/>
          <w:color w:val="auto"/>
        </w:rPr>
      </w:pPr>
      <w:r>
        <w:rPr>
          <w:rFonts w:ascii="Times New Roman" w:cs="Times New Roman" w:eastAsia="Times New Roman" w:hAnsi="Times New Roman"/>
          <w:sz w:val="18"/>
          <w:szCs w:val="18"/>
          <w:color w:val="auto"/>
        </w:rPr>
        <w:t>Revenue relates to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reflect limited market access since commercial launch in July 2022. The revenues are net of rebates, chargebacks, discounts, and other adjustments. During the fourth quarter of 2022, we began contracting directly with intermediaries such as GPOs.</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02"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Cost of goods sold primarily relates to the costs of producing, packaging, and delivering our product to customers, as well as costs related to excess or obsolete inventory.</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89"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Our research and development expenses reflect costs associated with the identification of our preclinical and clinical product candidates. Expenditures primarily consist of salary, benefits and non-cash stock-based compensation for our research and development personnel, costs incurred under agreements with contract research organizations and sites that conduct our non-clinical studies and clinical trials, costs of outside consultants engaged in research and development activities, travel expenses, the cost of acquiring, developing and manufacturing preclinical and clinical trial materials and lab supplies, and depreciation and other expenses. Payments to BioXcel LLC are also included in research and development expenses. Costs associated with third parties that provide non-clinical services such as toxicology, pharmacology, research and discovery, biomarker studies and similar services are included in the professional fees category of research and development expenses.</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expense research and development costs as incurred.</w:t>
      </w:r>
    </w:p>
    <w:p>
      <w:pPr>
        <w:spacing w:after="0" w:line="185" w:lineRule="exact"/>
        <w:rPr>
          <w:sz w:val="20"/>
          <w:szCs w:val="20"/>
          <w:color w:val="auto"/>
        </w:rPr>
      </w:pPr>
    </w:p>
    <w:p>
      <w:pPr>
        <w:ind w:left="60" w:right="699" w:firstLine="324"/>
        <w:spacing w:after="0" w:line="282" w:lineRule="auto"/>
        <w:rPr>
          <w:sz w:val="20"/>
          <w:szCs w:val="20"/>
          <w:color w:val="auto"/>
        </w:rPr>
      </w:pPr>
      <w:r>
        <w:rPr>
          <w:rFonts w:ascii="Times New Roman" w:cs="Times New Roman" w:eastAsia="Times New Roman" w:hAnsi="Times New Roman"/>
          <w:sz w:val="18"/>
          <w:szCs w:val="18"/>
          <w:color w:val="auto"/>
        </w:rPr>
        <w:t>Our research and development costs by program for the three months ended March 31, 2026 and 2025 were as follows: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9"/>
        </w:trPr>
        <w:tc>
          <w:tcPr>
            <w:tcW w:w="6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 external costs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61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BXCL501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0" w:type="dxa"/>
            <w:vAlign w:val="bottom"/>
          </w:tcPr>
          <w:p>
            <w:pPr>
              <w:spacing w:after="0"/>
              <w:rPr>
                <w:sz w:val="1"/>
                <w:szCs w:val="1"/>
                <w:color w:val="auto"/>
              </w:rPr>
            </w:pPr>
          </w:p>
        </w:tc>
      </w:tr>
      <w:tr>
        <w:trPr>
          <w:trHeight w:val="216"/>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BXCL701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research and development programs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direct external costs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personnel costs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09"/>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 direct costs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costs and overhead</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0"/>
        </w:trPr>
        <w:tc>
          <w:tcPr>
            <w:tcW w:w="6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24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2" w:lineRule="exact"/>
        <w:rPr>
          <w:sz w:val="20"/>
          <w:szCs w:val="20"/>
          <w:color w:val="auto"/>
        </w:rPr>
      </w:pPr>
    </w:p>
    <w:p>
      <w:pPr>
        <w:jc w:val="center"/>
        <w:ind w:left="40" w:right="479"/>
        <w:spacing w:after="0" w:line="312" w:lineRule="auto"/>
        <w:rPr>
          <w:sz w:val="20"/>
          <w:szCs w:val="20"/>
          <w:color w:val="auto"/>
        </w:rPr>
      </w:pPr>
      <w:r>
        <w:rPr>
          <w:rFonts w:ascii="Times New Roman" w:cs="Times New Roman" w:eastAsia="Times New Roman" w:hAnsi="Times New Roman"/>
          <w:sz w:val="17"/>
          <w:szCs w:val="17"/>
          <w:color w:val="auto"/>
        </w:rPr>
        <w:t>Selling, general and administrative expenses primarily consist of salaries, benefits and non-cash stock-based compensation for our sales, executive and administrative personnel. Selling, general and administrative expenses also</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9" w:lineRule="auto"/>
        <w:rPr>
          <w:sz w:val="20"/>
          <w:szCs w:val="20"/>
          <w:color w:val="auto"/>
        </w:rPr>
      </w:pPr>
      <w:r>
        <w:rPr>
          <w:rFonts w:ascii="Times New Roman" w:cs="Times New Roman" w:eastAsia="Times New Roman" w:hAnsi="Times New Roman"/>
          <w:sz w:val="17"/>
          <w:szCs w:val="17"/>
          <w:color w:val="auto"/>
        </w:rPr>
        <w:t>include legal expenses to pursue patent protection of our intellectual property and other corporate matters, professional fees for audit and tax services and insurance charges. We may also incur increased costs to comply with corporate governance, internal controls, investor relations and disclosures and similar requirements applicable to public companies.</w:t>
      </w:r>
    </w:p>
    <w:p>
      <w:pPr>
        <w:spacing w:after="0" w:line="131" w:lineRule="exact"/>
        <w:rPr>
          <w:sz w:val="20"/>
          <w:szCs w:val="20"/>
          <w:color w:val="auto"/>
        </w:rPr>
      </w:pPr>
    </w:p>
    <w:p>
      <w:pPr>
        <w:ind w:left="60" w:right="139" w:firstLine="324"/>
        <w:spacing w:after="0" w:line="230" w:lineRule="auto"/>
        <w:rPr>
          <w:sz w:val="20"/>
          <w:szCs w:val="20"/>
          <w:color w:val="auto"/>
        </w:rPr>
      </w:pPr>
      <w:r>
        <w:rPr>
          <w:rFonts w:ascii="Times New Roman" w:cs="Times New Roman" w:eastAsia="Times New Roman" w:hAnsi="Times New Roman"/>
          <w:sz w:val="18"/>
          <w:szCs w:val="18"/>
          <w:color w:val="auto"/>
        </w:rPr>
        <w:t>As a result of our Clinical Reprioritization, we expect that our selling, general and administrative expenses will decline due to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’s restructured commercialization plan and reduced personnel costs. However, we may also experience increased selling, general and administrative expenses due to higher fees for outside consultants, attorneys, and accountants.</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189"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During both 2023 and 2024 the Company took multiple steps to reduce its headcount curtail expenses and focus on its clinical development efforts, collectively referred to as its Clinical Reprioritization.</w:t>
      </w:r>
    </w:p>
    <w:p>
      <w:pPr>
        <w:spacing w:after="0" w:line="162"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As an on-going part of the Clinical Reprioritization, on April 8, 2025, the Board unanimously approved (i) the payment of a retention bonus to all non-executive employees in the total aggregate amount of $1,522, to be paid in two equal installments and (ii) the issuance of 66 RSUs which fully vest on the one-year anniversary of the grant date. The first installment of the retention bonus was paid on April 30, 2025 and the second installment was paid on September 30, 2025. Each such installment payment was subject to the applicable employee’s continued employment through December 31, 2025.</w:t>
      </w:r>
    </w:p>
    <w:p>
      <w:pPr>
        <w:spacing w:after="0" w:line="187"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On September 16, 2025, the Company dissolved its operations in the Czech Republic and paid $194 in closure related expenses during the third quarter of 2025.</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02" w:lineRule="exact"/>
        <w:rPr>
          <w:sz w:val="20"/>
          <w:szCs w:val="20"/>
          <w:color w:val="auto"/>
        </w:rPr>
      </w:pPr>
    </w:p>
    <w:p>
      <w:pPr>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Other (income) expense primarily consists of interest costs associated with the Credit Agreement the Company entered into in April 2022, changes in fair value of derivative financial instruments, and interest income earned on cash and cash equivalents that were comprised primarily of money market funds.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89"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is set forth in Note 3 to the condensed consolidated financial statements included elsewhere in this Quarterly Report.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2026 and 2025</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94" w:lineRule="exact"/>
        <w:rPr>
          <w:sz w:val="20"/>
          <w:szCs w:val="20"/>
          <w:color w:val="auto"/>
        </w:rPr>
      </w:pPr>
    </w:p>
    <w:p>
      <w:pPr>
        <w:ind w:left="60" w:right="139" w:firstLine="324"/>
        <w:spacing w:after="0" w:line="214" w:lineRule="auto"/>
        <w:rPr>
          <w:sz w:val="20"/>
          <w:szCs w:val="20"/>
          <w:color w:val="auto"/>
        </w:rPr>
      </w:pPr>
      <w:r>
        <w:rPr>
          <w:rFonts w:ascii="Times New Roman" w:cs="Times New Roman" w:eastAsia="Times New Roman" w:hAnsi="Times New Roman"/>
          <w:sz w:val="18"/>
          <w:szCs w:val="18"/>
          <w:color w:val="auto"/>
        </w:rPr>
        <w:t>Commercial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launched in July 2022. As part of the Company’s Clinical Reprioritization, the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commercial team shifted focus to a hospital/contracting strategy with a Corporate Account Director (“CAD”) team. The goal of the realigned CAD team is to work with large hospital/Integrated Delivery Network (“IDN”) and drive sales utilizing a top-down approach, allowing the Company to continue to make inroads into the institutional market in a more cost-efficient manner.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 revenue, net was $206 and $168 in the three months ended March 31, 2026 and 2025, respectively. The increase in sales was primarily the result of increased gross volume due to deeper GPO discounts that went into effect at the end of the first quarter of 2025.</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Cost of goods sold for the three months ended March 31, 2026 and 2025, were $283 and $14, respectively.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increase in Cost of goods sold for the three months ended March 31, 2026 is the result of higher charges for reserves for</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excess or obsolete inventory compared to the same period in 2025. Charges for reserves for excess or obsolete inventory were $265 and $0 in the three months ended March 31, 2026 and 2025, respectively.</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2026 and 2025 were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16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4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(217)</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(237)</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trials expense</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(1,635)</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Chemical, manufacturing and controls cost</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The overall decrease of $1,599 for the three months ended March 31, 2026 relative to the same period in 2025 was primarily attributable to:</w:t>
      </w:r>
    </w:p>
    <w:p>
      <w:pPr>
        <w:spacing w:after="0" w:line="135" w:lineRule="exact"/>
        <w:rPr>
          <w:sz w:val="20"/>
          <w:szCs w:val="20"/>
          <w:color w:val="auto"/>
        </w:rPr>
      </w:pPr>
    </w:p>
    <w:p>
      <w:pPr>
        <w:ind w:left="720" w:right="399" w:hanging="319"/>
        <w:spacing w:after="0" w:line="261"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clinical trials expense due to the completion of (i) the SERENITY At-Home pivotal Phase 3 safety trial in 2025 and (ii) the accompanying correlation study that compared caretaker agitation severity measurements to trained rater measurements in 2025. There were no studies initiated during the three months ended March 31, 2026.</w:t>
      </w:r>
    </w:p>
    <w:p>
      <w:pPr>
        <w:spacing w:after="0" w:line="13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personnel and related costs as a result of lower headcount.</w:t>
      </w:r>
    </w:p>
    <w:p>
      <w:pPr>
        <w:spacing w:after="0" w:line="184" w:lineRule="exact"/>
        <w:rPr>
          <w:rFonts w:ascii="Times New Roman" w:cs="Times New Roman" w:eastAsia="Times New Roman" w:hAnsi="Times New Roman"/>
          <w:sz w:val="18"/>
          <w:szCs w:val="18"/>
          <w:color w:val="auto"/>
        </w:rPr>
      </w:pPr>
    </w:p>
    <w:p>
      <w:pPr>
        <w:ind w:left="720" w:right="259" w:hanging="319"/>
        <w:spacing w:after="0" w:line="266"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non-cash stock compensation costs as a result of reversals in accelerated stock compensation expense for employees terminated in the first quarter of 2025 resulting in a net $514 decrease, partially offset by lower headcount.</w:t>
      </w:r>
    </w:p>
    <w:p>
      <w:pPr>
        <w:spacing w:after="0" w:line="148"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professional fees due to lower pharmacology costs, research and discovery costs, toxicology, and consulting costs.</w:t>
      </w:r>
    </w:p>
    <w:p>
      <w:pPr>
        <w:spacing w:after="0" w:line="121" w:lineRule="exact"/>
        <w:rPr>
          <w:rFonts w:ascii="Times New Roman" w:cs="Times New Roman" w:eastAsia="Times New Roman" w:hAnsi="Times New Roman"/>
          <w:sz w:val="18"/>
          <w:szCs w:val="18"/>
          <w:color w:val="auto"/>
        </w:rPr>
      </w:pPr>
    </w:p>
    <w:p>
      <w:pPr>
        <w:ind w:left="720" w:right="71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chemistry, manufacturing and controls (“CMC”) costs as the Company worked to produce new finished goods inventory.</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other expenses in conjunction with reduced clinical trial activity.</w:t>
      </w:r>
    </w:p>
    <w:p>
      <w:pPr>
        <w:spacing w:after="0" w:line="190" w:lineRule="exact"/>
        <w:rPr>
          <w:sz w:val="20"/>
          <w:szCs w:val="20"/>
          <w:color w:val="auto"/>
        </w:rPr>
      </w:pPr>
    </w:p>
    <w:p>
      <w:pPr>
        <w:ind w:left="60" w:right="359" w:firstLine="324"/>
        <w:spacing w:after="0" w:line="217" w:lineRule="auto"/>
        <w:rPr>
          <w:sz w:val="20"/>
          <w:szCs w:val="20"/>
          <w:color w:val="auto"/>
        </w:rPr>
      </w:pPr>
      <w:r>
        <w:rPr>
          <w:rFonts w:ascii="Times New Roman" w:cs="Times New Roman" w:eastAsia="Times New Roman" w:hAnsi="Times New Roman"/>
          <w:sz w:val="18"/>
          <w:szCs w:val="18"/>
          <w:color w:val="auto"/>
        </w:rPr>
        <w:t>Following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’s approval by the FDA, we capitalize costs related to commercial production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as inventory and expense those CMC costs related to clinical trials.</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Selling, general and administrative expenses for the three months ended March 31, 2026 and 2025 were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Borders>
              <w:bottom w:val="single" w:sz="8" w:color="auto"/>
            </w:tcBorders>
          </w:tcPr>
          <w:p>
            <w:pPr>
              <w:spacing w:after="0"/>
              <w:rPr>
                <w:sz w:val="15"/>
                <w:szCs w:val="15"/>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86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2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(338)</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marketing</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16"/>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7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9"/>
        </w:trPr>
        <w:tc>
          <w:tcPr>
            <w:tcW w:w="4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7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The overall increase of $1,492 for the three months ended March 31, 2026, relative to the same period in 2025 was primarily attributable to:</w:t>
      </w:r>
    </w:p>
    <w:p>
      <w:pPr>
        <w:spacing w:after="0" w:line="121" w:lineRule="exact"/>
        <w:rPr>
          <w:sz w:val="20"/>
          <w:szCs w:val="20"/>
          <w:color w:val="auto"/>
        </w:rPr>
      </w:pPr>
    </w:p>
    <w:p>
      <w:pPr>
        <w:ind w:left="720" w:right="15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professional fees, primarily related to higher legal costs and consulting fees for the three months ended March 31, 2026 compared to 2025.</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non-cash stock compensation costs as a result of lower headcount.</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commercial and marketing expense.</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02"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Interest expense increased to $4,198 for the three months ended March 31, 2026 from $3,993 in the same period in 2025 primarily due to higher debt balances under the Credit Agreement. The expense was partially offset by lower interest income earned on lower levels of cash and cash equivalents that were held primarily in short-term money market funds. Interest income decreased to $211 for the three months ended March 31, 2026 compared to $279 for three months ended March 31, 2025, due to lower average cash balances during the year. Other (income) expense, net is primarily associated with changes in fair value of derivative financial instruments for the period, which relate to instruments associated with the Credit Agreement and the Company’s registered direct equity offerings.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8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that inflation has had a material effect on our results of operations during the periods presented. For a discussion of inflationary risks to our future revenues under the Inflation Reduction Act, see “</w:t>
      </w:r>
      <w:r>
        <w:rPr>
          <w:rFonts w:ascii="Times New Roman" w:cs="Times New Roman" w:eastAsia="Times New Roman" w:hAnsi="Times New Roman"/>
          <w:sz w:val="18"/>
          <w:szCs w:val="18"/>
          <w:i w:val="1"/>
          <w:iCs w:val="1"/>
          <w:color w:val="auto"/>
        </w:rPr>
        <w:t>Health care reform measures could hinder or prevent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 candidates’ commercial success.</w:t>
      </w:r>
      <w:r>
        <w:rPr>
          <w:rFonts w:ascii="Times New Roman" w:cs="Times New Roman" w:eastAsia="Times New Roman" w:hAnsi="Times New Roman"/>
          <w:sz w:val="18"/>
          <w:szCs w:val="18"/>
          <w:color w:val="auto"/>
        </w:rPr>
        <w:t>” in Part II, Item 1A, “Risk Factors” elsewhere in this Quarterly Report.</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March 31, 2026, we had cash, cash equivalents and restricted cash of $17,180, negative working capital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$21,086 and stockholders’ deficit of $105,543. Net cash used in operating activities was $11,809 and $12,043 for the three</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months ended March 31, 2026 and 2025, respectively. We incurred losses of approximately $12,691 and $7,254 for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three months ended March 31, 2026 and 2025, respectively. We will need to generate significant product revenues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achieve profitability. Our history of significant losses, negative cash flows from operations, potential near-term increased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covenant-driven amortization payments or full repayment obligations under our Credit Agreement, the regulatory event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default triggers under the Credit Agreement, other funding requirement covenants under the Credit Agreement, limited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liquidity resources currently on hand, and dependence on our ability to obtain additional financing to fund our operations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after the current resources are exhausted, about which there can be no certainty, have resulted in management’s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assessment that there is substantial doubt about our ability to continue as a going concern for a period of at least 12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months from the issuance date of the financial statements included in this Quarterly Report.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Successful completion of the Company’s development programs and, ultimately, the attainment of profitable operations are dependent upon future events, including obtaining adequate financing to support the Company’s cost structure and operating plan. Management’s plans to improve the Company’s liquidity and reduce its operating expenses and capital requirements include, among other things, pursuing one or more of the following steps to raise additional capital, none of which can be guaranteed or are entirely within the Company’s control:</w:t>
      </w:r>
    </w:p>
    <w:p>
      <w:pPr>
        <w:spacing w:after="0" w:line="156" w:lineRule="exact"/>
        <w:rPr>
          <w:sz w:val="20"/>
          <w:szCs w:val="20"/>
          <w:color w:val="auto"/>
        </w:rPr>
      </w:pPr>
    </w:p>
    <w:p>
      <w:pPr>
        <w:ind w:left="1340" w:hanging="642"/>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the sale of the Company’s equity securities;</w:t>
      </w:r>
    </w:p>
    <w:p>
      <w:pPr>
        <w:spacing w:after="0" w:line="27"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third-party investments in or other strategic options for OnkosXcel;</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debt financing and/or restructuring of its existing Credit Agreement;</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partners to advance the Company’s product pipeline;</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marketing partners;</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overhead and headcount to focus on core priorities, and/or</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07"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 xml:space="preserve">To date, we have continued research and development activities while managing our cash position. However, we require additional funding to continue as a going concern. There are no assurances that we will be successful in obtaining an adequate level of financing as and when needed to finance our operations on terms acceptable to us or at all, particularly when there is market uncertainty or an economic downturn or if other events make investment in our securities less appealing. If we are unable to secure adequate additional funding as and when needed on acceptable or commercially reasonable terms, we may have to significantly delay, scale back or discontinue the development and commercialization of one or more product candidates. In addition, there are various macro-economic trends affecting the financing markets whose impact on our liquidity and future funding requirements are uncertain as of the filing date of this Quarterly Report. We will need substantial additional funding, and if we are unable to raise capital when needed, we could be compelled to pursue alternative options, including, without limitation, implementing further workforce reductions, reducing or ceasing product development programs and advancement of our clinical trials and product candidates, selling our assets or seeking other strategic alternatives. Our board of directors is evaluating a range of strategic options to maximize shareholder value and advance the commercial and development plans for IGALMI, which may include, but are not limited to, a sale of the Company, a merger or other business combination, a collaboration, joint venture, royalty or license agreement of all or a portion of our assets, a recapitalization or other financing transaction, or continued execution of our standalone operating plan. We have not made a decision to pursue any specific transaction or strategic option, no set timetable has been established for the completion of this process, and there can be no assurance that the process will result in any transaction or other particular outcome. See “Risks Related to Financial Position and Need for Additional Capital — </w:t>
      </w:r>
      <w:r>
        <w:rPr>
          <w:rFonts w:ascii="Times New Roman" w:cs="Times New Roman" w:eastAsia="Times New Roman" w:hAnsi="Times New Roman"/>
          <w:sz w:val="18"/>
          <w:szCs w:val="18"/>
          <w:i w:val="1"/>
          <w:iCs w:val="1"/>
          <w:color w:val="auto"/>
        </w:rPr>
        <w:t>We will need substantial additional funding, and if we are unable to raise capital when needed, we could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forced to delay, reduce or eliminate our product development programs or commercialization efforts or otherwise seek strategic alternatives.</w:t>
      </w:r>
      <w:r>
        <w:rPr>
          <w:rFonts w:ascii="Times New Roman" w:cs="Times New Roman" w:eastAsia="Times New Roman" w:hAnsi="Times New Roman"/>
          <w:sz w:val="18"/>
          <w:szCs w:val="18"/>
          <w:color w:val="auto"/>
        </w:rPr>
        <w:t>” in Part II. Item 1A., “Risk Factors” elsewhere in this Quarterly Report.</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189" w:lineRule="exact"/>
        <w:rPr>
          <w:sz w:val="20"/>
          <w:szCs w:val="20"/>
          <w:color w:val="auto"/>
        </w:rPr>
      </w:pPr>
    </w:p>
    <w:p>
      <w:pPr>
        <w:ind w:left="60" w:right="279" w:firstLine="324"/>
        <w:spacing w:after="0" w:line="238" w:lineRule="auto"/>
        <w:rPr>
          <w:sz w:val="20"/>
          <w:szCs w:val="20"/>
          <w:color w:val="auto"/>
        </w:rPr>
      </w:pPr>
      <w:r>
        <w:rPr>
          <w:rFonts w:ascii="Times New Roman" w:cs="Times New Roman" w:eastAsia="Times New Roman" w:hAnsi="Times New Roman"/>
          <w:sz w:val="18"/>
          <w:szCs w:val="18"/>
          <w:color w:val="auto"/>
        </w:rPr>
        <w:t>We have primarily focused our efforts on raising capital and building the products in our pipeline, and, although we generate revenue from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do not expect to generate positive cash flows from operations in the near term. Since our inception, our operations have been financed primarily from proceeds from the sale of equity securities, including our initial public offering, private placements of our common stock, registered offerings of our common stock, an Equity Distribution Agreement with Canaccord Genuity LLC (“Canaccord”), and borrowings under our Credit Agreement (as described below). We have not yet established an ongoing source of revenue sufficient to cover our operating costs and will need to do so in future periods.</w:t>
      </w:r>
    </w:p>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Financing Agreements</w:t>
      </w:r>
    </w:p>
    <w:p>
      <w:pPr>
        <w:spacing w:after="0" w:line="202" w:lineRule="exact"/>
        <w:rPr>
          <w:sz w:val="20"/>
          <w:szCs w:val="20"/>
          <w:color w:val="auto"/>
        </w:rPr>
      </w:pPr>
    </w:p>
    <w:p>
      <w:pPr>
        <w:ind w:left="60" w:right="279" w:firstLine="324"/>
        <w:spacing w:after="0" w:line="236" w:lineRule="auto"/>
        <w:rPr>
          <w:sz w:val="20"/>
          <w:szCs w:val="20"/>
          <w:color w:val="auto"/>
        </w:rPr>
      </w:pPr>
      <w:r>
        <w:rPr>
          <w:rFonts w:ascii="Times New Roman" w:cs="Times New Roman" w:eastAsia="Times New Roman" w:hAnsi="Times New Roman"/>
          <w:sz w:val="18"/>
          <w:szCs w:val="18"/>
          <w:color w:val="auto"/>
        </w:rPr>
        <w:t>On April 19, 2022, we entered into two financing agreements: the Credit Agreement and the RIFA. Pursuant to the Credit Agreement, the Lenders originally agreed to provide up to $135,000 in senior secured term loans to us. On April 28, 2022, we borrowed the first $70,000 tranche of loans under the Credit Agreement. Pursuant to the RIFA, the Purchasers agreed to provide us with up to $120,000 in financing for our near-term commercial activities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development and commercialization of BXCL501 and other general corporate purposes. On July 8, 2022, we drew down the first tranche of $30,000 under the RIFA. In connection with the Credit Agreement, we granted to the Lenders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hanging="10"/>
        <w:spacing w:after="0" w:line="266" w:lineRule="auto"/>
        <w:tabs>
          <w:tab w:leader="none" w:pos="2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up to 17 shares of our common stock (the “Closing Date Warrants”), (ii) rights to purchase up to $5,000 of our common stock and (iii) warrants to purchase up to 175 individual ownership units (i.e., not in thousands) in OnkosXcel (the “OnkosXcel Warrants”).</w:t>
      </w:r>
    </w:p>
    <w:p>
      <w:pPr>
        <w:spacing w:after="0" w:line="14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On November 13, 2023, we, the Lenders and OFA entered into a Waiver and First Amendment to Credit Agreement and Guaranty (the “First Amendment”) that provided for, among other things, a waiver and a modification to the covenant in the Credit Agreement regarding investments in OnkosXcel, pursuant to which we were permitted to invest up to a maximum of $30,000 at any time outstanding in OnkosXcel, increased from the $25,000 at any time outstanding. The First Amendment waived any defaults or events of default arising under the Credit Agreement due to a breach prior to the date of the First Amendment of the OnkosXcel investment covenant, or a breach of our obligation to notify OFA of such default, including our investment in an amount in excess of what was previously permitted under the OnkosXcel investment covenant. In connection with the First Amendment, we paid to the Lenders a fee of $180 (representing 0.25% of the loans outstanding under the Credit Agreement on the date of the First Amendment) and agreed to pay to the Lenders an exit fee equal to 0.25% of the loans under the Credit Agreement repaid upon maturity or prepayment of the loans.</w:t>
      </w:r>
    </w:p>
    <w:p>
      <w:pPr>
        <w:spacing w:after="0" w:line="151"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On December 5, 2023, we entered into the Second Amendment to Credit Agreement and Guaranty and Termination of Revenue Interest Financing Agreement (the “Second Amendment”) with the Lenders and OFA, as administrative agent. The Second Amendment terminated the RIFA and converted the financing previously provided to us thereunder to term loans under the Credit Agreement.</w:t>
      </w:r>
    </w:p>
    <w:p>
      <w:pPr>
        <w:spacing w:after="0" w:line="139"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The Second Amendment also modified the interest rate of the loans provided under the Credit Agreement to be a floating rate per annum equal to the secured overnight financing rate (“SOFR”) (subject to a SOFR floor of 2.5% and a cap of 5.5%) plus 7.5%.</w:t>
      </w:r>
    </w:p>
    <w:p>
      <w:pPr>
        <w:spacing w:after="0" w:line="149" w:lineRule="exact"/>
        <w:rPr>
          <w:sz w:val="20"/>
          <w:szCs w:val="20"/>
          <w:color w:val="auto"/>
        </w:rPr>
      </w:pPr>
    </w:p>
    <w:p>
      <w:pPr>
        <w:ind w:left="60" w:right="159" w:firstLine="324"/>
        <w:spacing w:after="0" w:line="277" w:lineRule="auto"/>
        <w:rPr>
          <w:sz w:val="20"/>
          <w:szCs w:val="20"/>
          <w:color w:val="auto"/>
        </w:rPr>
      </w:pPr>
      <w:r>
        <w:rPr>
          <w:rFonts w:ascii="Times New Roman" w:cs="Times New Roman" w:eastAsia="Times New Roman" w:hAnsi="Times New Roman"/>
          <w:sz w:val="17"/>
          <w:szCs w:val="17"/>
          <w:color w:val="auto"/>
        </w:rPr>
        <w:t>Following the Second Amendment, we were required to comply with certain covenants under the Credit Agreement, including a financial covenant that requires we maintain a minimum cash liquidity amount of $15,000 (or higher upon certain events) and a modified minimum revenue requirement measured on a quarterly basis based on the revenue attributable to BXCL501 for the six consecutive month period ending on the last day of the relevant quarter (the “Revenue Covenant”), subject to cure payments of not less than $1,000 if we failed to meet the minimum revenue requirement.</w:t>
      </w:r>
    </w:p>
    <w:p>
      <w:pPr>
        <w:spacing w:after="0" w:line="127"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closing of the Second Amendment, we amended and restated the Closing Date Warrants granted to the Lenders on April 19, 2022 to purchase up to 17 shares of the Company’s common stock at an exercise price of $320.64 per share. Pursuant to the amendment and restatement of the Closing Date Warrants, dated December 5, 2023 (the “Amended and Restated Closing Date Warrants”), the exercise price of the Closing Date Warrants was reduced to $58.3232 per share, which represented the arithmetic average of the volume-weighted average price of the Company’s common stock on the Nasdaq Capital Market during the 30 trading days preceding the Second Amendment Effective Date. In addition, the Company granted new warrants to the Lenders to purchase up to 4 shares of the Company’s common stock (the “2023 Warrant Shares”) at an exercise price of $58.3232 per share (the “2023 Warrants”). The Amended and Restated Closing Date Warrants and the 2023 Warrants will expire on April 19, 2029 and may be net exercised at the holder’s election.</w:t>
      </w:r>
    </w:p>
    <w:p>
      <w:pPr>
        <w:spacing w:after="0" w:line="154"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On February 12, 2024 (the “Third Amendment Effective Date”), we entered into the Third Amendment to Credit Agreement and Guaranty (the “Third Amendment”), pursuant to which the Lenders agreed to waive the covenant that we shall not receive a report and opinion from our independent auditors that contains a “going concern” or like qualification or exception or emphasis of matter of going concern footnote with respect to our financial statements for the fiscal year ended December 31, 2023 and, as a result, such event shall not be an event of default. As a condition to the effectiveness of the Third Amendment, among other things, we shall have received at least $40,000 in gross proceeds from a registered public sale of the Company’s common stock, warrants and/or pre-funded warrants on or before February 20, 2024. We did not meet this condition and therefore the Third Amendment did not become effective.</w:t>
      </w:r>
    </w:p>
    <w:p>
      <w:pPr>
        <w:spacing w:after="0" w:line="165" w:lineRule="exact"/>
        <w:rPr>
          <w:sz w:val="20"/>
          <w:szCs w:val="20"/>
          <w:color w:val="auto"/>
        </w:rPr>
      </w:pPr>
    </w:p>
    <w:p>
      <w:pPr>
        <w:ind w:left="60" w:right="479" w:firstLine="324"/>
        <w:spacing w:after="0" w:line="312" w:lineRule="auto"/>
        <w:rPr>
          <w:sz w:val="20"/>
          <w:szCs w:val="20"/>
          <w:color w:val="auto"/>
        </w:rPr>
      </w:pPr>
      <w:r>
        <w:rPr>
          <w:rFonts w:ascii="Times New Roman" w:cs="Times New Roman" w:eastAsia="Times New Roman" w:hAnsi="Times New Roman"/>
          <w:sz w:val="17"/>
          <w:szCs w:val="17"/>
          <w:color w:val="auto"/>
        </w:rPr>
        <w:t>On March 20, 2024, we entered into the Fourth Amendment to the Credit Agreement (“the Fourth Amendment”), pursuant to which the Lenders waived the Credit Agreement’s covenant that the report and opinion the Company</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received from its independent registered public accounting firm with respect to the financial statements for the year ending December 31, 2023 not contain a “going concern” or similar qualification.</w:t>
      </w:r>
    </w:p>
    <w:p>
      <w:pPr>
        <w:spacing w:after="0" w:line="135"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The Fourth Amendment included covenants that we receive, (i) after the effective date of the Fourth Amendment and on or before April 15, 2024, at least $25,000 in gross proceeds from the issuance of our common stock, warrants and/or pre-funded warrants, and/or in non-refundable cash consideration from partnering transactions entered into after the effective date of the Fourth Amendment (so long as such partnering transactions would not require us or any of our subsidiaries to make any cash investments in connection with the partnering transactions and no such cash investments are made), and (ii) after the effective date of the Fourth Amendment and on or before November 30, 2024, at least $50,000 (for the avoidance of doubt, inclusive of amounts previously counted toward the preceding clause (i)) in gross proceeds from the issuance of our common stock, warrants and/or pre-funded warrants, and/or in cash and/or non-cash consideration (measured at fair market value, as determined by the Administrative Agent (as defined in the Credit Agreement) in its sole discretion ) from partnering transactions entered into after the effective date of the Fourth Amendment. Failure to perform this covenant would constitute (A) a default under the Credit Agreement and (B) an event of default under the Credit Agreement, subject to a cure period, in the case of clause (i) of the preceding sentence, until May 15, 2024 (for the avoidance of doubt, failure to perform clause (ii) would constitute an immediate event of default under the Credit Agreement without any cure or grace period).</w:t>
      </w:r>
    </w:p>
    <w:p>
      <w:pPr>
        <w:spacing w:after="0" w:line="157"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In addition, the Fourth Amendment provided that if we had not, after the Effective Date and on or before September 30, 2024, received at least $40,000 in gross proceeds from the issuance of our common stock, warrants and/or pre-funded warrants, and/or cash and/or non-cash consideration (measured at fair market value, as determined by the Administrative Agent in its sole discretion) from partnering transactions entered into after the effective date of the Fourth Amendment, the “Minimum Liquidity Amount” (as defined in the Credit Agreement) that we are required to maintain at all times will increase to $25,000 from $15,000, unless and until we had received, after the effective date of the Fourth Amendment and on or before November 30, 2024, at least $50,000 in gross proceeds from the issuance of our common stock, warrants and/or pre-funded warrants, and/or in cash and/or non-cash consideration (measured at fair market value, as determined by the Administrative Agent in its sole discretion) from partnering transactions entered into after the effective date of the Fourth Amendment.</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connection with the Fourth Amendment, on the effective date of the Fourth Amendment, we granted new warrants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Lenders to purchase up to 6 shares of our common stock (the “2024 Warrant Shares”) at an exercise price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$49.1568 per share (the “2024 Warrants”), which represents a 10% premium over the arithmetic average of the volume-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weighted average price of our common stock on the Nasdaq Capital Market during the 30 trading days preceding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Effective Date. The 2024 Warrants will expire on April 19, 2029 and may be net exercised at the holder’s election.</w:t>
      </w:r>
    </w:p>
    <w:p>
      <w:pPr>
        <w:spacing w:after="0" w:line="180" w:lineRule="exact"/>
        <w:rPr>
          <w:sz w:val="20"/>
          <w:szCs w:val="20"/>
          <w:color w:val="auto"/>
        </w:rPr>
      </w:pPr>
    </w:p>
    <w:p>
      <w:pPr>
        <w:jc w:val="both"/>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On November 21, 2024, the Company entered into the Fifth Amendment to Credit Agreement and Guaranty and First Amendment to Fourth Amendment to Credit Agreement and Guaranty (the “Fifth Amendment”).</w:t>
      </w:r>
    </w:p>
    <w:p>
      <w:pPr>
        <w:spacing w:after="0" w:line="162" w:lineRule="exact"/>
        <w:rPr>
          <w:sz w:val="20"/>
          <w:szCs w:val="20"/>
          <w:color w:val="auto"/>
        </w:rPr>
      </w:pPr>
    </w:p>
    <w:p>
      <w:pPr>
        <w:jc w:val="both"/>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Pursuant to the Fifth Amendment, the Lenders agreed to, among other things, (i) waive the Credit Agreement’s covenant that the report and opinion the Company will receive from its independent registered public accounting firm with respect to the financial statements for the year ending December 31, 2024 will not contain a “going concern” or similar qualification, (ii) permanently waive the Credit Agreement’s minimum revenue covenant, and (iii) waive the Fourth Amendment’s requirement that the Company raise, after the effective date of the Fourth Amendment and on or before November 30, 2024, at least $50,000 in gross cash proceeds from the issuance of its common stock, warrants, and/or pre-funded warrants, and/or in cash and/or non-cash consideration from newly entered-into partnering transactions.</w:t>
      </w:r>
    </w:p>
    <w:p>
      <w:pPr>
        <w:spacing w:after="0" w:line="189" w:lineRule="exact"/>
        <w:rPr>
          <w:sz w:val="20"/>
          <w:szCs w:val="20"/>
          <w:color w:val="auto"/>
        </w:rPr>
      </w:pPr>
    </w:p>
    <w:p>
      <w:pPr>
        <w:jc w:val="both"/>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Fifth Amendment included a new capital raising covenant requiring that the Company receive (A) after the effective date of the Fifth Amendment and on or prior to November 27, 2024, at least $7,000 in gross cash proceeds from the issuance of the Company’s common stock, warrants and/or pre-funded warrants(“Raise 1”), (B) after the effective date of the Fifth Amendment and on or before March 15, 2025 (provided that the Company was required to use its commercially reasonable efforts to satisfy the requirement by February 15, 2025), at least $18,000 in net cash proceeds (including the proceeds of Raise 1) from (i) the issuance of the Company’s common stock, warrants and/or pre-funded warrants, (ii) non-refundable cash consideration from partnering transactions entered into after the effective date of the Fifth Amendment (so long as such partnering transactions would not require the Company or any of its subsidiaries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spacing w:after="0" w:line="255" w:lineRule="auto"/>
        <w:rPr>
          <w:sz w:val="20"/>
          <w:szCs w:val="20"/>
          <w:color w:val="auto"/>
        </w:rPr>
      </w:pPr>
      <w:r>
        <w:rPr>
          <w:rFonts w:ascii="Times New Roman" w:cs="Times New Roman" w:eastAsia="Times New Roman" w:hAnsi="Times New Roman"/>
          <w:sz w:val="18"/>
          <w:szCs w:val="18"/>
          <w:color w:val="auto"/>
        </w:rPr>
        <w:t>make any cash investments in connection with the partnering transactions and no such cash investments are made), (iii) the issuance of the Company’s subordinated debt (subject to terms set forth in the Fifth Amendment), and/or (iv) asset sales permitted pursuant to the Credit Agreement or consented to by the Lenders (such capital raise, “Raise 2”), and (C) after the effective date of the Fifth Amendment and on or prior to the earlier of (x) August 15, 2025 and (y) the date that is 30 days after the final data readout of the SERENITY At-Home Phase 3 trial, at least $29,000 in net cash proceeds (including the proceeds from Raise 1 and Raise 2) from the same permitted capital raising activities listed in the preceding clause (B) (“Raise 3”). The Company has raised sufficient net proceeds to date to satisfy this requirement.</w:t>
      </w:r>
    </w:p>
    <w:p>
      <w:pPr>
        <w:spacing w:after="0" w:line="189" w:lineRule="exact"/>
        <w:rPr>
          <w:sz w:val="20"/>
          <w:szCs w:val="20"/>
          <w:color w:val="auto"/>
        </w:rPr>
      </w:pPr>
    </w:p>
    <w:p>
      <w:pPr>
        <w:jc w:val="both"/>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Fifth Amendment and the required capital raises described in the preceding paragraph, the Lenders agreed to modify the Credit Agreement’s minimum liquidity covenant to require minimum cash liquidity of $7,500 (instead of $25,000) from and after the closing of Raise 1 until March 30, 2025. On March 31, 2025, the minimum liquidity amount increased to $10,000 and on September 30, 2025, the minimum liquidity amount increased to $15,000.</w:t>
      </w:r>
    </w:p>
    <w:p>
      <w:pPr>
        <w:spacing w:after="0" w:line="180"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Fifth Amendment, the Company made the required one-time amortization payment of $2,500 principal amount, together with accrued and unpaid interest and a portion of the prepayment fee and other fees payable by December 31, 2024.</w:t>
      </w:r>
    </w:p>
    <w:p>
      <w:pPr>
        <w:spacing w:after="0" w:line="176" w:lineRule="exact"/>
        <w:rPr>
          <w:sz w:val="20"/>
          <w:szCs w:val="20"/>
          <w:color w:val="auto"/>
        </w:rPr>
      </w:pPr>
    </w:p>
    <w:p>
      <w:pPr>
        <w:jc w:val="both"/>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Fifth Amendment also modified the interest rate of the loans provided under the Credit Agreement from a floating rate of Term SOFR plus 7.50% per annum, to a fixed rate of 13% per annum, retroactive to and effective as of September 30, 2024. For the quarterly payment dates </w:t>
      </w:r>
      <w:r>
        <w:rPr>
          <w:rFonts w:ascii="Times New Roman" w:cs="Times New Roman" w:eastAsia="Times New Roman" w:hAnsi="Times New Roman"/>
          <w:sz w:val="18"/>
          <w:szCs w:val="18"/>
          <w:color w:val="202020"/>
        </w:rPr>
        <w:t>ending December 31, 2024, March 31, 2025, and June 30, 2025, t</w:t>
      </w:r>
      <w:r>
        <w:rPr>
          <w:rFonts w:ascii="Times New Roman" w:cs="Times New Roman" w:eastAsia="Times New Roman" w:hAnsi="Times New Roman"/>
          <w:sz w:val="18"/>
          <w:szCs w:val="18"/>
          <w:color w:val="auto"/>
        </w:rPr>
        <w:t>he Company had the ability to make interest payments of up to 10% per annum “in-kind” by capitalizing and adding such interest to the outstanding principal amount of the loans under the Credit Agreement</w:t>
      </w:r>
      <w:r>
        <w:rPr>
          <w:rFonts w:ascii="Times New Roman" w:cs="Times New Roman" w:eastAsia="Times New Roman" w:hAnsi="Times New Roman"/>
          <w:sz w:val="18"/>
          <w:szCs w:val="18"/>
          <w:color w:val="202020"/>
        </w:rPr>
        <w:t>.</w:t>
      </w:r>
      <w:r>
        <w:rPr>
          <w:rFonts w:ascii="Times New Roman" w:cs="Times New Roman" w:eastAsia="Times New Roman" w:hAnsi="Times New Roman"/>
          <w:sz w:val="18"/>
          <w:szCs w:val="18"/>
          <w:color w:val="auto"/>
        </w:rPr>
        <w:t xml:space="preserve"> In addition, pursuant to the Fifth Amendment, the Company will be required to make quarterly amortization payments equal to 5.0% of the principal amount of funded loans, together with applicable prepayment fees, beginning on March 31, 2026.</w:t>
      </w:r>
    </w:p>
    <w:p>
      <w:pPr>
        <w:spacing w:after="0" w:line="189" w:lineRule="exact"/>
        <w:rPr>
          <w:sz w:val="20"/>
          <w:szCs w:val="20"/>
          <w:color w:val="auto"/>
        </w:rPr>
      </w:pPr>
    </w:p>
    <w:p>
      <w:pPr>
        <w:jc w:val="both"/>
        <w:ind w:left="60" w:right="139" w:firstLine="324"/>
        <w:spacing w:after="0" w:line="261" w:lineRule="auto"/>
        <w:rPr>
          <w:sz w:val="20"/>
          <w:szCs w:val="20"/>
          <w:color w:val="auto"/>
        </w:rPr>
      </w:pPr>
      <w:r>
        <w:rPr>
          <w:rFonts w:ascii="Times New Roman" w:cs="Times New Roman" w:eastAsia="Times New Roman" w:hAnsi="Times New Roman"/>
          <w:sz w:val="18"/>
          <w:szCs w:val="18"/>
          <w:color w:val="202020"/>
        </w:rPr>
        <w:t>On the effective date of the Fifth Amendment and as a condition to effectiveness thereof, the Company’s wholly owned subsidiaries OnkosXcel Therapeutics, LLC and OnkosXcel Employee Holdings, LLC (collectively, “OnkosXcel”), which previously provided unsecured guarantees of the Company’s obligations under the Credit Agreement, granted security interests in substantially all of their assets to support such obligations.</w:t>
      </w:r>
    </w:p>
    <w:p>
      <w:pPr>
        <w:spacing w:after="0" w:line="180"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202020"/>
        </w:rPr>
        <w:t>The Fifth Amendment amended the negative covenants under the Credit Agreement to remove flexibility the Company and its subsidiaries previously had thereunder to undertake various transactions, including, without limitation, with respect to potential dispositions of OnkosXcel or out-licenses by OnkosXcel of its intellectual property.</w:t>
      </w:r>
    </w:p>
    <w:p>
      <w:pPr>
        <w:spacing w:after="0" w:line="176" w:lineRule="exact"/>
        <w:rPr>
          <w:sz w:val="20"/>
          <w:szCs w:val="20"/>
          <w:color w:val="auto"/>
        </w:rPr>
      </w:pPr>
    </w:p>
    <w:p>
      <w:pPr>
        <w:jc w:val="both"/>
        <w:ind w:left="60" w:right="139" w:firstLine="324"/>
        <w:spacing w:after="0" w:line="256" w:lineRule="auto"/>
        <w:rPr>
          <w:sz w:val="20"/>
          <w:szCs w:val="20"/>
          <w:color w:val="auto"/>
        </w:rPr>
      </w:pPr>
      <w:r>
        <w:rPr>
          <w:rFonts w:ascii="Times New Roman" w:cs="Times New Roman" w:eastAsia="Times New Roman" w:hAnsi="Times New Roman"/>
          <w:sz w:val="18"/>
          <w:szCs w:val="18"/>
          <w:color w:val="202020"/>
        </w:rPr>
        <w:t>Pursuant to the Fifth Amendment, the Company committed to appoint a new independent board director (subject to customary background checks, applicable law, confirmation of independence and Nasdaq rules), and to provide the independent director with various privileges and committee memberships on the board of directors of the Company (including the appointment of such director on committee to be formed to focus on capital raising and evaluate strategic options). The Company also agreed to engage an investment banker reasonably acceptable to OFA and the Lenders to assist the Company and its board of directors with evaluating and exploring strategic options.</w:t>
      </w:r>
    </w:p>
    <w:p>
      <w:pPr>
        <w:spacing w:after="0" w:line="187" w:lineRule="exact"/>
        <w:rPr>
          <w:sz w:val="20"/>
          <w:szCs w:val="20"/>
          <w:color w:val="auto"/>
        </w:rPr>
      </w:pPr>
    </w:p>
    <w:p>
      <w:pPr>
        <w:jc w:val="both"/>
        <w:ind w:left="60" w:right="139" w:firstLine="324"/>
        <w:spacing w:after="0" w:line="255" w:lineRule="auto"/>
        <w:rPr>
          <w:sz w:val="20"/>
          <w:szCs w:val="20"/>
          <w:color w:val="auto"/>
        </w:rPr>
      </w:pPr>
      <w:r>
        <w:rPr>
          <w:rFonts w:ascii="Times New Roman" w:cs="Times New Roman" w:eastAsia="Times New Roman" w:hAnsi="Times New Roman"/>
          <w:sz w:val="18"/>
          <w:szCs w:val="18"/>
          <w:color w:val="202020"/>
        </w:rPr>
        <w:t>The Company also agreed to covenants requiring that the Company’s cash expenditures be monitored by the Lenders according to a board-approved budget provided to the Lenders prior to the signing of the Fifth Amendment, which cash budget will be updated on a bi-weekly basis going forward. The Company will not be permitted to make disbursements for any two-week period in excess of 115% of the aggregate budgeted amount of disbursements for the applicable period. Finally, pursuant to the Fifth Amendment, the Company is restricted from paying cash bonuses its employees or executives during the fiscal years 2024 and 2025 without OFA’s consent or increasing the cash compensation for fiscal year 2025 for certain senior officers of the Company from their compensation for fiscal year 2024.</w:t>
      </w:r>
    </w:p>
    <w:p>
      <w:pPr>
        <w:spacing w:after="0" w:line="189" w:lineRule="exact"/>
        <w:rPr>
          <w:sz w:val="20"/>
          <w:szCs w:val="20"/>
          <w:color w:val="auto"/>
        </w:rPr>
      </w:pPr>
    </w:p>
    <w:p>
      <w:pPr>
        <w:jc w:val="both"/>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On March 4, 2025, the Company entered into the Sixth Amendment to our Credit Agreement, which extended the deadline to engage an investment banker. The Company subsequently entered into the Seventh and Eighth Amendments on March 12, 2025 and April 22, 2025, respectively, and collectively, these amendments extended the deadline to July 31, 2025. The Company retained an investment banker on July 29,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Credit Agreement contains, among other things, a covenant requiring that our audited annual financial statements included in our Annual Report be delivered without a "going concern" or like qualification or exception. On March 27, 2026, we entered into the Ninth Amendment to Credit Agreement and Guaranty (the “Ninth Amendment”). Pursuant to the Ninth Amendment, the Lenders agreed to (i) waive the Credit Agreement’s covenant that the report and opinion the Company will receive from its independent registered public accounting firm with respect to the financial statements for the year ending December 31, 2025 will not contain a “going concern” or similar qualification, and (ii) reduce the Credit Agreement’s minimum liquidity covenant to require minimum cash liquidity of $12,500 from and after March 31, 2026 (instead of $15,000).</w:t>
      </w:r>
    </w:p>
    <w:p>
      <w:pPr>
        <w:spacing w:after="0" w:line="192" w:lineRule="exact"/>
        <w:rPr>
          <w:sz w:val="20"/>
          <w:szCs w:val="20"/>
          <w:color w:val="auto"/>
        </w:rPr>
      </w:pPr>
    </w:p>
    <w:p>
      <w:pPr>
        <w:jc w:val="both"/>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Ninth Amendment’s effectiveness is subject to various customary conditions precedent, as well as conditions subsequent requiring the Company to:</w:t>
      </w:r>
    </w:p>
    <w:p>
      <w:pPr>
        <w:spacing w:after="0" w:line="162" w:lineRule="exact"/>
        <w:rPr>
          <w:sz w:val="20"/>
          <w:szCs w:val="20"/>
          <w:color w:val="auto"/>
        </w:rPr>
      </w:pPr>
    </w:p>
    <w:p>
      <w:pPr>
        <w:ind w:left="720" w:right="13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March 31, 2026, make a one-time prepayment of the principal amount of $2,500, together with accrued and unpaid interest thereon;</w:t>
      </w:r>
    </w:p>
    <w:p>
      <w:pPr>
        <w:spacing w:after="0" w:line="161" w:lineRule="exact"/>
        <w:rPr>
          <w:rFonts w:ascii="Times New Roman" w:cs="Times New Roman" w:eastAsia="Times New Roman" w:hAnsi="Times New Roman"/>
          <w:sz w:val="18"/>
          <w:szCs w:val="18"/>
          <w:color w:val="auto"/>
        </w:rPr>
      </w:pPr>
    </w:p>
    <w:p>
      <w:pPr>
        <w:jc w:val="both"/>
        <w:ind w:left="720" w:right="139" w:hanging="319"/>
        <w:spacing w:after="0" w:line="266"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15, 2026, either (i) pay to the Lenders an amendment fee in cash in an amount equal to approximately $2,032 or (ii) grant new warrants to the Lenders to purchase 1,354 shares of common stock of the Company, at an exercise price of $0.01 per share (the “New Warrants”); and</w:t>
      </w:r>
    </w:p>
    <w:p>
      <w:pPr>
        <w:spacing w:after="0" w:line="175" w:lineRule="exact"/>
        <w:rPr>
          <w:rFonts w:ascii="Times New Roman" w:cs="Times New Roman" w:eastAsia="Times New Roman" w:hAnsi="Times New Roman"/>
          <w:sz w:val="18"/>
          <w:szCs w:val="18"/>
          <w:color w:val="auto"/>
        </w:rPr>
      </w:pPr>
    </w:p>
    <w:p>
      <w:pPr>
        <w:jc w:val="both"/>
        <w:ind w:left="720" w:right="139" w:hanging="319"/>
        <w:spacing w:after="0" w:line="253"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receipt by the Company of any gross cash proceeds from (i) the issuance of the Company’s common stock, warrants and/or pre-funded warrants, (ii) non-refundable cash consideration from partnering transactions entered into after the effective date of the fifth amendment to the Credit Agreement, (iii) the issuance of the Company’s subordinated debt and/or (iv) sales by the Company of its assets, in each case ((i) through (iv)), in transactions permitted under the Credit Agreement, make a prepayment of the loans under the Credit Agreement in an aggregate principal amount equal to 50% of such gross cash proceeds, together with accrued interest thereon and any fees or premia (including prepayment premium) payable in connection therewith; provided, that the foregoing requirement will not apply (A) with respect to the first $2,500 in the aggregate of proceeds raised from Capital Raise Activities (as defined in the Credit Agreement) and (B) once the aggregate principal amount of the Loans prepaid pursuant to one or more Capital Raise Prepayments equals $2,500.</w:t>
      </w:r>
    </w:p>
    <w:p>
      <w:pPr>
        <w:spacing w:after="0" w:line="192" w:lineRule="exact"/>
        <w:rPr>
          <w:sz w:val="20"/>
          <w:szCs w:val="20"/>
          <w:color w:val="auto"/>
        </w:rPr>
      </w:pPr>
    </w:p>
    <w:p>
      <w:pPr>
        <w:jc w:val="both"/>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As of the date of this Quarterly Report, the Company has complied with each of the conditions subsequent set forth above and issued the New Warrants to the Lenders on April 15, 2026. In addition, on the date of issuance of the New Warrants the Company amended and restated its Third Amended and Restated Registration Rights Agreement with the Lenders, dated November 25, 2024. Pursuant to such amendment and restatement (the “Fourth Amended and Restated Registration Rights Agreement”), the Company agreed to register the shares of common stock issuable under the New Warrants, in addition to all warrants previously issued to the Lenders, for resale.</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202020"/>
        </w:rPr>
        <w:t>As of March 31, 2026, we had aggregate principal indebtedness of $104,048 outstanding under the Credit Agreement.</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02020"/>
        </w:rPr>
        <w:t>Company Warrants and Registration Rights Agreement</w:t>
      </w:r>
    </w:p>
    <w:p>
      <w:pPr>
        <w:spacing w:after="0" w:line="229" w:lineRule="exact"/>
        <w:rPr>
          <w:sz w:val="20"/>
          <w:szCs w:val="20"/>
          <w:color w:val="auto"/>
        </w:rPr>
      </w:pPr>
    </w:p>
    <w:p>
      <w:pPr>
        <w:ind w:left="60" w:right="279" w:firstLine="324"/>
        <w:spacing w:after="0" w:line="254" w:lineRule="auto"/>
        <w:rPr>
          <w:sz w:val="20"/>
          <w:szCs w:val="20"/>
          <w:color w:val="auto"/>
        </w:rPr>
      </w:pPr>
      <w:r>
        <w:rPr>
          <w:rFonts w:ascii="Times New Roman" w:cs="Times New Roman" w:eastAsia="Times New Roman" w:hAnsi="Times New Roman"/>
          <w:sz w:val="18"/>
          <w:szCs w:val="18"/>
          <w:color w:val="auto"/>
        </w:rPr>
        <w:t>Prior to the Fifth Amendment, pursuant to the Credit Agreement, the Lenders had the right to purchase shares of our common stock,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The Equity Investment Right was terminated as part of the Fifth Amendment. Also, in connection with the closing of the Fifth Amendment, the Company agreed to, substantially concurrently with the closing of Raise 1, grant new warrants to the Lenders to purchase an aggregate of 313 shares of common stock, at an exercise price of $0.16 per share (the “New Warrants”). During the the nine months ended September 30, 2025, the Company issued 284 shares of common stock in connection with the cashless exercises of the 313 New Warrants.</w:t>
      </w:r>
    </w:p>
    <w:p>
      <w:pPr>
        <w:spacing w:after="0" w:line="161"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202020"/>
        </w:rPr>
        <w:t>In addition, the Company agreed to, substantially concurrently with the closing of Raise 1, amend and restate all warrants to purchase stock of the Company issued to the Lenders prior to the effective date of the Fifth Amendment, to revise the exercise price thereunder to an exercise price equal to the lower of (i) the price per share of the common stock</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spacing w:after="0" w:line="261" w:lineRule="auto"/>
        <w:rPr>
          <w:sz w:val="20"/>
          <w:szCs w:val="20"/>
          <w:color w:val="auto"/>
        </w:rPr>
      </w:pPr>
      <w:r>
        <w:rPr>
          <w:rFonts w:ascii="Times New Roman" w:cs="Times New Roman" w:eastAsia="Times New Roman" w:hAnsi="Times New Roman"/>
          <w:sz w:val="18"/>
          <w:szCs w:val="18"/>
          <w:color w:val="202020"/>
        </w:rPr>
        <w:t>of the Company issued in Raise 1 and (ii) arithmetic average of the volume-weighted average price of the Company’s common stock on the Nasdaq Capital Market during the 30 trading days preceding Raise 1 (such existing warrants, as amended and restated, the “Original Warrants”). The Original Warrants provide the Lenders with the right to purchase a total of 28 shares of common stock of the Company.</w:t>
      </w:r>
    </w:p>
    <w:p>
      <w:pPr>
        <w:spacing w:after="0" w:line="180" w:lineRule="exact"/>
        <w:rPr>
          <w:sz w:val="20"/>
          <w:szCs w:val="20"/>
          <w:color w:val="auto"/>
        </w:rPr>
      </w:pPr>
    </w:p>
    <w:p>
      <w:pPr>
        <w:jc w:val="both"/>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We entered into a registration rights agreement with the Lenders in connection with the original closing of the Credit Agreement, which has been amended and restated since in connection with each issuance of additional warrants to the Lenders and we have filed registration statements to register the shares issuable upon exercise of the warrants issued to the Lenders. Most recently, in connection with the the New Warrants, pursuant to the Fourth Amended and Restated Registration Rights Agreement, we have agreed to file a registration statements on Form S-3 to register the shares issuable upon exercise of the New Warrants for resale. The maximum shares of our common stock issuable under the Original Warrants and the New Warrants is 1,382.</w:t>
      </w:r>
    </w:p>
    <w:p>
      <w:pPr>
        <w:spacing w:after="0" w:line="189" w:lineRule="exact"/>
        <w:rPr>
          <w:sz w:val="20"/>
          <w:szCs w:val="20"/>
          <w:color w:val="auto"/>
        </w:rPr>
      </w:pPr>
    </w:p>
    <w:p>
      <w:pPr>
        <w:jc w:val="both"/>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As part of entering into the Credit Agreement, OnkosXcel, a wholly owned subsidiary of BTI, granted the OnkosXcel Warrants to the Lenders to purchase 175 individual limited liability company units.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 (y) 150% of the valuation applicable to the initial profits units issued by OnkosXcel after the closing of the Credit Agreement. The OnkosXcel Warrants are transferable with approval from BTI, which cannot be unreasonably withheld, expire on April 19, 2029, and may be net exercised at the holder’s election.</w:t>
      </w:r>
    </w:p>
    <w:p>
      <w:pPr>
        <w:spacing w:after="0" w:line="185"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Debt and Credit Facilities</w:t>
      </w:r>
      <w:r>
        <w:rPr>
          <w:rFonts w:ascii="Times New Roman" w:cs="Times New Roman" w:eastAsia="Times New Roman" w:hAnsi="Times New Roman"/>
          <w:sz w:val="18"/>
          <w:szCs w:val="18"/>
          <w:color w:val="auto"/>
        </w:rPr>
        <w:t xml:space="preserve"> included elsewhere in this Quarterly Report for additional information relating to the Credit Agreement and RIFA, including applicable interest rates, payment obligations and certain restrictive and financial covenants thereunder. As of March 31, 2026, we were in compliance with all restrictive and financial covenants under the Credit Agreement.</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March 2025 Registered Direct Offering</w:t>
      </w:r>
    </w:p>
    <w:p>
      <w:pPr>
        <w:spacing w:after="0" w:line="229"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On March 3, 2025, we entered into a purchase agreement (the “March 2025 Offering”) pursuant to which we agreed to issue and sell an aggregate of (i) 188 shares of common stock at an offering price of $3.50 per Share, (ii) Pre-Funded Warrants to purchase up to 3,812 shares of common stock, at an offering price of $3.499 per share underlying the Pre-Funded Warrants, which equals the offering price per share less the $0.001 exercise price per share of the Pre-Funded Warrants, and (iii) an aggregate of 4,000 accompanying warrants (the “March 2025 Accompanying Warrants”) to purchase up to 4,000 shares of common stock at an offering price of $4.20 per accompanying warrant. The Pre-Funded Warrants have an exercise price per share of common stock equal to $0.001 per share. All 3,812 Pre-Funded Warrants were exercised and the same number of common stock were issued in exchange for $4 of proceeds during the year ended December 31, 2025. There were no warrant exercises for the three months ended March 31, 2026. For the year ended December 31, 2025, 2,300 of the March 2025 Accompanying Warrants were exercised and the same number of common stock were issued in exchange for $9,660 of proceeds.</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ATM Program - Canaccord</w:t>
      </w:r>
    </w:p>
    <w:p>
      <w:pPr>
        <w:spacing w:after="0" w:line="18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In April 2025, we entered into an Equity Distribution Agreement with Canaccord to sell shares of our common stock, with aggregate gross sales proceeds of up to $8,135, from time to time, through an “at the market” equity offering program under which Canaccord will act as sales agent.</w:t>
      </w:r>
    </w:p>
    <w:p>
      <w:pPr>
        <w:spacing w:after="0" w:line="135"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In August 2025, we increased the maximum amount of shares that are eligible to be sold pursuant to the Equity Distribution Agreement to allow for the offer and sale of up to $3,500 of our common stock.</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In August 2025, we again increased the maximum amount of shares that are eligible to be sold pursuant to the Equity Distribution Agreement to allow for the offer and sale of up to $80,000 shares of common stock. For the three months ended March 31, 2026, we sold 245 shares for gross proceeds of $498 and received proceeds of $488, net of issuance costs of $10.</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March 2026 Registered Direct Offering</w:t>
      </w:r>
    </w:p>
    <w:p>
      <w:pPr>
        <w:spacing w:after="0" w:line="229"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On March 10, 2026, we entered into a purchase agreement (the “March 2026 Offering”) pursuant to which we agreed to issue and sell an aggregate of (i) 2,480 shares of common stock at an offering price of $1.739 per Share, (ii) Pre-Funded Warrants to purchase up to 2,020 shares of common stock, at an offering price of $1.738 per share underlying the Pre-Funded Warrants, which equals the offering price per share less the $0.001 exercise price per share of the Pre-Funded Warrants, and (iii) an aggregate of 4,500 accompanying warrants (the “March 2026 Accompanying Warrants”) to purchase up to 4,500 shares of common stock at an offering price of $1.614 per accompanying warrant. The Pre-Funded Warrants have an exercise price per share of common stock equal to $0.001 per share. For the three months ended March 31, 2026, all 2,020 Pre-Funded Warrants were exercised and the same number of common stock were issued in exchange for $2 of proceeds. There were no warrant exercises for the three months ended March 31, 2026.</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38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provided by:</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(11,809)</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9" w:lineRule="exact"/>
        <w:rPr>
          <w:sz w:val="20"/>
          <w:szCs w:val="20"/>
          <w:color w:val="auto"/>
        </w:rPr>
      </w:pPr>
    </w:p>
    <w:p>
      <w:pPr>
        <w:ind w:left="60" w:right="559" w:firstLine="32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2026 was $11,809 and was primarily attributable to our net loss of $12,691 and a $1,519 non-cash gain from the change in fair value of our derivative liabilities, offset by a $2,215 increase in accounts payable, accrued expenses, due to related parties, and other current liabilities, a $1,039 decrease in prepaid expenses and other current assets, $502 in accretion of debt discount and amortization of financing costs, and $435 in non-cash stock-based compensation.</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2025 was $12,043 and was primarily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attributable to our net loss of $7,254, a $6,559 non-cash gain from the change in fair value of our derivative liabilities,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$2,269 decrease in accounts payable, accrued expenses, due to related parties, and other current liabilities, offset by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$2,668 in payable in kind interest on our credit agreement, a $608 decrease in prepaid expenses and other current assets,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$180 in non-cash stock-based compensation.</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left="60" w:right="1059"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2026 and 2025 was $0 and $0, respectively.</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ind w:left="60" w:right="419" w:firstLine="324"/>
        <w:spacing w:after="0" w:line="312" w:lineRule="auto"/>
        <w:rPr>
          <w:sz w:val="20"/>
          <w:szCs w:val="20"/>
          <w:color w:val="auto"/>
        </w:rPr>
      </w:pPr>
      <w:r>
        <w:rPr>
          <w:rFonts w:ascii="Times New Roman" w:cs="Times New Roman" w:eastAsia="Times New Roman" w:hAnsi="Times New Roman"/>
          <w:sz w:val="17"/>
          <w:szCs w:val="17"/>
          <w:color w:val="auto"/>
        </w:rPr>
        <w:t>Net cash provided by financing activities for the three months ended March 31, 2026, was $232 and was primarily attributable to net proceeds of $6,879 received from the March 2026 registered direct offering and net proceeds from</w:t>
      </w: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sale of common stock under the Equity Distribution Agreement with Canaccord of $488, offset by $8,108 in long-term debt principal repayments.</w:t>
      </w:r>
    </w:p>
    <w:p>
      <w:pPr>
        <w:spacing w:after="0" w:line="135"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2025, was $13,202 and was primarily attributable to net proceeds of $12,957 received from the March 2025 registered direct offering.</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Operating Capital and Capital Expenditure Requirements</w:t>
      </w:r>
    </w:p>
    <w:p>
      <w:pPr>
        <w:spacing w:after="0" w:line="189" w:lineRule="exact"/>
        <w:rPr>
          <w:sz w:val="20"/>
          <w:szCs w:val="20"/>
          <w:color w:val="auto"/>
        </w:rPr>
      </w:pPr>
    </w:p>
    <w:p>
      <w:pPr>
        <w:ind w:left="60" w:right="139" w:firstLine="324"/>
        <w:spacing w:after="0" w:line="247" w:lineRule="auto"/>
        <w:rPr>
          <w:sz w:val="20"/>
          <w:szCs w:val="20"/>
          <w:color w:val="auto"/>
        </w:rPr>
      </w:pPr>
      <w:r>
        <w:rPr>
          <w:rFonts w:ascii="Times New Roman" w:cs="Times New Roman" w:eastAsia="Times New Roman" w:hAnsi="Times New Roman"/>
          <w:sz w:val="17"/>
          <w:szCs w:val="17"/>
          <w:color w:val="auto"/>
        </w:rPr>
        <w:t>We expect to continue to incur significant and increasing operating losses at least for the next several years as we commercialize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as we expand our clinical trials of and seek marketing approval focused on BXCL501 while pursuing development of additional product candidates for BXCL502, BXCL701 and BXCL702. We expect to continue to incur net losses in the near term. Our net losses may fluctuate significantly from quarter-to-quarter and year-to-year, depending on the timing of our planned clinical trials and our expenditures on other research and development activities.</w:t>
      </w:r>
    </w:p>
    <w:p>
      <w:pPr>
        <w:spacing w:after="0" w:line="168" w:lineRule="exact"/>
        <w:rPr>
          <w:sz w:val="20"/>
          <w:szCs w:val="20"/>
          <w:color w:val="auto"/>
        </w:rPr>
      </w:pPr>
    </w:p>
    <w:p>
      <w:pPr>
        <w:jc w:val="both"/>
        <w:ind w:left="60" w:right="259" w:firstLine="324"/>
        <w:spacing w:after="0" w:line="281" w:lineRule="auto"/>
        <w:rPr>
          <w:sz w:val="20"/>
          <w:szCs w:val="20"/>
          <w:color w:val="auto"/>
        </w:rPr>
      </w:pPr>
      <w:r>
        <w:rPr>
          <w:rFonts w:ascii="Times New Roman" w:cs="Times New Roman" w:eastAsia="Times New Roman" w:hAnsi="Times New Roman"/>
          <w:sz w:val="17"/>
          <w:szCs w:val="17"/>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increase substantially as we:</w:t>
      </w:r>
    </w:p>
    <w:p>
      <w:pPr>
        <w:spacing w:after="0" w:line="124" w:lineRule="exact"/>
        <w:rPr>
          <w:sz w:val="20"/>
          <w:szCs w:val="20"/>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our clinical development of our product candidates;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research and development with our product candidates;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acquire, license, develop and commercialize product candidates;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acquired technologies into a comprehensive regulatory and product development strategy;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9" w:lineRule="exact"/>
        <w:rPr>
          <w:rFonts w:ascii="Times New Roman" w:cs="Times New Roman" w:eastAsia="Times New Roman" w:hAnsi="Times New Roman"/>
          <w:sz w:val="18"/>
          <w:szCs w:val="18"/>
          <w:color w:val="auto"/>
        </w:rPr>
      </w:pPr>
    </w:p>
    <w:p>
      <w:pPr>
        <w:ind w:left="720" w:right="299" w:hanging="319"/>
        <w:spacing w:after="0" w:line="250"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scientific, clinical, quality control and administrative personnel and utilize professional services, including consultants, lawyers, and accountants;</w:t>
      </w:r>
    </w:p>
    <w:p>
      <w:pPr>
        <w:ind w:left="720" w:right="339" w:hanging="319"/>
        <w:spacing w:after="0" w:line="250"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drug development and commercial efforts;</w:t>
      </w: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9" w:lineRule="exact"/>
        <w:rPr>
          <w:rFonts w:ascii="Times New Roman" w:cs="Times New Roman" w:eastAsia="Times New Roman" w:hAnsi="Times New Roman"/>
          <w:sz w:val="18"/>
          <w:szCs w:val="18"/>
          <w:color w:val="auto"/>
        </w:rPr>
      </w:pPr>
    </w:p>
    <w:p>
      <w:pPr>
        <w:ind w:left="720" w:right="299" w:hanging="319"/>
        <w:spacing w:after="0" w:line="215" w:lineRule="auto"/>
        <w:tabs>
          <w:tab w:leader="none" w:pos="7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fully develop a sales, marketing and distribution infrastructure and scale up external manufacturing capabilities to commercialize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any product candidates for which we may obtain regulatory approval; and</w:t>
      </w: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205"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We believe that our existing cash and cash equivalents as of March 31, 2026 will not be sufficient to enable us to fund operating expenses and capital expenditure requirements for at least the next 12 months from the date of the issuance of the condensed consolidated financial statements included in this Quarterly Report, including funding our ongoing research and development and commercialization efforts. In particular, we believe that our cash, cash equivalents and restricted cash of $17,180 as of March 31, 2026 plus the additional capital raised subsequent to March 31, 2026 will allow us to fund our operations and meet our liquidity requirements into the second quarter of 2026.</w:t>
      </w:r>
    </w:p>
    <w:p>
      <w:pPr>
        <w:spacing w:after="0" w:line="147"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We expect that we will need to obtain substantial additional funding to fund our ongoing operations.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Under the terms of the Ninth Amendment, following receipt of aggregated gross proceeds from (a) the issuance of the Company’s common stock, warrants and/or pre-funded warrants, (b) non-refundable cash consideration from partnering transactions, (c) the issuance of the Company’s subordinated debt and/or (d) sales by the Company of its assets, in each case ((a) through (d)), in transactions permitted under the Credit Agreement (“Capital Raise Activities”), make a prepayment of the loans under the Credit Agreement in an aggregate principal amount equal to 50% of such gross cash proceeds, together with accrued interest thereon and any fees or premia (including prepayment premium) payable in connection therewith; provided that such prepayment requirement shall not be applicable (A) with respect to the first $2,500 gross proceeds received from Capital Raise Activities and (B) once the aggregate principal amount of the</w:t>
      </w: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prepaid pursuant to one or more of such prepayments equals $2,500.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which could adversely impact our ability to conduct our business. Our failure to raise capital as and when needed would have a negative impact on our financial condition and our ability to pursue our business strategy. If we are unable to raise capital when needed or on attractive terms, we could be forced to significantly delay, scale back or discontinue the development or commercialization of our product candidates, seek collaborators at an earlier stage than otherwise would be desirable or on terms that are less favorable than might otherwise be available, and relinquish or license, potentially on unfavorable terms, our rights to our product candidates that we otherwise would seek to develop or commercialize ourselves. To date, we have continued research and development activities while managing our cash position. However, we can provide no assurance that will be successful in obtaining additional necessary resources and, if we are unable to fund our operations, including our clinical trials, we may need to focus on advancing fewer of our product candidates or otherwise consider strategic alternatives.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02"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In July 2024, the Company signed an amendment to its commercial supply agreement that requires minimum annual payments for the first five years of the agreement ending in 2026 that in aggregate total $10,000. The Company has met the minimum requirements for the first 4 years ending in 2025. The remaining minimum commitments for year 2026 is $2,000.</w:t>
      </w:r>
    </w:p>
    <w:p>
      <w:pPr>
        <w:spacing w:after="0" w:line="13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February 2022, we signed a distribution agreement with a third-party to distribute product related to BXCL501 in the U.S. The distributor will be paid defined fees for its services under the agreement, which can be terminated by either party for cause. The distribution agreement can also be terminated by us without cause, subject to payment of agreed upon termination fees.</w:t>
      </w:r>
    </w:p>
    <w:p>
      <w:pPr>
        <w:spacing w:after="0" w:line="139"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 xml:space="preserve">BTI leases office space for its corporate headquarters at 555 Long Wharf Drive, New Haven, Connecticut (the “HQ Lease”) under an operating lease that was set to expire in February 2026. The Company did not exercise the option to renew the HQ Lease for an additional five-year term. Prior to the expiration of the HQ Lease, on February 17, 2026, we agreed to amend the lease agreement to extend the lease on a month-to-month basis with a fixed monthly base rent payment of $33. For additional details, see Note 13,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 the Notes to Condensed Consolidated Financial Statements included in this Quarterly Report for additional information relating to the Company’s leases.</w:t>
      </w:r>
    </w:p>
    <w:p>
      <w:pPr>
        <w:spacing w:after="0" w:line="160"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addition, we are obligated to make quarterly interest payments under our Credit Agreement. For additional details, see Note 9, </w:t>
      </w:r>
      <w:r>
        <w:rPr>
          <w:rFonts w:ascii="Times New Roman" w:cs="Times New Roman" w:eastAsia="Times New Roman" w:hAnsi="Times New Roman"/>
          <w:sz w:val="18"/>
          <w:szCs w:val="18"/>
          <w:i w:val="1"/>
          <w:iCs w:val="1"/>
          <w:color w:val="auto"/>
        </w:rPr>
        <w:t>Debt and Credit Facilities</w:t>
      </w:r>
      <w:r>
        <w:rPr>
          <w:rFonts w:ascii="Times New Roman" w:cs="Times New Roman" w:eastAsia="Times New Roman" w:hAnsi="Times New Roman"/>
          <w:sz w:val="18"/>
          <w:szCs w:val="18"/>
          <w:color w:val="auto"/>
        </w:rPr>
        <w:t xml:space="preserve"> in the Notes to Condensed Consolidated Financial Statements included in this Quarterly Report for additional information relating to the Company’s debt payment obligations.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critical accounting policies and estimates are described in “Management’s Discussion and Analysis of Financial Condition and Results of Operations-Critical Accounting Policies and Estimates” in our Annual Report on Form 10-K for the fiscal year ended December 31, 2025. We have reviewed and determined that those critical accounting policies and estimates remain our critical accounting policies and estimates as of and for the three months ended March 31, 2026. No material changes were made to our existing critical accounting policies and estimates during the period presented. Refer to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Condensed Consolidated Financial Statements elsewhere in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31, 2026.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0"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March 31, 2026, our Chief Executive Officer and Chief Financial Officer concluded that, as of such date, our disclosure controls and procedures were effective at the reasonable assurance level.</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 xml:space="preserve">From time to time, we may be subject to litigation and claims arising in the ordinary course of business, which could have a material adverse effect on our business, operating results, cash flows or financial condition. Please refer to Note 16,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of our unaudited condensed consolidated financial statements in Part I, Item 1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Report for information regarding material legal proceedings.</w:t>
      </w:r>
    </w:p>
    <w:p>
      <w:pPr>
        <w:spacing w:after="0" w:line="139" w:lineRule="exact"/>
        <w:rPr>
          <w:sz w:val="20"/>
          <w:szCs w:val="20"/>
          <w:color w:val="auto"/>
        </w:rPr>
      </w:pPr>
    </w:p>
    <w:p>
      <w:pPr>
        <w:ind w:left="60" w:right="259" w:firstLine="324"/>
        <w:spacing w:after="0" w:line="254" w:lineRule="auto"/>
        <w:rPr>
          <w:sz w:val="20"/>
          <w:szCs w:val="20"/>
          <w:color w:val="auto"/>
        </w:rPr>
      </w:pPr>
      <w:r>
        <w:rPr>
          <w:rFonts w:ascii="Times New Roman" w:cs="Times New Roman" w:eastAsia="Times New Roman" w:hAnsi="Times New Roman"/>
          <w:sz w:val="18"/>
          <w:szCs w:val="18"/>
          <w:color w:val="auto"/>
        </w:rPr>
        <w:t>In addition, in February 2024, we became aware that the SEC had initiated a formal investigation involving the Company and certain of its directors and officers. This formal investigation relates to the Company’s public disclosures, including about product sales and the receipt of a Form 483 by an investigator at one of the Company’s clinical trial sites in the TRANQUILITY II study, and trading in the securities of the Company. We are cooperating fully with the investigation including producing documents, and current and former officers and employees of the Company have testified before the SEC. We cannot predict or determine whether any proceeding may be instituted by the SEC in connection with its investigation or the outcome of any proceeding that may be instituted, or the effects any such proceeding could have on the Company’s business or financing efforts.</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You should carefully consider the risks described below, as well as general economic and business risks and the other information in this Quarterly Report and our Annual Report on Form 10-K for the fiscal year ended December 31, 2025.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Financial Position and Need for Additional Capital</w:t>
      </w:r>
    </w:p>
    <w:p>
      <w:pPr>
        <w:spacing w:after="0" w:line="198" w:lineRule="exact"/>
        <w:rPr>
          <w:sz w:val="20"/>
          <w:szCs w:val="20"/>
          <w:color w:val="auto"/>
        </w:rPr>
      </w:pPr>
    </w:p>
    <w:p>
      <w:pPr>
        <w:ind w:left="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conditions and events that raise substantial doubt regarding our ability to continue as a going concern.</w:t>
      </w:r>
    </w:p>
    <w:p>
      <w:pPr>
        <w:spacing w:after="0" w:line="118"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As of March 31, 2026, we had $17.2 million in cash, cash equivalents and restricted cash. Based on our existing cash, cash equivalents and lack of current availability under our funding facilities, we do not believe we have sufficient cash on hand to support current operations and service our debt obligations for at least one year from the date of issuance of the audited consolidated financial statements appearing in this in this Quarterly Report. This condition raises substantial doubt about our ability to continue as a going concern for at least one year from the date that our financial statements for the three months ended March 31, 2026 are issued. In order to mitigate liquidity issues, we have undertaken the Clinical Reprioritization and other restructuring actions, and may, among other things, seek to raise capital through the issuance of common stock, or by restructuring, refinancing, and/or amending the terms of the Credit Agreement (including with respect to regulatory related events of default that do not contain a cure period) or pursue other strategic alternatives. However, such transactions may not be successful and we may not be able to raise additional equity and/or financing necessary to meet our obligations.</w:t>
      </w:r>
    </w:p>
    <w:p>
      <w:pPr>
        <w:spacing w:after="0" w:line="192"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Our Credit Agreement (as defined below) contains, among other things, a covenant requiring that our audited annual financial statements be delivered without a “going concern” or like qualification or exception. On March 27, 2026, we entered into the Ninth Amendment to the Credit Agreement (the “Ninth Amendment”), which included, among other things, (i) a waiver of the “going concern” qualification for our audited annual financial statements for the year ended December 31, 2025 and (ii) a $2.5 million reduction in the Credit Agreement’s minimum liquidity covenant. In connection with the Ninth Amendment we made a one-time prepayment of the principal amount of $2.5 million, together with accrued and unpaid interest thereon and granted warrants to the Lenders to purchase up to 1,353,729 shares of our common stock, at an exercise price of $0.01 per share. In addition, following receipt of aggregated gross proceeds following the effective date of the Ninth Amendment from (a) the issuance of our common stock, warrants and/or pre-funded warrants, (b) non-refundable cash consideration from partnering transactions, (c) the issuance of our subordinated debt and/or (d) sales of our assets, in each case ((a) through (d)), in transactions permitted under the Credit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 xml:space="preserve">Agreement (“Capital Raise Activities”), make a prepayment of the loans under the Credit Agreement in an aggregate principal amount equal to 50% of such gross cash proceeds, together with accrued interest thereon and any fees or premia (including prepayment premium) payable in connection therewith; provided that such prepayment requirement shall not be applicable (A) with respect to the first $2.5 million gross proceeds received from Capital Raise Activities and (B) once the aggregate principal amount of the prepaid pursuant to one or more of such prepayments equals $2.5 million. Even with the Ninth Amendment, we face short term financing pressure and there is no assurance that we will be able to raise sufficient capital to fund our continuing operations and remain in compliance with our minimum liquidity covenant. Further, the waiver granted pursuant to the Ninth Amendment is the third consecutive year in which we have been forced to obtain a going-concern waiver from the Lenders, each of which was provided in exchange for additional consideration, including, in certain cases, warrants exercisable for our common stock and/or amendment fees. There can be no assurance that the Lenders will agree to any such future waiver, or that any such future waiver will be available on terms acceptable to us. Any failure to obtain such a waiver, or any failure to comply with our other covenants under the Credit Agreement, could result in an event of default and the acceleration of our outstanding indebtedness. For additional cost-saving and other strategic initiatives we may be compelled to pursue, see the risk factor entitled, </w:t>
      </w:r>
      <w:r>
        <w:rPr>
          <w:rFonts w:ascii="Times New Roman" w:cs="Times New Roman" w:eastAsia="Times New Roman" w:hAnsi="Times New Roman"/>
          <w:sz w:val="18"/>
          <w:szCs w:val="18"/>
          <w:i w:val="1"/>
          <w:iCs w:val="1"/>
          <w:color w:val="auto"/>
        </w:rPr>
        <w:t>“We will need substantial 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funding, and if we are unable to raise capital when needed, we could be forced to delay, reduce or eliminate our product development programs or commercialization efforts or otherwise seek strategic alternatives.”</w:t>
      </w:r>
    </w:p>
    <w:p>
      <w:pPr>
        <w:spacing w:after="0" w:line="191"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not generated substantial product revenues to date, which may make it difficult to evaluate the success of our business and to assess our future viability.</w:t>
      </w:r>
    </w:p>
    <w:p>
      <w:pPr>
        <w:spacing w:after="0" w:line="132"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We were incorporated in March 2017 and our operations to date have been largely focused on staffing our Company, raising capital, advancing the development of our product candidates, including conducting clinical and preclinical studies and establishing our commercial organization. We have only one product approved for commercial sale, and have limited experience in obtaining marketing approvals, manufacturing products on a commercial scale, and conducting sales and marketing activities necessary for successful commercialization. Consequently, predictions about our future success or viability may not be as accurate as they could be if we had a longer operating history or a history of successfully commercializing products.</w:t>
      </w:r>
    </w:p>
    <w:p>
      <w:pPr>
        <w:spacing w:after="0" w:line="148" w:lineRule="exact"/>
        <w:rPr>
          <w:sz w:val="20"/>
          <w:szCs w:val="20"/>
          <w:color w:val="auto"/>
        </w:rPr>
      </w:pPr>
    </w:p>
    <w:p>
      <w:pPr>
        <w:ind w:left="60" w:right="419" w:firstLine="324"/>
        <w:spacing w:after="0" w:line="230"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from quarter to quarter and year to year due to a variety of factors, many of which are beyond our control. We are focused primarily on research and development while continuing to support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commercial activities. We may encounter unforeseen expenses, difficulties, complications and delays, and may not be successful in such a transition.</w:t>
      </w:r>
    </w:p>
    <w:p>
      <w:pPr>
        <w:spacing w:after="0" w:line="154"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132" w:lineRule="exact"/>
        <w:rPr>
          <w:sz w:val="20"/>
          <w:szCs w:val="20"/>
          <w:color w:val="auto"/>
        </w:rPr>
      </w:pPr>
    </w:p>
    <w:p>
      <w:pPr>
        <w:ind w:left="60" w:right="279" w:firstLine="324"/>
        <w:spacing w:after="0" w:line="241"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 was $12.7 million and $7.3 million for the three months ended March 31, 2026 and 2025, respectively. As of March 31, 2026, we had a stockholders’ deficit of approximately $105.5 million. We expect to continue to incur significant expenses and increasing operating losses for the foreseeable future. We have only one product candidate approved for marketing in the U.S., none in any other jurisdiction, and may never receive approval beyond the one product approved to date. It could be several years, if ever, before we have a commercialized product that generates significant revenues through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our product candidates, if approved. As a result, we are uncertain when or if we will achieve profitability and, if so, whether we will be able to sustain it. The net losses we incur may fluctuate significantly from quarter to quarter and year to year. We anticipate that our expenses may increase in the long term as we:</w:t>
      </w:r>
    </w:p>
    <w:p>
      <w:pPr>
        <w:spacing w:after="0" w:line="157" w:lineRule="exact"/>
        <w:rPr>
          <w:sz w:val="20"/>
          <w:szCs w:val="20"/>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development of our product candidates;</w:t>
      </w:r>
    </w:p>
    <w:p>
      <w:pPr>
        <w:spacing w:after="0" w:line="184" w:lineRule="exact"/>
        <w:rPr>
          <w:rFonts w:ascii="Times New Roman" w:cs="Times New Roman" w:eastAsia="Times New Roman" w:hAnsi="Times New Roman"/>
          <w:sz w:val="18"/>
          <w:szCs w:val="18"/>
          <w:color w:val="auto"/>
        </w:rPr>
      </w:pPr>
    </w:p>
    <w:p>
      <w:pPr>
        <w:ind w:left="720" w:right="91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and clinical trials for our current product candidates and any future product candidates that we may pursue;</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maintain, expand and protect our intellectual property portfolio;</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9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approvals for our current and future product candidates that successfully complete clinical trials;</w:t>
      </w:r>
    </w:p>
    <w:p>
      <w:pPr>
        <w:spacing w:after="0" w:line="126" w:lineRule="exact"/>
        <w:rPr>
          <w:rFonts w:ascii="Times New Roman" w:cs="Times New Roman" w:eastAsia="Times New Roman" w:hAnsi="Times New Roman"/>
          <w:sz w:val="18"/>
          <w:szCs w:val="18"/>
          <w:color w:val="auto"/>
        </w:rPr>
      </w:pPr>
    </w:p>
    <w:p>
      <w:pPr>
        <w:ind w:left="720" w:right="499" w:hanging="319"/>
        <w:spacing w:after="0" w:line="217"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 appropriate sales, marketing, and distribution infrastructure to commercialize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other product candidates for which we may obtain marketing approval;</w:t>
      </w:r>
    </w:p>
    <w:p>
      <w:pPr>
        <w:spacing w:after="0" w:line="15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hire additional clinical, commercial, regulatory, scientific and finance personnel;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198" w:lineRule="exact"/>
        <w:rPr>
          <w:sz w:val="20"/>
          <w:szCs w:val="20"/>
          <w:color w:val="auto"/>
        </w:rPr>
      </w:pPr>
    </w:p>
    <w:p>
      <w:pPr>
        <w:ind w:left="60" w:right="159" w:firstLine="324"/>
        <w:spacing w:after="0" w:line="236" w:lineRule="auto"/>
        <w:rPr>
          <w:sz w:val="20"/>
          <w:szCs w:val="20"/>
          <w:color w:val="auto"/>
        </w:rPr>
      </w:pPr>
      <w:r>
        <w:rPr>
          <w:rFonts w:ascii="Times New Roman" w:cs="Times New Roman" w:eastAsia="Times New Roman" w:hAnsi="Times New Roman"/>
          <w:sz w:val="18"/>
          <w:szCs w:val="18"/>
          <w:color w:val="auto"/>
        </w:rPr>
        <w:t>To become and remain profitable, we must develop and commercialize more products or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current and future product candidates for which we may obtain marketing approval, and satisfying any post-marketing requirements. We may never succeed in any or all of these activities and, even if we do, we may never generate sufficient revenue to achieve profitability.</w:t>
      </w:r>
    </w:p>
    <w:p>
      <w:pPr>
        <w:spacing w:after="0" w:line="152" w:lineRule="exact"/>
        <w:rPr>
          <w:sz w:val="20"/>
          <w:szCs w:val="20"/>
          <w:color w:val="auto"/>
        </w:rPr>
      </w:pPr>
    </w:p>
    <w:p>
      <w:pPr>
        <w:ind w:left="60" w:right="179" w:firstLine="324"/>
        <w:spacing w:after="0" w:line="244" w:lineRule="auto"/>
        <w:rPr>
          <w:sz w:val="20"/>
          <w:szCs w:val="20"/>
          <w:color w:val="auto"/>
        </w:rPr>
      </w:pPr>
      <w:r>
        <w:rPr>
          <w:rFonts w:ascii="Times New Roman" w:cs="Times New Roman" w:eastAsia="Times New Roman" w:hAnsi="Times New Roman"/>
          <w:sz w:val="18"/>
          <w:szCs w:val="18"/>
          <w:color w:val="auto"/>
        </w:rPr>
        <w:t>Although we have obtained U.S. FDA approval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because of the numerous risks and uncertainties associated with product development, we are unable to accurately predict the timing or amount of expenses or when, or if, we will obtain marketing approval to commercialize any additional product candidates. If we are required by the FDA, or other regulatory authorities such as the European Medicines Agency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 For example, developments with respect to our TRANQUILITY program evaluating BXCL501 in patients with dementia due to probable Alzheimer’s disease may increase the likelihood that we experience such costs or delays, as discussed in the risk factor below entitled: “</w:t>
      </w:r>
      <w:r>
        <w:rPr>
          <w:rFonts w:ascii="Times New Roman" w:cs="Times New Roman" w:eastAsia="Times New Roman" w:hAnsi="Times New Roman"/>
          <w:sz w:val="18"/>
          <w:szCs w:val="18"/>
          <w:i w:val="1"/>
          <w:iCs w:val="1"/>
          <w:color w:val="auto"/>
        </w:rPr>
        <w:t>Developments relating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TRANQUILITY II Phase 3 trial may impact the timing of our development 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w:t>
      </w:r>
    </w:p>
    <w:p>
      <w:pPr>
        <w:spacing w:after="0" w:line="135"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31" w:lineRule="exact"/>
        <w:rPr>
          <w:sz w:val="20"/>
          <w:szCs w:val="20"/>
          <w:color w:val="auto"/>
        </w:rPr>
      </w:pPr>
    </w:p>
    <w:p>
      <w:pPr>
        <w:jc w:val="both"/>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and if we are unable to raise capital when needed, we could be forced to delay, reduce or eliminate our product development programs or commercialization efforts or otherwise seek strategic alternatives.</w:t>
      </w:r>
    </w:p>
    <w:p>
      <w:pPr>
        <w:spacing w:after="0" w:line="134"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We will require additional future funding to support current and anticipated future expenses. We currently anticipate continuing to develop and conduct clinical trials with respect to our current and any future product candidates; seek to identify and develop additional product candidates; acquire or in-license other product candidates or technologies; seek regulatory approvals for our product candidates that successfully complete clinical trials, if any; establish sales, marketing, distribution and other commercial infrastructure to support the commercialization of products for which we may obtain marketing approval; require the manufacture of larger quantities of product candidates for clinical development and, potentially, commercialization; maintain, expand and protect our intellectual property portfolio; hire and retain limited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spacing w:after="0" w:line="157" w:lineRule="exact"/>
        <w:rPr>
          <w:sz w:val="20"/>
          <w:szCs w:val="20"/>
          <w:color w:val="auto"/>
        </w:rPr>
      </w:pPr>
    </w:p>
    <w:p>
      <w:pPr>
        <w:ind w:left="60" w:right="159" w:firstLine="324"/>
        <w:spacing w:after="0" w:line="217" w:lineRule="auto"/>
        <w:rPr>
          <w:sz w:val="20"/>
          <w:szCs w:val="20"/>
          <w:color w:val="auto"/>
        </w:rPr>
      </w:pPr>
      <w:r>
        <w:rPr>
          <w:rFonts w:ascii="Times New Roman" w:cs="Times New Roman" w:eastAsia="Times New Roman" w:hAnsi="Times New Roman"/>
          <w:sz w:val="18"/>
          <w:szCs w:val="18"/>
          <w:color w:val="auto"/>
        </w:rPr>
        <w:t>We have been and may continue to be required to expend significant funds to continue to commercialize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U.S. and advance the development of BXCL501, BXCL701, BXCL502 and our other product candidates.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2" w:lineRule="auto"/>
        <w:rPr>
          <w:sz w:val="20"/>
          <w:szCs w:val="20"/>
          <w:color w:val="auto"/>
        </w:rPr>
      </w:pPr>
      <w:r>
        <w:rPr>
          <w:rFonts w:ascii="Times New Roman" w:cs="Times New Roman" w:eastAsia="Times New Roman" w:hAnsi="Times New Roman"/>
          <w:sz w:val="18"/>
          <w:szCs w:val="18"/>
          <w:color w:val="auto"/>
        </w:rPr>
        <w:t>addition, while we may seek one or more collaborators for future development of our current product candidates or any future product candidates that we may develop for one or more indications, we may not be able to enter into a collaboration for any of our product candidates for such indications on suitable terms, on a timely basis or at all. In any event, our existing cash will not be sufficient to fund all of the efforts that we plan to undertake or to fund the completion of development of our product candidates or our other preclinical programs. Accordingly, we will be required to obtain further funding through public or private equity offerings, debt financings, collaborations and licensing arrangements or other sources. We may also seek third-party investments in or other strategic options for our subsidiary, OnkosXcel. Further financing may not be available to us on acceptable terms, or at all. In addition, we are reliant on the financial institutions with which we hold our cash and cash equivalents. If such institutions were to close, we may not be able to recover all of our cash or cash equivalents held at such institutions. Moreover, market volatility, credit crises, adverse macroeconomic conditions, such as high interest or inflation rates, or other factors, as well as Company-specific factors such as the progress of our development pipeline, adverse clinical events or results, regulatory investigations, or ongoing or potential legal proceedings, could also adversely impact our ability to access capital as and when needed. Our failure to raise capital as and when needed would have a negative impact on our financial condition and our ability to pursue our business strategy.</w:t>
      </w:r>
    </w:p>
    <w:p>
      <w:pPr>
        <w:spacing w:after="0" w:line="16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Management believes that the Company’s cash, cash equivalents and restricted cash of $17.2 million as of March 31, 2026, plus the $2.7 million of gross proceeds from sales pursuant to the Company ATM Program after March 31, 2026, will allow the Company to fund its operations and meet its liquidity requirements into the second quarter of 2026. There can be no assurance that we will be able to extend our cash runway.</w:t>
      </w:r>
    </w:p>
    <w:p>
      <w:pPr>
        <w:spacing w:after="0" w:line="139"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Furthermore, 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43" w:lineRule="exact"/>
        <w:rPr>
          <w:sz w:val="20"/>
          <w:szCs w:val="20"/>
          <w:color w:val="auto"/>
        </w:rPr>
      </w:pPr>
    </w:p>
    <w:p>
      <w:pPr>
        <w:ind w:left="720" w:right="41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our product candidates, including any delays that have occurred or may occur due to the recent developments with the TRANQUILITY program;</w:t>
      </w:r>
    </w:p>
    <w:p>
      <w:pPr>
        <w:spacing w:after="0" w:line="134" w:lineRule="exact"/>
        <w:rPr>
          <w:rFonts w:ascii="Times New Roman" w:cs="Times New Roman" w:eastAsia="Times New Roman" w:hAnsi="Times New Roman"/>
          <w:sz w:val="18"/>
          <w:szCs w:val="18"/>
          <w:color w:val="auto"/>
        </w:rPr>
      </w:pPr>
    </w:p>
    <w:p>
      <w:pPr>
        <w:ind w:left="720" w:right="101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the terms and timing of any collaborations, licensing agreements or other arrangements;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seeking regulatory approvals;</w:t>
      </w:r>
    </w:p>
    <w:p>
      <w:pPr>
        <w:spacing w:after="0" w:line="176" w:lineRule="exact"/>
        <w:rPr>
          <w:rFonts w:ascii="Times New Roman" w:cs="Times New Roman" w:eastAsia="Times New Roman" w:hAnsi="Times New Roman"/>
          <w:sz w:val="18"/>
          <w:szCs w:val="18"/>
          <w:color w:val="auto"/>
        </w:rPr>
      </w:pPr>
    </w:p>
    <w:p>
      <w:pPr>
        <w:ind w:left="720" w:right="299" w:hanging="319"/>
        <w:spacing w:after="0" w:line="22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16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received from commercial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our current and future product candidates;</w:t>
      </w:r>
    </w:p>
    <w:p>
      <w:pPr>
        <w:spacing w:after="0" w:line="100"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 related claims;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future product candidates that we pursue and their development requirements;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laws that may affect our operations;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physician acceptance or medical society recommendations that may affect commercial efforts;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potential new product candidates or technology;</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operations continue;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legal proceedings and investigations;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adverse market conditions or other macroeconomic factors.</w:t>
      </w:r>
    </w:p>
    <w:p>
      <w:pPr>
        <w:spacing w:after="0" w:line="185"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As we continue our research and development activities, we will require additional resources to continue as a going concern. We can provide no assurance that we will successfully obtain additional resources to improve our financial condition. If we are unable to obtain necessary additional capital, we could be compelled to pursue alternative options, including, without limitation, implementing further workforce reductions, reducing or ceasing product development programs and advancement of our clinical trials and product candidates, selling our assets or seeking other strategic alternatives. Our board of directors is evaluating a range of strategic options to maximize shareholder value and advance the commercial and development plans for IGALMI, which may include, but are not limited to, a sale of the Company, a merger or other business combination, a collaboration, joint venture, royalty or license agreement of all or a portion of our assets, a recapitalization or other financing transaction, or continued execution of our standalone operating plan. We have not made a decision to pursue any specific transaction or strategic option, no set timetable has been established for the completion of this process, and there can be no assurance that the process will result in any transaction or other particular outcome. The process itself may be costly and time-consuming, may divert the attention of our management and the board of directors, may create uncertainty for our employees, collaborators and counterparties, and may cause volatility in the trading price of our common stock.</w:t>
      </w:r>
    </w:p>
    <w:p>
      <w:pPr>
        <w:spacing w:after="0" w:line="193" w:lineRule="exact"/>
        <w:rPr>
          <w:sz w:val="20"/>
          <w:szCs w:val="20"/>
          <w:color w:val="auto"/>
        </w:rPr>
      </w:pPr>
    </w:p>
    <w:p>
      <w:pPr>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the Credit Agreement.</w:t>
      </w:r>
    </w:p>
    <w:p>
      <w:pPr>
        <w:spacing w:after="0" w:line="175" w:lineRule="exact"/>
        <w:rPr>
          <w:sz w:val="20"/>
          <w:szCs w:val="20"/>
          <w:color w:val="auto"/>
        </w:rPr>
      </w:pPr>
    </w:p>
    <w:p>
      <w:pPr>
        <w:ind w:left="60" w:right="479"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we had aggregate principal indebtedness of $104.0 million outstanding under our Credit Agreement and Guaranty (as amended, the “Credit Agreement”) by and among the Company, as the borrower, certain subsidiaries of the Company from time to time party thereto as subsidiary guarantors, the lenders party thereto (the “Lenders”), and Oaktree Fund Administration LLC (“OFA”) as administrative agent.</w:t>
      </w:r>
    </w:p>
    <w:p>
      <w:pPr>
        <w:spacing w:after="0" w:line="180"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Restrictive covenants in the Credit Agreement place limits on our ability to conduct our business. 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In addition, certain events, including receipt of a warning letter from the FDA, may constitute an event of default. We must also comply with certain covenants under the Credit Agreement, including a financial covenant that requires we maintain certain minimum cash liquidity amounts. In addition, certain events, including certain regulatory events and any “going concern” or similar qualification in a report of the Company’s independent registered public accountants relating to the Company’s annual financial statements (except for the years ended December 31, 2023, 2024 and 2025, which have been waived pursuant to the Ninth Amendment), constitute an event of default under the Credit Agreement.</w:t>
      </w:r>
    </w:p>
    <w:p>
      <w:pPr>
        <w:spacing w:after="0" w:line="192"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 Credit Agreement also includes other covenants relating to certain change of control events can also trigger an event of default under the Credit Agreement, including control by any entity or group of entities, other than BioXcel LLC and its affiliates, that acquires 35% or more of our voting capital stock. The Credit Agreement also contains a minimum liquidity covenant that, as of September 30, 2025, requires us to maintain at all times at least $15.0 million of unrestricted cash and cash equivalents, which was reduced to $12.5 million of unrestricted cash and cash equivalents in the Ninth Amendment. Additionally, pursuant to the Fifth Amendment to our Credit Agreement, we are required to make quarterly amortization payments equal to 5.0% of the principal amount outstanding under the Credit Agreement, together with applicable prepayment fees, beginning on March 31, 2026. These covenants may limit our flexibility in operating our business and our ability to take actions that might be advantageous to us and our shareholders.</w:t>
      </w:r>
    </w:p>
    <w:p>
      <w:pPr>
        <w:spacing w:after="0" w:line="188" w:lineRule="exact"/>
        <w:rPr>
          <w:sz w:val="20"/>
          <w:szCs w:val="20"/>
          <w:color w:val="auto"/>
        </w:rPr>
      </w:pPr>
    </w:p>
    <w:p>
      <w:pPr>
        <w:ind w:left="60" w:right="439" w:firstLine="324"/>
        <w:spacing w:after="0" w:line="243" w:lineRule="auto"/>
        <w:rPr>
          <w:sz w:val="20"/>
          <w:szCs w:val="20"/>
          <w:color w:val="auto"/>
        </w:rPr>
      </w:pPr>
      <w:r>
        <w:rPr>
          <w:rFonts w:ascii="Times New Roman" w:cs="Times New Roman" w:eastAsia="Times New Roman" w:hAnsi="Times New Roman"/>
          <w:sz w:val="17"/>
          <w:szCs w:val="17"/>
          <w:color w:val="auto"/>
        </w:rPr>
        <w:t>Our ability to make scheduled payments or payments to maintain compliance with covenants or to restructure or refinance these and other outstanding debt obligations depends on our financial and operating performance, including growth in revenue from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BXCL501, which will be affected by prevailing economic, industry and competitive conditions and by financial, business and other factors beyond our control. A failure to pay our debt, fixed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58" w:lineRule="auto"/>
        <w:rPr>
          <w:sz w:val="20"/>
          <w:szCs w:val="20"/>
          <w:color w:val="auto"/>
        </w:rPr>
      </w:pPr>
      <w:r>
        <w:rPr>
          <w:rFonts w:ascii="Times New Roman" w:cs="Times New Roman" w:eastAsia="Times New Roman" w:hAnsi="Times New Roman"/>
          <w:sz w:val="18"/>
          <w:szCs w:val="18"/>
          <w:color w:val="auto"/>
        </w:rPr>
        <w:t>costs and other obligations or a breach of our contractual obligations or other event of default could result in a variety of adverse consequences, including the acceleration of our obligations or the exercise of remedies by our creditors and lessors or otherwise exercise the rights of a secured creditor. In such a situation, it is unlikely that we would be able to cure our breach, fulfill our obligations, make required payments or otherwise cover our fixed costs, which would have a material adverse effect on our business, results of operations and financial condition.</w:t>
      </w:r>
    </w:p>
    <w:p>
      <w:pPr>
        <w:spacing w:after="0" w:line="183"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In addition, historically we have relied on debt and equity financings as our primary sources of liquidity. If our future cash flows and capital resources are insufficient to fund our debt service obligations, we may be forced to reduce or delay expenditures, sell assets, seek additional capital or seek to restructure or refinance our indebtedness. Additionally, under the terms of the Ninth Amendment, following receipt of aggregated gross proceeds from Capital Raise Activities, we have agreed to make a prepayment of the loans under the Credit Agreement in an aggregate principal amount equal to 50% of such gross cash proceeds, together with accrued interest thereon and any fees or premia (including prepayment premium) payable in connection therewith; provided that such prepayment requirement shall not be applicable (A) with respect to the first $2.5 million gross proceeds received from Capital Raise Activities and (B) once the aggregate principal amount of the prepaid pursuant to one or more of such prepayments equals $2.5 million. As a result, only a portion of the gross proceeds of Capital Raise Activities will be available to fund our operations, which may force us to raise additional capital sooner and on less favorable terms and may make it more difficult to maintain compliance with our minimum liquidity covenant. Any refinancing or restructuring of our indebtedness could be at higher interest rates and may require us to comply with more onerous covenants. These alternative measures may not be successful and may not permit us to meet our scheduled or any accelerated debt service obligations. In the absence of such cash flows and resources, we could face substantial liquidity problems and might be required to sell material assets or pursue other strategic alternatives to attempt to meet our debt service obligations.</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Clinical Reprioritization and other workforce reductions may not achieve our intended outcome.</w:t>
      </w:r>
    </w:p>
    <w:p>
      <w:pPr>
        <w:spacing w:after="0" w:line="229" w:lineRule="exact"/>
        <w:rPr>
          <w:sz w:val="20"/>
          <w:szCs w:val="20"/>
          <w:color w:val="auto"/>
        </w:rPr>
      </w:pPr>
    </w:p>
    <w:p>
      <w:pPr>
        <w:ind w:left="60" w:right="179" w:firstLine="324"/>
        <w:spacing w:after="0" w:line="239" w:lineRule="auto"/>
        <w:rPr>
          <w:sz w:val="20"/>
          <w:szCs w:val="20"/>
          <w:color w:val="auto"/>
        </w:rPr>
      </w:pPr>
      <w:r>
        <w:rPr>
          <w:rFonts w:ascii="Times New Roman" w:cs="Times New Roman" w:eastAsia="Times New Roman" w:hAnsi="Times New Roman"/>
          <w:sz w:val="18"/>
          <w:szCs w:val="18"/>
          <w:color w:val="auto"/>
        </w:rPr>
        <w:t>In August 2023, we announced a broad-based strategic clinical reprioritization (the “Clinical Reprioritization”) and have taken further restructuring actions since then. As part of these efforts, we have taken actions to reduce certain operational and workforce expenses that are no longer deemed core to our ongoing operations in order to extend our cash runway and drive innovation and growth in high potential clinical development and value creating opportunities. These actions include a shift in commercial strategy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institutional setting, a reduction of in-hospital commercialization expenses, a suspension of programs no longer determined to be core to ongoing operations, and a prioritization on at-home treatment setting opportunities for BXCL501. As part of this strategy, we reduced our workforce in 2023 by approximately 60%.</w:t>
      </w:r>
    </w:p>
    <w:p>
      <w:pPr>
        <w:spacing w:after="0" w:line="203"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In May and September 2024, we initiated further workforce reductions, and we may undertake further similar cost-saving initiatives, which may include additional restructuring or workforce reductions. These types of cost-reduction activities can be complex and result in unintended consequences and costs, including decreased employee morale, loss of institutional knowledge and expertise and adversely impact our business. We completed these additional restructuring actions to further reduce the workforce by 50%, ending the year ended December 31, 2024 with 37 full-time employees.</w:t>
      </w:r>
    </w:p>
    <w:p>
      <w:pPr>
        <w:spacing w:after="0" w:line="183"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reduction in force may result in unintended consequences and costs, such as the loss of institutional knowledge and expertise, attrition beyond the intended number of employees, decreased morale among our remaining employees, and the risk that we may not achieve the anticipated benefits of the reduction in force. In addition, while positions have been eliminated, certain functions necessary to our operations remain, and we may be unsuccessful in distributing the duties and obligations of departed employees among our remaining employees. The reduction in workforce could also make it difficult for us to pursue, or prevent us from pursuing, new opportunities and initiatives due to insufficient personnel, or require us to incur additional and unanticipated costs to hire new personnel to pursue such opportunities or initiatives. The workforce reduction could also harm our reputation, making our ability to recruit skilled personnel difficult. If we are unable to realize the anticipated benefits from the reduction in force, or if we experience significant adverse consequences from the reduction in force, our business, financial condition, and results of operations may be materially adversely affected.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24" w:lineRule="auto"/>
        <w:rPr>
          <w:sz w:val="20"/>
          <w:szCs w:val="20"/>
          <w:color w:val="auto"/>
        </w:rPr>
      </w:pPr>
      <w:r>
        <w:rPr>
          <w:rFonts w:ascii="Times New Roman" w:cs="Times New Roman" w:eastAsia="Times New Roman" w:hAnsi="Times New Roman"/>
          <w:sz w:val="18"/>
          <w:szCs w:val="18"/>
          <w:color w:val="auto"/>
        </w:rPr>
        <w:t>In addition, we may not realize the benefits of or there may be unanticipated costs associated with our Clinical Reprioritization. As a result of the Clinical Reprioritization, including our strategic refocus, we may not generate material revenues from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near term because our commercial force will be significantly reduced. If we are unable to commercialize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a different setting or unable to develop, receive marketing approval for and successfully commercialize BXCL501, BXCL701 and any of our other product candidates on our own or with any future collaborator, or experience delays because of any of these factors or otherwise, our business could be materially and substantially harmed.</w:t>
      </w:r>
    </w:p>
    <w:p>
      <w:pPr>
        <w:spacing w:after="0" w:line="204"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 addition, because we have limited financial and managerial resources, under our Clinical Reprioritization, we intend to focus on specific product candidates, indications and development programs. We may also conduct several clinical trials for our product candidates in parallel over the next several years, which may make our decision as to which product candidates to focus on more difficult. As a result, we may forgo or delay pursuit of opportunities with other product candidates or other indications that could have had greater commercial potential or likelihood of success.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 If we are not successful in increasing our efficiency as a result of this Clinical Reprioritization, our efforts to develop and commercialize our product candidates may be delayed or halted and our business could be materially adversely impacted.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Product Candidates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experience in drug discovery and drug development.</w:t>
      </w:r>
    </w:p>
    <w:p>
      <w:pPr>
        <w:spacing w:after="0" w:line="189"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Prior to the acquisition of our product and product candidates, we were not involved in and had no control over their preclinical and clinical development. In addition, we are relying upon the parties we acquired our product candidates from to have conducted research and development in accordance with the applicable protocol, legal, regulatory and scientific standards, accurately reported the results of all clinical trials conducted prior to our acquisition of the applicable product candidate, and correctly collected and interpreted the data from these studies and trials. To the extent any of these activities did not occur, our expected development time and costs could increase, which could adversely affect our prospects for marketing approval of, and receiving any future revenue from, these product candidates.</w:t>
      </w:r>
    </w:p>
    <w:p>
      <w:pPr>
        <w:spacing w:after="0" w:line="144"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Developments relating to our TRANQUILITY II Phase 3 trial may impact the timing of our development plans for, and prospects for seeking or obtaining regulatory approval of, BXCL501 for the acute treatment of agitation (non-daily) associated with dementia in patients with probable Alzheimer’s disease.</w:t>
      </w:r>
    </w:p>
    <w:p>
      <w:pPr>
        <w:spacing w:after="0" w:line="148"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Following our discovery of principal investigator misconduct at one of the clinical sites in our TRANQUILITY II Phase 3 clinical trial, we initiated an investigation into the issues associated with the trial. This principal investigator had previously been subject to a December 2022 FDA inspection of her clinical site in connection with the TRANQUILITY II clinical trial. At the conclusion of this inspection, the FDA issued an FDA Form-483 identifying three inspectional observations. These observations related to the principal investigator’s failure to adhere to the informed consent form approved by the Institutional Review Board for a limited number of subjects whose records the FDA reviewed, maintain adequate case histories for certain patients whose records the FDA reviewed, and adhere to the investigational plan in certain instances. For example, the FDA cited the principal investigator’s delay in informing the sponsor’s medical monitor or pharmacovigilance safety vendor of an SAE, for one of the subjects, which report was made to our vendor outside of the 24 hour time period prescribed by the clinical trial protocol. The principal investigator for this clinical site responded to the FDA observations within the time period requested. The FDA concluded that the inspection of a single site in its TRANQUILITY II Phase 3 trial is closed under 21 C.F.R.20.64(d)(3) and released the Establishment Inspection Report. The FDA has designated “Voluntary Action Indicated” for the site, which means objectionable conditions or practices were found without significant public health risks, but the agency is not prepared to take or recommend any administrative or regulatory action.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In May 2023, it came to our attention that this same principal investigator in the TRANQUILITY II clinical trial may have fabricated email correspondence around the time of the FDA inspection, purporting to demonstrate that the investigator timely submitted to our pharmacovigilance safety vendor a report of an SAE from a different subject than the one cited in the FDA Form-483, and purporting to show that the vendor had confirmed receipt. Upon receipt of this information, we promptly initiated an investigation and received confirmation that the principal investigator fabricated the email correspondence related to the timing of the reporting of this SAE to our pharmacovigilance vendor to make it appear as though this SAE had been timely reported as required by the clinical trial protocol. This principal investigator has not participated in any other clinical trial sponsored or conducted by us. Both we and the principal investigator’s employer have reported this incident to the FDA.</w:t>
      </w:r>
    </w:p>
    <w:p>
      <w:pPr>
        <w:spacing w:after="0" w:line="161" w:lineRule="exact"/>
        <w:rPr>
          <w:sz w:val="20"/>
          <w:szCs w:val="20"/>
          <w:color w:val="auto"/>
        </w:rPr>
      </w:pPr>
    </w:p>
    <w:p>
      <w:pPr>
        <w:jc w:val="both"/>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Since that time, we have taken steps to further investigate and evaluate the conduct of the TRANQUILITY II trial at this clinical site. Based on these steps to date, we believe that there have been no further instances of misconduct or fraud or other findings that adversely impact the data integrity or reliability of the eligibility, safety, and efficacy data obtained at the clinical trial site in question.</w:t>
      </w:r>
    </w:p>
    <w:p>
      <w:pPr>
        <w:spacing w:after="0" w:line="139" w:lineRule="exact"/>
        <w:rPr>
          <w:sz w:val="20"/>
          <w:szCs w:val="20"/>
          <w:color w:val="auto"/>
        </w:rPr>
      </w:pPr>
    </w:p>
    <w:p>
      <w:pPr>
        <w:ind w:left="60" w:right="159" w:firstLine="324"/>
        <w:spacing w:after="0" w:line="246" w:lineRule="auto"/>
        <w:rPr>
          <w:sz w:val="20"/>
          <w:szCs w:val="20"/>
          <w:color w:val="auto"/>
        </w:rPr>
      </w:pPr>
      <w:r>
        <w:rPr>
          <w:rFonts w:ascii="Times New Roman" w:cs="Times New Roman" w:eastAsia="Times New Roman" w:hAnsi="Times New Roman"/>
          <w:sz w:val="18"/>
          <w:szCs w:val="18"/>
          <w:color w:val="auto"/>
        </w:rPr>
        <w:t>The primary efficacy endpoint in TRANQUILITY II was the change in PEC score, which is a measurement of agitation severity captured by trained raters during an agitation episode. While change in PEC score has been used to support the approval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the acute treatment of agitation associated with schizophrenia or bipolar I or II disorder in adults, it has not been used as a primary endpoint to support the approval of a drug candidate for the treatment of agitation associated with Alzheimer’s Disease. Prior to initiating our TRANQUILITY II trial, we believe we reached alignment with FDA regarding the use of PEC scores as a primary endpoint to assess individual agitation episodes in dementia patients. In the normal course, we have been in communication with the FDA regarding the data and information needed to further support the consistency of the measurement of PEC ratings, and we believe that we have generated sufficient data to demonstrate such consistency. Following submission of certain data on PEC score from a separate study of raters assessing video vignettes, the FDA expressed certain concerns with respect to the reliability of PEC scores in that study. The FDA has requested that we provide additional information to support the consistency of the measurement of PEC ratings to assess the treatment of agitation associated with Alzheimer’s Disease. While we believe that we have generated sufficient data to demonstrate such consistency, and we plan to submit these data and analyses to the FDA, if the FDA disagrees, it may require that we provide more information to demonstrate reliability in the measurement of PEC scores and/or may require that we generate additional data to support the reliability of PEC score measurements in our TRANQUILITY II trial. There can be no assurances that any information or data we provide to FDA will sufficiently demonstrate the consistency and reliability of the PEC-score data from our TRANQUILITY II trial, or that our PEC-score data will not represent a potential review issue in connection with any application we may submit to FDA.</w:t>
      </w:r>
    </w:p>
    <w:p>
      <w:pPr>
        <w:spacing w:after="0" w:line="154"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In addition, we are continuing to seek feedback from the FDA with respect to our TRANQUILITY program. For example, on February 20, 2024, we held a Type B/Breakthrough Therapy designation meeting with the FDA. The original purpose of this meeting was to obtain feedback on the design of a proposed at-home study that did not include caregiver-collected efficacy endpoints, based on our belief that obtaining caregiver assessments of efficacy would be challenging. We believe there are no validated caregiver endpoints for assessing efficacy in Alzheimer’s disease patients in the at-home setting. As a result, we focused on requesting feedback from the FDA regarding our proposal for an at-home clinical study with safety as the primary objective, and to better understand what additional data would be required to submit an sNDA to support labeling for BXCL501 to include the acute treatment of agitation associated with dementia in probable Alzheimer’s disease or, in the alternative, in this population in the care setting only. In its preliminary responses, the FDA reiterated its prior comments that we generate additional efficacy data, including repeat-dose efficacy data, to support an sNDA submission, as the FDA indicated that our proposed efficacy database, which currently includes the 70 patients who have been treated with 60 mcg of BXCL501 in TRANQUILITY I and TRANQUILITY II, would not contain substantial evidence of effectiveness absent additional data. The FDA advised that we generate the necessary efficacy data in care facilities prior to conducting any trials in the at-home setting. In addition, the FDA indicated the need to generate long-term safety data to support an sNDA submission, including from probable Alzheimer’s disease patients exposed to BXCL501, for up to one year. We have received the final meeting minutes from the FDA, which we believe are consistent with the FDA’s preliminary responses and the subsequent meeting discussion. Based on the FDA’s feedback, we are currently planning to generate additional Phase 3 efficacy and safety data, in a variety of relevant care-facility settings and across severity of dementia, including through, among other things, conducting our planned TRANQULITY In-Care Phase 3 trial. In addition, we plan to discuss the details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9" w:lineRule="auto"/>
        <w:rPr>
          <w:sz w:val="20"/>
          <w:szCs w:val="20"/>
          <w:color w:val="auto"/>
        </w:rPr>
      </w:pPr>
      <w:r>
        <w:rPr>
          <w:rFonts w:ascii="Times New Roman" w:cs="Times New Roman" w:eastAsia="Times New Roman" w:hAnsi="Times New Roman"/>
          <w:sz w:val="17"/>
          <w:szCs w:val="17"/>
          <w:color w:val="auto"/>
        </w:rPr>
        <w:t>the requirement for long-term safety data at a future meeting with the FDA. Also, although we announced in November 2023 that we were planning to conduct a Phase 3 trial in the at-home setting, with safety as the primary objective (TRANQUILITY At Home), given the priority to expand the database to generate additional efficacy and safety data in care facilities, we are re-evaluating the timing for initiating TRANQUILITY At Home. Conducting any new clinical trial can take significant time, funding and resources, and there are no assurances we could raise sufficient capital or have the liquidity and resources to conduct further clinical trials in our TRANQUILITY program, including our planned TRANQUILITY In-Care Trial. Any new clinical trials conducted in our target patient populations may have different safety or efficacy results from the topline data the Company previously announced for the TRANQUILITY II clinical trial. Further, any government investigation, disqualification, or debarment of, or proceeding or action against the principal investigator, or any government investigation, proceeding or action against us, could further delay development and approval of BXCL501 for this indication, and otherwise have a material adverse effect on us, our financial condition (including triggering a potential event of default under our Credit Agreement), results of operations and prospects.</w:t>
      </w:r>
    </w:p>
    <w:p>
      <w:pPr>
        <w:spacing w:after="0" w:line="148"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limited clinical data supporting potential safety or efficacy of BXCL501 for use in the at-home setting in the acute treatment of agitation in patients with dementia due to probable Alzheimer’s disease and patients with schizophrenia and bipolar patients.</w:t>
      </w:r>
    </w:p>
    <w:p>
      <w:pPr>
        <w:spacing w:after="0" w:line="134"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 August 2023, we announced our intention to pursue the Clinical Reprioritization, including among other things, a shift in focus to primarily develop BXCL501 for use in expanded settings, including the at-home setting and care facilities, for the acute treatment of agitation in patients with dementia due to probable Alzheimer’s disease and the acute treatment of agitation in schizophrenia and bipolar patients in the at-home setting. Although we have conducted several clinical trials that evaluated BXCL501 in the institutional setting, and we have conducted the SERENITY At-Home Phase 3 trial evaluating the safety of BXCL501 for the acute treatment of agitation associated with bipolar disorders or schizophrenia in the at-home setting, we have not conducted a clinical trial evaluating the at-home use of BXCL501 in the acute treatment of agitation in patients with dementia due to probable Alzheimer’s disease.</w:t>
      </w:r>
    </w:p>
    <w:p>
      <w:pPr>
        <w:spacing w:after="0" w:line="151" w:lineRule="exact"/>
        <w:rPr>
          <w:sz w:val="20"/>
          <w:szCs w:val="20"/>
          <w:color w:val="auto"/>
        </w:rPr>
      </w:pPr>
    </w:p>
    <w:p>
      <w:pPr>
        <w:ind w:left="60" w:right="179" w:firstLine="324"/>
        <w:spacing w:after="0" w:line="236" w:lineRule="auto"/>
        <w:rPr>
          <w:sz w:val="20"/>
          <w:szCs w:val="20"/>
          <w:color w:val="auto"/>
        </w:rPr>
      </w:pPr>
      <w:r>
        <w:rPr>
          <w:rFonts w:ascii="Times New Roman" w:cs="Times New Roman" w:eastAsia="Times New Roman" w:hAnsi="Times New Roman"/>
          <w:sz w:val="18"/>
          <w:szCs w:val="18"/>
          <w:color w:val="auto"/>
        </w:rPr>
        <w:t>Although we intend to seek additional feedback from the FDA regarding the potential of our ongoing or completed clinical trials to support submission of one or more sNDAs and to support a label for use in the home setting for in patients with dementia due to probable Alzheimer’s disease, it is possible that the FDA may not consider our available data adequate to support such submissions. On January 14, 2026, we submitted a supplemental New Drug Application (sNDA) to the FDA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the acute treatment of agitation associated with schizophrenia and bipolar disorders in the at-home setting. This sNDA seeks to expand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’s label to include the broader at-home patient population where there are no FDA-approved options currently available. Although we announced on August 18, 2025 that we had received positive pre-sNDA meeting responses from the FDA and believe that the planned sNDA regulatory package will be sufficient to support the sNDA submission, there are no assurance that the FDA will accept the submission and it is possible that the FDA may not consider our available data adequate to support the submission. Further, even if the FDA accepts the sNDA submission, there is no assurance that the FDA will approve our sNDA and authorize an expanded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’s label to include the broader at-home patient population.</w:t>
      </w:r>
    </w:p>
    <w:p>
      <w:pPr>
        <w:spacing w:after="0" w:line="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example, on October 11, 2023, we received feedback from the FDA that TRANQUILITY I and TRANQUILITY</w:t>
      </w:r>
    </w:p>
    <w:p>
      <w:pPr>
        <w:spacing w:after="0" w:line="27" w:lineRule="exact"/>
        <w:rPr>
          <w:sz w:val="20"/>
          <w:szCs w:val="20"/>
          <w:color w:val="auto"/>
        </w:rPr>
      </w:pPr>
    </w:p>
    <w:p>
      <w:pPr>
        <w:ind w:left="60" w:right="219" w:hanging="10"/>
        <w:spacing w:after="0" w:line="253" w:lineRule="auto"/>
        <w:tabs>
          <w:tab w:leader="none" w:pos="22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alone are not sufficient to support an sNDA submission for the use of BXCL501 to treat acute agitation (non-daily) in patients with dementia due to probable Alzheimer’s disease in either the at-home setting or care facilities, and the FDA indicated that we should, among other things, conduct a further clinical trial to evaluate safety and collect efficacy data of BXCL501 before we are able to submit an sNDA seeking approval of BXCL501 for use in such populations.</w:t>
      </w:r>
    </w:p>
    <w:p>
      <w:pPr>
        <w:spacing w:after="0" w:line="148" w:lineRule="exact"/>
        <w:rPr>
          <w:sz w:val="20"/>
          <w:szCs w:val="20"/>
          <w:color w:val="auto"/>
        </w:rPr>
      </w:pPr>
    </w:p>
    <w:p>
      <w:pPr>
        <w:ind w:left="60" w:right="359" w:firstLine="324"/>
        <w:spacing w:after="0" w:line="256" w:lineRule="auto"/>
        <w:rPr>
          <w:sz w:val="20"/>
          <w:szCs w:val="20"/>
          <w:color w:val="auto"/>
        </w:rPr>
      </w:pPr>
      <w:r>
        <w:rPr>
          <w:rFonts w:ascii="Times New Roman" w:cs="Times New Roman" w:eastAsia="Times New Roman" w:hAnsi="Times New Roman"/>
          <w:sz w:val="18"/>
          <w:szCs w:val="18"/>
          <w:color w:val="auto"/>
        </w:rPr>
        <w:t>For a description of recent developments relating to our TRANQUILITY program, please see the prior risk factor, “</w:t>
      </w:r>
      <w:r>
        <w:rPr>
          <w:rFonts w:ascii="Times New Roman" w:cs="Times New Roman" w:eastAsia="Times New Roman" w:hAnsi="Times New Roman"/>
          <w:sz w:val="18"/>
          <w:szCs w:val="18"/>
          <w:i w:val="1"/>
          <w:iCs w:val="1"/>
          <w:color w:val="auto"/>
        </w:rPr>
        <w:t>Developments relating to our TRANQUILITY II Phase 3 trial may impact the timing of our development plans for,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 We cannot provide assurance that we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able to seek or obtain approval of BXCL501 for treatment of agitation in patients with dementia due to probable Alzheimer’s disease in the at-home setting based on this updated development plan.</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51" w:lineRule="auto"/>
        <w:rPr>
          <w:sz w:val="20"/>
          <w:szCs w:val="20"/>
          <w:color w:val="auto"/>
        </w:rPr>
      </w:pPr>
      <w:r>
        <w:rPr>
          <w:rFonts w:ascii="Times New Roman" w:cs="Times New Roman" w:eastAsia="Times New Roman" w:hAnsi="Times New Roman"/>
          <w:sz w:val="18"/>
          <w:szCs w:val="18"/>
          <w:color w:val="auto"/>
        </w:rPr>
        <w:t>Although we continue to seek feedback from the FDA with respect to our TRANQUILITY program, the FDA may not agree that any trial designs we propose are sufficient to establish both the safety and efficacy of BXCL501 for the acute treatment of agitation associated with dementia due to probable Alzheimer’s disease in either a care setting or an at-home setting. For example, to assess safety, the FDA has indicated that we need to expose more patients to BXCL501 for a longer period of time and that an efficacy trial of a shorter duration, combined with the patients in its previous trials, would not support submissions of an sNDA. Further, to assess efficacy in the home setting, the FDA may determine that we cannot rely on our previous studies of BXCL501 for this proposed indication since those studies were conducted in assisted living facilities and they are not comparable to the at-home setting. The FDA may also require us to seek approval for BXCL501 for use in care facilities prior to seeking any approval for at-home use in the targeted AD patient population. In particular, we are planning to generate additional Phase 3 safety and efficacy data in a variety of relevant care-facility settings, but even if our planned clinical efforts are successful and even if we are able to obtain approval of BXCL501 for use in patients with dementia due to probable Alzheimer's disease, we cannot provide assurance that we will be able to seek or obtain approval of BXCL501 for the treatment of agitation in patients with dementia due to probable Alzheimer’s disease in the at-home setting based on this data and we will be required to generate additional data to evaluate the at-home use of BXCL501 in our targeted Alzheimer's dementia population before we are able to seek approval for such at-home use in this population, if ever. In addition, the FDA may determine that we cannot rely on the data from our prior TRANQUILITY II Phase 3 trial to support an sNDA as a result of potential data integrity issues at the trial site, as the FDA may not agree with our belief that data reliability and integrity remain intact. See Part II, Item 1A, “Risk Factors—Risks Related to the Discovery and Development of Product Candidates—</w:t>
      </w:r>
      <w:r>
        <w:rPr>
          <w:rFonts w:ascii="Times New Roman" w:cs="Times New Roman" w:eastAsia="Times New Roman" w:hAnsi="Times New Roman"/>
          <w:sz w:val="18"/>
          <w:szCs w:val="18"/>
          <w:i w:val="1"/>
          <w:iCs w:val="1"/>
          <w:color w:val="auto"/>
        </w:rPr>
        <w:t>Developments relating to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TRANQUILITY II Phase 3 trial may impact the timing of its development 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 for additional information. If the FDA does not accept the data from our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TRANQUILITY II Phase 3 trial, we could be required to conduct additional clinical trials beyond those we currently contemplate, which would increase our costs and delay potential submission of an sNDA for BXCL501 which in turn would adversely affect our financial position and operations.</w:t>
      </w:r>
    </w:p>
    <w:p>
      <w:pPr>
        <w:spacing w:after="0" w:line="177"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Accordingly, if the FDA reaches these conclusions or otherwise finds that our proposed clinical studies would not adequately evaluate the safety and efficacy of BXCL501 for the acute treatment of agitation associated with dementia due to probable Alzheimer’s disease in an at-home setting and/or care setting, we may need to evaluate more patients for a longer period of time to demonstrate the safety and efficacy of BXCL501.</w:t>
      </w:r>
    </w:p>
    <w:p>
      <w:pPr>
        <w:spacing w:after="0" w:line="139" w:lineRule="exact"/>
        <w:rPr>
          <w:sz w:val="20"/>
          <w:szCs w:val="20"/>
          <w:color w:val="auto"/>
        </w:rPr>
      </w:pPr>
    </w:p>
    <w:p>
      <w:pPr>
        <w:ind w:left="60" w:right="159" w:firstLine="324"/>
        <w:spacing w:after="0" w:line="223" w:lineRule="auto"/>
        <w:rPr>
          <w:sz w:val="20"/>
          <w:szCs w:val="20"/>
          <w:color w:val="auto"/>
        </w:rPr>
      </w:pPr>
      <w:r>
        <w:rPr>
          <w:rFonts w:ascii="Times New Roman" w:cs="Times New Roman" w:eastAsia="Times New Roman" w:hAnsi="Times New Roman"/>
          <w:sz w:val="18"/>
          <w:szCs w:val="18"/>
          <w:color w:val="auto"/>
        </w:rPr>
        <w:t>With respect to our SERENITY program, we also held a Type C Meeting with the FDA on March 6, 2024 to obtain further feedback on our proposed changes to the design of SERENITY III Part 2, including with respect to the trial endpoints, and to discuss the content and format of a potential sNDA submission to expand the label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120 micrograms to the acute treatment of agitation associated with schizophrenia and bipolar disorders in the outpatient setting.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already approved at the 120 mcg dose based on efficacy data that we previously generated in treating a single episode of agitation. Consistent with the data generated to date, the label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currently includes a limitation on use (“LOU”), noting the lack of efficacy or safety data beyond 24 hours following the first dose. During our March 6, 2024 Type C meeting with the FDA, we discussed, among other things, whether evaluating the at-home use of BXCL501 120 mcg, with safety as the primary objective and efficacy measures as exploratory endpoints, if successful, could support the submission of an sNDA seeking expansion of the current label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120 mcg to allow at-home use and labeling without the current LOU. Based on current FDA feedback, we amended the Part 2 of the SERENITY III protocol to evaluate the safety and efficacy of the 120 mg dose in the at-home setting, and now refer to this revised trial as the SERENITY At-Home trial. On August 27, 2025, we announced that the SERENITY At-Home trial evaluating the safety of BXCL501, met its primary endpoint. Additionally, on October 14, 2025, we announced positive results from the correlation study related to exploratory efficacy outcomes from the SERENITY At-Home trial. The results from the correlation study along with that data from this successful study formed the basis of the supplemental New Drug Application (sNDA) submission for label expansion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at-home setting, which was submitted to the FDA on January 14, 2026.</w:t>
      </w:r>
    </w:p>
    <w:p>
      <w:pPr>
        <w:spacing w:after="0" w:line="174" w:lineRule="exact"/>
        <w:rPr>
          <w:sz w:val="20"/>
          <w:szCs w:val="20"/>
          <w:color w:val="auto"/>
        </w:rPr>
      </w:pPr>
    </w:p>
    <w:p>
      <w:pPr>
        <w:ind w:left="60" w:right="199" w:firstLine="324"/>
        <w:spacing w:after="0" w:line="265" w:lineRule="auto"/>
        <w:rPr>
          <w:sz w:val="20"/>
          <w:szCs w:val="20"/>
          <w:color w:val="auto"/>
        </w:rPr>
      </w:pPr>
      <w:r>
        <w:rPr>
          <w:rFonts w:ascii="Times New Roman" w:cs="Times New Roman" w:eastAsia="Times New Roman" w:hAnsi="Times New Roman"/>
          <w:sz w:val="18"/>
          <w:szCs w:val="18"/>
          <w:color w:val="auto"/>
        </w:rPr>
        <w:t>While we believe that the data from the SERENITY At-home trial supports our planned submission and that we have observed a sufficient number of agitation episodes during the study period to seek labeling without the current LOU and for approval in the at-home setting, there is no guarantee that the FDA will approve our submission and agree to expand of the current label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120 mcg to allow at-home use and labeling without the current LOU.</w:t>
      </w:r>
    </w:p>
    <w:p>
      <w:pPr>
        <w:sectPr>
          <w:pgSz w:w="11900" w:h="16838" w:orient="portrait"/>
          <w:cols w:equalWidth="0" w:num="1">
            <w:col w:w="9019"/>
          </w:cols>
          <w:pgMar w:left="1440" w:top="513" w:right="1440" w:bottom="1440" w:gutter="0" w:footer="0" w:header="0"/>
        </w:sectPr>
      </w:pP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firstLine="324"/>
        <w:spacing w:after="0" w:line="256" w:lineRule="auto"/>
        <w:rPr>
          <w:sz w:val="20"/>
          <w:szCs w:val="20"/>
          <w:color w:val="auto"/>
        </w:rPr>
      </w:pPr>
      <w:r>
        <w:rPr>
          <w:rFonts w:ascii="Times New Roman" w:cs="Times New Roman" w:eastAsia="Times New Roman" w:hAnsi="Times New Roman"/>
          <w:sz w:val="18"/>
          <w:szCs w:val="18"/>
          <w:color w:val="auto"/>
        </w:rPr>
        <w:t>Any modifications to our proposed trial designs, whether by us or by the FDA would delay our initiation of such proposed trials, increase the costs of any trial that we do conduct and delay any potential submission of an sNDAs for BXCL501. Requirements to conduct additional clinical trials evaluating BXCL501 in support of our sNDAs submission and any future sNDAs seeking approvals for BXCL501 for our targeted patient populations in at-home settings would increase our costs, and in either case, such modifications or requirements could have a material adverse effect on our prospects and results of operations.</w:t>
      </w:r>
    </w:p>
    <w:p>
      <w:pPr>
        <w:spacing w:after="0" w:line="148" w:lineRule="exact"/>
        <w:rPr>
          <w:sz w:val="20"/>
          <w:szCs w:val="20"/>
          <w:color w:val="auto"/>
        </w:rPr>
      </w:pPr>
    </w:p>
    <w:p>
      <w:pPr>
        <w:ind w:left="60" w:right="139"/>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In the near term, we are dependent on the success of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and the development of four of our product candidates, BXCL501, BXCL502, BXCL701 and BXCL702. If we are unable to complete the clinical development of or obtain marketing approval for our product candidates or successfully commercialize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and our other product candidates, either alone or with a collaborator, or if we experience significant delays in doing so, our business could be substantially harmed.</w:t>
      </w:r>
    </w:p>
    <w:p>
      <w:pPr>
        <w:spacing w:after="0" w:line="160" w:lineRule="exact"/>
        <w:rPr>
          <w:sz w:val="20"/>
          <w:szCs w:val="20"/>
          <w:color w:val="auto"/>
        </w:rPr>
      </w:pPr>
    </w:p>
    <w:p>
      <w:pPr>
        <w:ind w:left="60" w:right="159" w:firstLine="324"/>
        <w:spacing w:after="0" w:line="217" w:lineRule="auto"/>
        <w:rPr>
          <w:sz w:val="20"/>
          <w:szCs w:val="20"/>
          <w:color w:val="auto"/>
        </w:rPr>
      </w:pPr>
      <w:r>
        <w:rPr>
          <w:rFonts w:ascii="Times New Roman" w:cs="Times New Roman" w:eastAsia="Times New Roman" w:hAnsi="Times New Roman"/>
          <w:sz w:val="18"/>
          <w:szCs w:val="18"/>
          <w:color w:val="auto"/>
        </w:rPr>
        <w:t>We currently have only one product that has received regulatory approval and may never be able to develop additional marketable product candidates. We are continuing to invest a significant portion of our efforts and financial resources in the commercialization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development of our four product candidates, BXCL501, BXCL502, BXCL701 and BXCL702, as well as other product candidates. In connection with the Clinical Reprioritization, we have significantly reduced the resources devoted to commercialization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it is possible that will have adverse consequences on the revenue that we are able to generate from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near term. As part of the Company’s Clinical Reprioritization, the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commercial team shifted focus to a hospital/Integrated Delivery Network (“IDN”) contracting strategy with a Corporate Account Director (CAD) team. The goal of the realigned CAD team is to work with large IDNs and drive sales utilizing a top-down approach. Over time, the revised commercial effort is expected to allow the Company to continue to make inroads into the institutional market in a more cost-efficient manner. In January 2026, Mark Pavao joined the Company as Interim Chief Commercial Officer to support the potential launch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at-home setting, pending FDA approval of our sNDA submission. While this appointment strengthens our commercial readiness, we continue to have limited experience in marketing and selling drug products and may need to further expand our commercial team to successfully launch IGALMI for the at-home indication if approved.</w:t>
      </w:r>
    </w:p>
    <w:p>
      <w:pPr>
        <w:spacing w:after="0" w:line="164" w:lineRule="exact"/>
        <w:rPr>
          <w:sz w:val="20"/>
          <w:szCs w:val="20"/>
          <w:color w:val="auto"/>
        </w:rPr>
      </w:pPr>
    </w:p>
    <w:p>
      <w:pPr>
        <w:ind w:left="60" w:right="439" w:firstLine="324"/>
        <w:spacing w:after="0" w:line="266" w:lineRule="auto"/>
        <w:rPr>
          <w:sz w:val="20"/>
          <w:szCs w:val="20"/>
          <w:color w:val="auto"/>
        </w:rPr>
      </w:pPr>
      <w:r>
        <w:rPr>
          <w:rFonts w:ascii="Times New Roman" w:cs="Times New Roman" w:eastAsia="Times New Roman" w:hAnsi="Times New Roman"/>
          <w:sz w:val="18"/>
          <w:szCs w:val="18"/>
          <w:color w:val="auto"/>
        </w:rPr>
        <w:t>However, we have limited experience in drug development and commercialization, and our prospects are substantially dependent on our ability, or that of any future collaborator, to develop, obtain marketing approval for and successfully commercialize product candidates in one or more additional disease indications.</w:t>
      </w:r>
    </w:p>
    <w:p>
      <w:pPr>
        <w:spacing w:after="0" w:line="141" w:lineRule="exact"/>
        <w:rPr>
          <w:sz w:val="20"/>
          <w:szCs w:val="20"/>
          <w:color w:val="auto"/>
        </w:rPr>
      </w:pPr>
    </w:p>
    <w:p>
      <w:pPr>
        <w:ind w:left="60" w:right="259" w:firstLine="324"/>
        <w:spacing w:after="0" w:line="217" w:lineRule="auto"/>
        <w:rPr>
          <w:sz w:val="20"/>
          <w:szCs w:val="20"/>
          <w:color w:val="auto"/>
        </w:rPr>
      </w:pPr>
      <w:r>
        <w:rPr>
          <w:rFonts w:ascii="Times New Roman" w:cs="Times New Roman" w:eastAsia="Times New Roman" w:hAnsi="Times New Roman"/>
          <w:sz w:val="18"/>
          <w:szCs w:val="18"/>
          <w:color w:val="auto"/>
        </w:rPr>
        <w:t>The success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of BXCL501, BXCL701, BXCL502 and our other product candidates will depend on several factors, including the following:</w:t>
      </w:r>
    </w:p>
    <w:p>
      <w:pPr>
        <w:spacing w:after="0" w:line="158" w:lineRule="exact"/>
        <w:rPr>
          <w:sz w:val="20"/>
          <w:szCs w:val="20"/>
          <w:color w:val="auto"/>
        </w:rPr>
      </w:pPr>
    </w:p>
    <w:p>
      <w:pPr>
        <w:ind w:left="720" w:right="319" w:hanging="319"/>
        <w:spacing w:after="0" w:line="26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an investigational new drug application (“IND”) by the FDA or acceptance of comparable applications by foreign regulatory authorities allowing us to conduct clinical trials of our product candidates in the U.S. or in foreign jurisdictions;</w:t>
      </w:r>
    </w:p>
    <w:p>
      <w:pPr>
        <w:spacing w:after="0" w:line="135" w:lineRule="exact"/>
        <w:rPr>
          <w:rFonts w:ascii="Times New Roman" w:cs="Times New Roman" w:eastAsia="Times New Roman" w:hAnsi="Times New Roman"/>
          <w:sz w:val="18"/>
          <w:szCs w:val="18"/>
          <w:color w:val="auto"/>
        </w:rPr>
      </w:pPr>
    </w:p>
    <w:p>
      <w:pPr>
        <w:ind w:left="720" w:right="259" w:hanging="319"/>
        <w:spacing w:after="0" w:line="261"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progress, timing, costs and results of clinical trials of our product candidates and potential product candidates, including any delays caused by the developments relating to the TRANQUILITY program, and any additional trials we may need to conduct prior to seeking approvals for BXCL501 in at-home and/or care facilities;</w:t>
      </w:r>
    </w:p>
    <w:p>
      <w:pPr>
        <w:spacing w:after="0" w:line="152"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safety and efficacy of our product candidates to the satisfaction of the FDA, or any comparable foreign regulatory authority, and sufficient for marketing approval;</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performance of our current and future collaborators;</w:t>
      </w:r>
    </w:p>
    <w:p>
      <w:pPr>
        <w:spacing w:after="0" w:line="184" w:lineRule="exact"/>
        <w:rPr>
          <w:rFonts w:ascii="Times New Roman" w:cs="Times New Roman" w:eastAsia="Times New Roman" w:hAnsi="Times New Roman"/>
          <w:sz w:val="18"/>
          <w:szCs w:val="18"/>
          <w:color w:val="auto"/>
        </w:rPr>
      </w:pPr>
    </w:p>
    <w:p>
      <w:pPr>
        <w:ind w:left="720" w:right="93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required post-marketing clinical trials or other commitments to applicable regulatory authorities;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supply arrangements with third-party raw materials suppliers and manufacturers;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0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with third-party manufacturers to obtain finished drug product that is appropriately packaged for sale;</w:t>
      </w:r>
    </w:p>
    <w:p>
      <w:pPr>
        <w:spacing w:after="0" w:line="134"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ongoing availability of raw materials and drug product for clinical development and any commercial sales;</w:t>
      </w:r>
    </w:p>
    <w:p>
      <w:pPr>
        <w:spacing w:after="0" w:line="121" w:lineRule="exact"/>
        <w:rPr>
          <w:rFonts w:ascii="Times New Roman" w:cs="Times New Roman" w:eastAsia="Times New Roman" w:hAnsi="Times New Roman"/>
          <w:sz w:val="18"/>
          <w:szCs w:val="18"/>
          <w:color w:val="auto"/>
        </w:rPr>
      </w:pPr>
    </w:p>
    <w:p>
      <w:pPr>
        <w:ind w:left="720" w:right="79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protection and regulatory exclusivity, both in the U.S. and internationally;</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rights in our intellectual property portfolio;</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launch of commercial sales following any marketing approval;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by patients, the medical community and third-party payors;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w:t>
      </w:r>
    </w:p>
    <w:p>
      <w:pPr>
        <w:spacing w:after="0" w:line="185" w:lineRule="exact"/>
        <w:rPr>
          <w:sz w:val="20"/>
          <w:szCs w:val="20"/>
          <w:color w:val="auto"/>
        </w:rPr>
      </w:pPr>
    </w:p>
    <w:p>
      <w:pPr>
        <w:ind w:left="60" w:right="199" w:firstLine="324"/>
        <w:spacing w:after="0" w:line="236" w:lineRule="auto"/>
        <w:rPr>
          <w:sz w:val="20"/>
          <w:szCs w:val="20"/>
          <w:color w:val="auto"/>
        </w:rPr>
      </w:pPr>
      <w:r>
        <w:rPr>
          <w:rFonts w:ascii="Times New Roman" w:cs="Times New Roman" w:eastAsia="Times New Roman" w:hAnsi="Times New Roman"/>
          <w:sz w:val="18"/>
          <w:szCs w:val="18"/>
          <w:color w:val="auto"/>
        </w:rPr>
        <w:t>Many of these factors are beyond our control, including the results of clinical trials, the time required for the FDA, or any comparable foreign regulatory authorities, to review any regulatory submissions we may make, potential threats to our intellectual property rights and the manufacturing, marketing and sales efforts of any future collaborator. If we are unable to commercialize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develop, receive marketing approval for and successfully commercialize BXCL501, BXCL701 and our other product candidates, on our own or with any future collaborator, or experience delays because of any of these factors or otherwise, our business could be substantially harmed.</w:t>
      </w:r>
    </w:p>
    <w:p>
      <w:pPr>
        <w:spacing w:after="0" w:line="156"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48"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top-line or preliminary data from our clinical trials, which is based on a preliminary analysis of then-available data. The results and related findings and conclusions based on such preliminary data are subject to change, and have in the past changed,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54"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spacing w:after="0" w:line="143"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45"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time-consuming, expensive and inherently unpredictable, and if we are ultimately unable to obtain regulatory approval for our product candidates, our business will be substantially harmed.</w:t>
      </w:r>
    </w:p>
    <w:p>
      <w:pPr>
        <w:spacing w:after="0" w:line="134"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 setbacks in advanced clinical trials due to nonclinical findings made while clinical studies are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a product candidate’s clinical development and may vary among jurisdictions. We obtained regulatory approval for our first product candidate for the acute treatment of agitation associated with schizophrenia or bipolar I or II disorder, which is in the early stages of commercialization. It is possible that none of our other product candidates, or any product candidates we may seek to develop in the future, will ever obtain regulatory approval.</w:t>
      </w:r>
    </w:p>
    <w:p>
      <w:pPr>
        <w:spacing w:after="0" w:line="155"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Our current product candidates, or any that may be developed in the future, could fail to receive regulatory approval for many reasons, including the following:</w:t>
      </w:r>
    </w:p>
    <w:p>
      <w:pPr>
        <w:spacing w:after="0" w:line="135" w:lineRule="exact"/>
        <w:rPr>
          <w:sz w:val="20"/>
          <w:szCs w:val="20"/>
          <w:color w:val="auto"/>
        </w:rPr>
      </w:pPr>
    </w:p>
    <w:p>
      <w:pPr>
        <w:ind w:left="720" w:right="35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21"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121"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34" w:lineRule="exact"/>
        <w:rPr>
          <w:rFonts w:ascii="Times New Roman" w:cs="Times New Roman" w:eastAsia="Times New Roman" w:hAnsi="Times New Roman"/>
          <w:sz w:val="18"/>
          <w:szCs w:val="18"/>
          <w:color w:val="auto"/>
        </w:rPr>
      </w:pPr>
    </w:p>
    <w:p>
      <w:pPr>
        <w:ind w:left="720" w:right="73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2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 or to obtain regulatory approval in the U.S. or elsewhere;</w:t>
      </w:r>
    </w:p>
    <w:p>
      <w:pPr>
        <w:spacing w:after="0" w:line="121"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that our changes to branded reference drugs meet the criteria for the 505(b)(2) regulatory pathway or comparable foreign regulatory pathways;</w:t>
      </w:r>
    </w:p>
    <w:p>
      <w:pPr>
        <w:spacing w:after="0" w:line="134" w:lineRule="exact"/>
        <w:rPr>
          <w:rFonts w:ascii="Times New Roman" w:cs="Times New Roman" w:eastAsia="Times New Roman" w:hAnsi="Times New Roman"/>
          <w:sz w:val="18"/>
          <w:szCs w:val="18"/>
          <w:color w:val="auto"/>
        </w:rPr>
      </w:pPr>
    </w:p>
    <w:p>
      <w:pPr>
        <w:ind w:left="720" w:right="59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21"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21"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We have limited experience in completing clinical trials of product candidates. Consequently, we may not have the necessary capabilities, including adequate staffing, to successfully manage the execution and completion of clinical trials we initiate in a way that leads to our obtaining marketing approval for our product candidates in a timely manner, or at all. This lengthy approval process as well as the unpredictability of future clinical trial results may result in our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failing to obtain regulatory approval to market our product candidates, which would significantly harm our business, results of operations and prospects.</w:t>
      </w:r>
    </w:p>
    <w:p>
      <w:pPr>
        <w:spacing w:after="0" w:line="135" w:lineRule="exact"/>
        <w:rPr>
          <w:sz w:val="20"/>
          <w:szCs w:val="20"/>
          <w:color w:val="auto"/>
        </w:rPr>
      </w:pPr>
    </w:p>
    <w:p>
      <w:pPr>
        <w:ind w:left="60" w:right="259" w:firstLine="324"/>
        <w:spacing w:after="0" w:line="256"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 commercialization of that product candidate or may restrict its distribution. Any of the foregoing scenarios could materially harm the commercial prospects for our product candidates.</w:t>
      </w:r>
    </w:p>
    <w:p>
      <w:pPr>
        <w:spacing w:after="0" w:line="147" w:lineRule="exact"/>
        <w:rPr>
          <w:sz w:val="20"/>
          <w:szCs w:val="20"/>
          <w:color w:val="auto"/>
        </w:rPr>
      </w:pPr>
    </w:p>
    <w:p>
      <w:pPr>
        <w:ind w:left="60" w:right="159" w:firstLine="324"/>
        <w:spacing w:after="0" w:line="236" w:lineRule="auto"/>
        <w:rPr>
          <w:sz w:val="20"/>
          <w:szCs w:val="20"/>
          <w:color w:val="auto"/>
        </w:rPr>
      </w:pPr>
      <w:r>
        <w:rPr>
          <w:rFonts w:ascii="Times New Roman" w:cs="Times New Roman" w:eastAsia="Times New Roman" w:hAnsi="Times New Roman"/>
          <w:sz w:val="18"/>
          <w:szCs w:val="18"/>
          <w:color w:val="auto"/>
        </w:rPr>
        <w:t>We have only submitted one NDA to the FDA and have not submitted any similar marketing applications to comparable foreign authorities, for any product candidate. On January 14, 2026 we submitted a sNDA for label expansion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at-home setting based on the data from the successful SERENITY At-Home trial, we cannot be certain that our submission will be approved, or that our other product candidates currently in development, or any than may be developed in the future, will be successful in clinical trials or receive regulatory approval. Further, our product candidates currently in development, or any that may be developed in the future, may not receive regulatory approval even if we believe they are successful in clinical trials. If we do not receive regulatory approvals for additional product candidates, we may not be able to continue our operations. For any regulatory approvals to market one or more of our product candidates, our revenues will be dependent, in part, upon the size of the markets in the territories for which we gain regulatory approval and have commercial rights. If the markets for patients that we are targeting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our other product candidates are not as significant as we estimate, we may not generate significant revenues from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such other product candidates, if approved.</w:t>
      </w:r>
    </w:p>
    <w:p>
      <w:pPr>
        <w:spacing w:after="0" w:line="54"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We plan to seek regulatory approval to commercialize our product candidates in the U.S., the European Union (“EU”)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pacing w:after="0" w:line="156"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years. The CTR transition period ended on January 31, 2025, and all clinical trials (and related applications) are now fully subject to the provisions of the CTR.</w:t>
      </w:r>
    </w:p>
    <w:p>
      <w:pPr>
        <w:spacing w:after="0" w:line="154"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be impacted.</w:t>
      </w:r>
    </w:p>
    <w:p>
      <w:pPr>
        <w:spacing w:after="0" w:line="117" w:lineRule="exact"/>
        <w:rPr>
          <w:sz w:val="20"/>
          <w:szCs w:val="20"/>
          <w:color w:val="auto"/>
        </w:rPr>
      </w:pPr>
    </w:p>
    <w:p>
      <w:pPr>
        <w:ind w:left="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expensive, time-consuming, difficult to design, difficult to conduct, and involve an uncertain outcome.</w:t>
      </w:r>
    </w:p>
    <w:p>
      <w:pPr>
        <w:spacing w:after="0" w:line="132"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Before obtaining marketing approval from the FDA, or other comparable foreign regulatory authorities, for the sale of our product candidates, we must complete preclinical development and extensive clinical trials to demonstrate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38" w:lineRule="auto"/>
        <w:rPr>
          <w:sz w:val="20"/>
          <w:szCs w:val="20"/>
          <w:color w:val="auto"/>
        </w:rPr>
      </w:pPr>
      <w:r>
        <w:rPr>
          <w:rFonts w:ascii="Times New Roman" w:cs="Times New Roman" w:eastAsia="Times New Roman" w:hAnsi="Times New Roman"/>
          <w:sz w:val="18"/>
          <w:szCs w:val="18"/>
          <w:color w:val="auto"/>
        </w:rPr>
        <w:t>safety and efficacy of our product candidates, in accordance with applicable law and regulations. Failure can occur at any time during the clinical trial process. We have completed the SERENITY At-Home trial evaluating the safety of BXCL501 and, on January 14, 2026, submitted an sNDA for label expansion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at-home setting based on the data from the successful SERENITY At-Home trial and are planning for certain clinical trials relating to BXCL501, BXCL701, BXCL502 and our other product candidates, there can be no assurance that the FDA, or other comparable foreign regulatory authorities, will accept our submission or proposed trial designs as sufficient to establish the safety and/or efficacy of our product candidates.</w:t>
      </w:r>
    </w:p>
    <w:p>
      <w:pPr>
        <w:spacing w:after="0" w:line="173"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35" w:lineRule="exact"/>
        <w:rPr>
          <w:sz w:val="20"/>
          <w:szCs w:val="20"/>
          <w:color w:val="auto"/>
        </w:rPr>
      </w:pPr>
    </w:p>
    <w:p>
      <w:pPr>
        <w:ind w:left="720" w:right="45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as to the design or implementation of our clinical studies;</w:t>
      </w:r>
    </w:p>
    <w:p>
      <w:pPr>
        <w:spacing w:after="0" w:line="121"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allowances or authorizations to commence a trial or consensus with regulatory authorities on trial designs;</w:t>
      </w:r>
    </w:p>
    <w:p>
      <w:pPr>
        <w:spacing w:after="0" w:line="134" w:lineRule="exact"/>
        <w:rPr>
          <w:rFonts w:ascii="Times New Roman" w:cs="Times New Roman" w:eastAsia="Times New Roman" w:hAnsi="Times New Roman"/>
          <w:sz w:val="18"/>
          <w:szCs w:val="18"/>
          <w:color w:val="auto"/>
        </w:rPr>
      </w:pPr>
    </w:p>
    <w:p>
      <w:pPr>
        <w:jc w:val="both"/>
        <w:ind w:left="720" w:right="219" w:hanging="319"/>
        <w:spacing w:after="0" w:line="266"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contract research organizations (“CROs”) and clinical trial sites, the terms of which can be subject to extensive negotiation and may vary significantly among different CROs and trial sites;</w:t>
      </w:r>
    </w:p>
    <w:p>
      <w:pPr>
        <w:spacing w:after="0" w:line="135"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approval at each site, or independent ethics committee approval at any sites outside the U.S.;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the needs and timing of third-party collaborators;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protocols;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trial in a timely manner and in sufficient numbers;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patient safety concerns that arise during the course of a trial;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trial or return for post-treatment follow-up;</w:t>
      </w:r>
    </w:p>
    <w:p>
      <w:pPr>
        <w:spacing w:after="0" w:line="184"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including as a result of unforeseen safety issues or side effects or failure of trial sites to adhere to regulatory requirements;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SAEs in trials of the same class of agents conducted by other companies or institutions;</w:t>
      </w:r>
    </w:p>
    <w:p>
      <w:pPr>
        <w:spacing w:after="0" w:line="184" w:lineRule="exact"/>
        <w:rPr>
          <w:rFonts w:ascii="Times New Roman" w:cs="Times New Roman" w:eastAsia="Times New Roman" w:hAnsi="Times New Roman"/>
          <w:sz w:val="18"/>
          <w:szCs w:val="18"/>
          <w:color w:val="auto"/>
        </w:rPr>
      </w:pPr>
    </w:p>
    <w:p>
      <w:pPr>
        <w:ind w:left="720" w:right="93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choosing an alternative treatment for the indications for which we are developing our product candidates, or participating in competing trials;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sufficient number of clinical trial sites;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a product candidate for use in clinical trials;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initiate or continue clinical trials;</w:t>
      </w:r>
    </w:p>
    <w:p>
      <w:pPr>
        <w:spacing w:after="0" w:line="184"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 points that require prolonged periods of clinical observation or analysis of the resulting data;</w:t>
      </w:r>
    </w:p>
    <w:p>
      <w:pPr>
        <w:spacing w:after="0" w:line="134" w:lineRule="exact"/>
        <w:rPr>
          <w:rFonts w:ascii="Times New Roman" w:cs="Times New Roman" w:eastAsia="Times New Roman" w:hAnsi="Times New Roman"/>
          <w:sz w:val="18"/>
          <w:szCs w:val="18"/>
          <w:color w:val="auto"/>
        </w:rPr>
      </w:pPr>
    </w:p>
    <w:p>
      <w:pPr>
        <w:ind w:left="720" w:right="71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our product candidates or any of their components being ordered by the FDA, or comparable foreign regulatory authorities, to temporarily or permanently shut down due to violations of</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59"/>
        <w:spacing w:after="0" w:line="282" w:lineRule="auto"/>
        <w:rPr>
          <w:sz w:val="20"/>
          <w:szCs w:val="20"/>
          <w:color w:val="auto"/>
        </w:rPr>
      </w:pPr>
      <w:r>
        <w:rPr>
          <w:rFonts w:ascii="Times New Roman" w:cs="Times New Roman" w:eastAsia="Times New Roman" w:hAnsi="Times New Roman"/>
          <w:sz w:val="18"/>
          <w:szCs w:val="18"/>
          <w:color w:val="auto"/>
        </w:rPr>
        <w:t>current good manufacturing practice (“cGMP”) regulations or other applicable requirements, or infections or cross-contaminations of product candidates in the manufacturing process;</w:t>
      </w:r>
    </w:p>
    <w:p>
      <w:pPr>
        <w:spacing w:after="0" w:line="135" w:lineRule="exact"/>
        <w:rPr>
          <w:sz w:val="20"/>
          <w:szCs w:val="20"/>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that may be necessary or desired;</w:t>
      </w:r>
    </w:p>
    <w:p>
      <w:pPr>
        <w:spacing w:after="0" w:line="184" w:lineRule="exact"/>
        <w:rPr>
          <w:rFonts w:ascii="Times New Roman" w:cs="Times New Roman" w:eastAsia="Times New Roman" w:hAnsi="Times New Roman"/>
          <w:sz w:val="18"/>
          <w:szCs w:val="18"/>
          <w:color w:val="auto"/>
        </w:rPr>
      </w:pPr>
    </w:p>
    <w:p>
      <w:pPr>
        <w:ind w:left="720" w:right="359" w:hanging="319"/>
        <w:spacing w:after="0" w:line="266"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not performing our clinical trials on our anticipated schedule or consistent with the clinical trial protocol, GCPs or other regulatory requirements; or</w:t>
      </w:r>
    </w:p>
    <w:p>
      <w:pPr>
        <w:spacing w:after="0" w:line="135" w:lineRule="exact"/>
        <w:rPr>
          <w:rFonts w:ascii="Times New Roman" w:cs="Times New Roman" w:eastAsia="Times New Roman" w:hAnsi="Times New Roman"/>
          <w:sz w:val="18"/>
          <w:szCs w:val="18"/>
          <w:color w:val="auto"/>
        </w:rPr>
      </w:pPr>
    </w:p>
    <w:p>
      <w:pPr>
        <w:ind w:left="720" w:right="219" w:hanging="319"/>
        <w:spacing w:after="0" w:line="256"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not performing data collection or analysis in a timely or accurate manner; third-party contractors not complying with training and trial protocol; or third-party contractors becoming debarred or suspended or otherwise penalized by the FDA, such as in the case of the recent events relating to the TRANQUILITY II clinical trial,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60"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the Data Safety Monitoring Board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Furthermore, we rely on CROs and clinical trial sites to ensure the proper and timely conduct of our clinical trials and, while we have agreements governing their committed activities, we have limited influence over their actual performance, which increases the risk that such CROs or trial sites may fail to perform in accordance with regulatory requirements, clinical trial protocols or with the agreements governing their services to us. For example, investigator misconduct affecting our TRANQUILITY II trial, which evaluated BXCL501 in patients with probable Alzheimer’s disease, may have a material adverse impact on our development program for BXCL501 in these patients, as described more fully in the risk factor above entitled: “</w:t>
      </w:r>
      <w:r>
        <w:rPr>
          <w:rFonts w:ascii="Times New Roman" w:cs="Times New Roman" w:eastAsia="Times New Roman" w:hAnsi="Times New Roman"/>
          <w:sz w:val="18"/>
          <w:szCs w:val="18"/>
          <w:i w:val="1"/>
          <w:iCs w:val="1"/>
          <w:color w:val="auto"/>
        </w:rPr>
        <w:t>Developments relating to our TRANQUILITY II Phase 3 trial may impact the timing of our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due to differences in health care services or cultural customs, managing additional administrative burdens associated with foreign regulatory schemes, as well as political and economic risks relevant to such foreign countries. For example, current geopolitical conflicts in Eastern Europe and the Middle East may adversely impact our ability to conduct trials in those regions and elsewhere.</w:t>
      </w:r>
    </w:p>
    <w:p>
      <w:pPr>
        <w:spacing w:after="0" w:line="147"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58" w:lineRule="exact"/>
        <w:rPr>
          <w:sz w:val="20"/>
          <w:szCs w:val="20"/>
          <w:color w:val="auto"/>
        </w:rPr>
      </w:pPr>
    </w:p>
    <w:p>
      <w:pPr>
        <w:jc w:val="both"/>
        <w:ind w:left="6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enrollment and evaluation of patients in our clinical trials to continue development of our product candidates. If we are unable to enroll patients in our clinical trials, our research and development efforts could be adversely affected.</w:t>
      </w:r>
    </w:p>
    <w:p>
      <w:pPr>
        <w:spacing w:after="0" w:line="134"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and evaluate a sufficient number of patients who remain in the study until its conclusion. We may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experience difficulties in patient enrollment or evaluation in our clinical trials for a variety of reasons. Patient enrollment and evaluation is affected by many factors including the size and nature of the patient population, the proximity of patients to clinical sites, the eligibility criteria for the trial, the design of the clinical trial, the size of the patient population required for analysis of the trial’s primary endpoints, our ability to recruit clinical trial investigators with the appropriate competencies and experience, our ability to obtain and maintain patient consents, the risk that patients enrolled in clinical trials will drop out of the trials before evaluation or completion, the frequency of acute agitation symptoms in enrolled patients, the opportunity for evaluation of patients enrolled in our trials, and competing clinical trials and clinicians’ and patients’ perceptions as to the potential advantages of the drug being studied in relation to other available therapies, including any new drugs that may be approved for the indications we are investigating. Many pharmaceutical companies are conducting clinical trials in patients with the disease indications that our product candidates are designed to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 inability to meet planned patient enrollment may result in increased costs and delay or termination of our trials, which could have a harmful effect on our ability to develop products.</w:t>
      </w:r>
    </w:p>
    <w:p>
      <w:pPr>
        <w:spacing w:after="0" w:line="164" w:lineRule="exact"/>
        <w:rPr>
          <w:sz w:val="20"/>
          <w:szCs w:val="20"/>
          <w:color w:val="auto"/>
        </w:rPr>
      </w:pPr>
    </w:p>
    <w:p>
      <w:pPr>
        <w:jc w:val="both"/>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w:t>
      </w:r>
    </w:p>
    <w:p>
      <w:pPr>
        <w:spacing w:after="0" w:line="134"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The clinical evaluation of BXCL501, BXCL502, BXCL701, BXCL702 and our other product candidates in patients, in many cases, is ongoing and it is possible that there may be side effects associated with their use. Results of our trials could reveal a high and unacceptable severity and prevalence of these or other side effects. For example, in our Phase 2 clinical trial of BXCL701 for the treatment of emergent neuroendocrine prostate cancer, one patient experienced acidosis with a fatal outcome. Although the clinical investigator could not determine that the fatality was related to treatment with BXCL701, it is possible that BXCL701 could be tied to unacceptable side effects in the future.</w:t>
      </w:r>
    </w:p>
    <w:p>
      <w:pPr>
        <w:spacing w:after="0" w:line="148"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If we observe drug-related AEs or other unacceptable safety concerns in clinical trials,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For example, the FDA placed Point Therapeutics, Inc.’s IND for BXCL701 on clinical hold following an increase in observed mortality in patients receiving BXCL701 in a Phase 3 trial in patients with non-small cell lung cancer. Though we believe that this result was caused by, among other things, an imbalance in the disease severity of patients enrolled in the active arm of the clinical trial, there is no guarantee that excess mortality will not be observed in future clinical studies.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We expect to have to train medical personnel using our product candidates to understand the side effect profiles observed in our clinical trials and upon commercialization of any of our product candidates that may receive regulatory approval. Inadequate training in recognizing or managing the potential side effects of our product candidates could result in patient injury or death. Any of these occurrences may harm our business, financial condition and prospects significantly.</w:t>
      </w:r>
    </w:p>
    <w:p>
      <w:pPr>
        <w:spacing w:after="0" w:line="162" w:lineRule="exact"/>
        <w:rPr>
          <w:sz w:val="20"/>
          <w:szCs w:val="20"/>
          <w:color w:val="auto"/>
        </w:rPr>
      </w:pPr>
    </w:p>
    <w:p>
      <w:pPr>
        <w:ind w:left="60" w:right="679" w:firstLine="324"/>
        <w:spacing w:after="0" w:line="226" w:lineRule="auto"/>
        <w:rPr>
          <w:sz w:val="20"/>
          <w:szCs w:val="20"/>
          <w:color w:val="auto"/>
        </w:rPr>
      </w:pPr>
      <w:r>
        <w:rPr>
          <w:rFonts w:ascii="Times New Roman" w:cs="Times New Roman" w:eastAsia="Times New Roman" w:hAnsi="Times New Roman"/>
          <w:sz w:val="18"/>
          <w:szCs w:val="18"/>
          <w:color w:val="auto"/>
        </w:rPr>
        <w:t>Additionally, if we or others later identify undesirable side effects caused by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any other product candidate that receives marketing approval, a number of potentially significant negative consequences could result, including:</w:t>
      </w:r>
    </w:p>
    <w:p>
      <w:pPr>
        <w:spacing w:after="0" w:line="160" w:lineRule="exact"/>
        <w:rPr>
          <w:sz w:val="20"/>
          <w:szCs w:val="20"/>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a product is administered to patients;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91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or distribution of the particular product or the manufacturing processes for the product or any component thereof;</w:t>
      </w:r>
    </w:p>
    <w:p>
      <w:pPr>
        <w:spacing w:after="0" w:line="134" w:lineRule="exact"/>
        <w:rPr>
          <w:rFonts w:ascii="Times New Roman" w:cs="Times New Roman" w:eastAsia="Times New Roman" w:hAnsi="Times New Roman"/>
          <w:sz w:val="18"/>
          <w:szCs w:val="18"/>
          <w:color w:val="auto"/>
        </w:rPr>
      </w:pPr>
    </w:p>
    <w:p>
      <w:pPr>
        <w:ind w:left="720" w:right="99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such as a “black box” warning or contraindication;</w:t>
      </w:r>
    </w:p>
    <w:p>
      <w:pPr>
        <w:spacing w:after="0" w:line="121" w:lineRule="exact"/>
        <w:rPr>
          <w:rFonts w:ascii="Times New Roman" w:cs="Times New Roman" w:eastAsia="Times New Roman" w:hAnsi="Times New Roman"/>
          <w:sz w:val="18"/>
          <w:szCs w:val="18"/>
          <w:color w:val="auto"/>
        </w:rPr>
      </w:pPr>
    </w:p>
    <w:p>
      <w:pPr>
        <w:jc w:val="both"/>
        <w:ind w:left="720" w:right="359" w:hanging="319"/>
        <w:spacing w:after="0" w:line="312" w:lineRule="auto"/>
        <w:tabs>
          <w:tab w:leader="none" w:pos="7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implement Risk Evaluation and Mitigation Strategies (“REMS”) or create a medication guide outlining the risks of such side effects for distribution to patients, or similar risk management measures;</w:t>
      </w:r>
    </w:p>
    <w:p>
      <w:pPr>
        <w:spacing w:after="0" w:line="99"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may become less competitive;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85"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or product candidate, if approved, and could significantly harm our business, results of operations and prospects.</w:t>
      </w:r>
    </w:p>
    <w:p>
      <w:pPr>
        <w:spacing w:after="0" w:line="131" w:lineRule="exact"/>
        <w:rPr>
          <w:sz w:val="20"/>
          <w:szCs w:val="20"/>
          <w:color w:val="auto"/>
        </w:rPr>
      </w:pPr>
    </w:p>
    <w:p>
      <w:pPr>
        <w:jc w:val="both"/>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discovery and development of product candidates based on EvolverAI, BioXcel LLC’s proprietary pharmaceutical discovery and development engine, as well as our own AI platform is novel and unproven, and we do not know whether we will be able to develop any products of commercial value.</w:t>
      </w:r>
    </w:p>
    <w:p>
      <w:pPr>
        <w:spacing w:after="0" w:line="134" w:lineRule="exact"/>
        <w:rPr>
          <w:sz w:val="20"/>
          <w:szCs w:val="20"/>
          <w:color w:val="auto"/>
        </w:rPr>
      </w:pPr>
    </w:p>
    <w:p>
      <w:pPr>
        <w:ind w:left="60" w:right="139" w:firstLine="324"/>
        <w:spacing w:after="0" w:line="245" w:lineRule="auto"/>
        <w:rPr>
          <w:sz w:val="20"/>
          <w:szCs w:val="20"/>
          <w:color w:val="auto"/>
        </w:rPr>
      </w:pPr>
      <w:r>
        <w:rPr>
          <w:rFonts w:ascii="Times New Roman" w:cs="Times New Roman" w:eastAsia="Times New Roman" w:hAnsi="Times New Roman"/>
          <w:sz w:val="18"/>
          <w:szCs w:val="18"/>
          <w:color w:val="auto"/>
        </w:rPr>
        <w:t>Our drug discovery and development efforts depend on our own AI platform and BioXcel LLC’s EvolverAI, a proprietary pharmaceutical discovery and development engine, to create a pipeline of neuroscience and immuno-oncology product candidates for patients whose diseases have not been adequately addressed to date by other approaches and to design and conduct efficient clinical trials with a higher likelihood of success. While we believe that applying our AI platform and BioXcel LLC’s EvolverAI to create medicines for defined patient populations may potentially enable drug research and clinical development that is more efficient than conventional drug research and development, our approach is novel. Although we obtained FDA approval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because our approach is novel, the cost and time needed to develop our product candidates is difficult to predict, and our efforts may not result in the discovery and development of commercially viable medicines. We may also be incorrect about the effects of our product and product candidates on 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 not attract collaborators or develop new drugs as quickly or cost effectively as expected and therefore we may not be able to commercialize our approach as originally expected.</w:t>
      </w:r>
    </w:p>
    <w:p>
      <w:pPr>
        <w:spacing w:after="0" w:line="153"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132"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for specific use cases reviewed by legal and information security.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39"/>
        <w:spacing w:after="0" w:line="312" w:lineRule="auto"/>
        <w:rPr>
          <w:sz w:val="20"/>
          <w:szCs w:val="20"/>
          <w:color w:val="auto"/>
        </w:rPr>
      </w:pPr>
      <w:r>
        <w:rPr>
          <w:rFonts w:ascii="Times New Roman" w:cs="Times New Roman" w:eastAsia="Times New Roman" w:hAnsi="Times New Roman"/>
          <w:sz w:val="17"/>
          <w:szCs w:val="17"/>
          <w:color w:val="auto"/>
        </w:rPr>
        <w:t>the theft and misuse of personal information, confidential information, and intellectual property. Any of these outcomes could damage our reputation, result in the loss of valuable property and information, and adversely impact our business.</w:t>
      </w:r>
    </w:p>
    <w:p>
      <w:pPr>
        <w:spacing w:after="0" w:line="113"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Additionally, our use of AI and machine learning may be subject to laws and evolving regulations regarding the use of AI or machine learning, controlling for data bias, and anti-discrimination, and we may not always be able to anticipate how to respond to these laws or regulations. Further, there is an increase in litigation in a number of jurisdictions, including the United States, relating to the use of AI, particularly generative AI.</w:t>
      </w:r>
    </w:p>
    <w:p>
      <w:pPr>
        <w:spacing w:after="0" w:line="13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50" w:lineRule="exact"/>
        <w:rPr>
          <w:sz w:val="20"/>
          <w:szCs w:val="20"/>
          <w:color w:val="auto"/>
        </w:rPr>
      </w:pPr>
    </w:p>
    <w:p>
      <w:pPr>
        <w:ind w:left="60" w:right="8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AI platform and BioXcel LLC’s EvolverAI may fail to help us discover and develop additional potential product candidates.</w:t>
      </w:r>
    </w:p>
    <w:p>
      <w:pPr>
        <w:spacing w:after="0" w:line="132" w:lineRule="exact"/>
        <w:rPr>
          <w:sz w:val="20"/>
          <w:szCs w:val="20"/>
          <w:color w:val="auto"/>
        </w:rPr>
      </w:pPr>
    </w:p>
    <w:p>
      <w:pPr>
        <w:ind w:left="60" w:right="219" w:firstLine="324"/>
        <w:spacing w:after="0" w:line="281" w:lineRule="auto"/>
        <w:rPr>
          <w:sz w:val="20"/>
          <w:szCs w:val="20"/>
          <w:color w:val="auto"/>
        </w:rPr>
      </w:pPr>
      <w:r>
        <w:rPr>
          <w:rFonts w:ascii="Times New Roman" w:cs="Times New Roman" w:eastAsia="Times New Roman" w:hAnsi="Times New Roman"/>
          <w:sz w:val="17"/>
          <w:szCs w:val="17"/>
          <w:color w:val="auto"/>
        </w:rPr>
        <w:t>Any drug discovery that we conduct using the Company’s AI platform and BioXcel LLC’s EvolverAI may not be successful in identifying compounds that have commercial value or therapeutic utility. The Company’s AI platform and BioXcel LLC’s EvolverAI may initially show promise in identifying potential product candidates, yet fail to yield viable additional product candidates for clinical development or potential commercialization for a number of reasons, including:</w:t>
      </w:r>
    </w:p>
    <w:p>
      <w:pPr>
        <w:spacing w:after="0" w:line="124" w:lineRule="exact"/>
        <w:rPr>
          <w:sz w:val="20"/>
          <w:szCs w:val="20"/>
          <w:color w:val="auto"/>
        </w:rPr>
      </w:pPr>
    </w:p>
    <w:p>
      <w:pPr>
        <w:ind w:left="720" w:right="339" w:hanging="319"/>
        <w:spacing w:after="0" w:line="258"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142" w:lineRule="exact"/>
        <w:rPr>
          <w:rFonts w:ascii="Times New Roman" w:cs="Times New Roman" w:eastAsia="Times New Roman" w:hAnsi="Times New Roman"/>
          <w:sz w:val="18"/>
          <w:szCs w:val="18"/>
          <w:color w:val="auto"/>
        </w:rPr>
      </w:pPr>
    </w:p>
    <w:p>
      <w:pPr>
        <w:ind w:left="720" w:right="55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compounds found through the Company’s AI platform and BioXcel LLC’s EvolverAI may not demonstrate efficacy, safety or tolerability;</w:t>
      </w:r>
    </w:p>
    <w:p>
      <w:pPr>
        <w:spacing w:after="0" w:line="134"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or other characteristics that indicate that they are unlikely to receive marketing approval and achieve market acceptance;</w:t>
      </w:r>
    </w:p>
    <w:p>
      <w:pPr>
        <w:spacing w:after="0" w:line="121"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 therapies that render our potential product candidates non-competitive or less attractive; or</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product candidate may not be capable of being produced at an acceptable cost.</w:t>
      </w:r>
    </w:p>
    <w:p>
      <w:pPr>
        <w:spacing w:after="0" w:line="194"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Regulators may limit our ability to develop or implement our proprietary AI algorithms and/or may eliminate or restrict the confidentiality of our proprietary technology, which could have an adverse effect on our business, results of operations, and financial condition.</w:t>
      </w:r>
    </w:p>
    <w:p>
      <w:pPr>
        <w:spacing w:after="0" w:line="134"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Our future success in novel drug discovery and drug development projects depends on our ability to continue to develop and implement our proprietary AI algorithms and models, and to maintain the confidentiality of this technology. In addition to the current pause in further developing our AI platform, changes to existing regulations, their interpretation or implementation, or new regulations could impede our use of this technology or require that we disclose</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our proprietary technology to our competitors, which could impair our competitive position and result in an adverse effect on our business, results of operations and financial condition.</w:t>
      </w:r>
    </w:p>
    <w:p>
      <w:pPr>
        <w:spacing w:after="0" w:line="131"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obtained Fast Track designation for certain of our product candidates, and we may seek Fast Track designation for other indications or for our other product candidates, but we might not receive such designations, and even if we do, such designations may not actually lead to a faster development or regulatory review or approval process.</w:t>
      </w:r>
    </w:p>
    <w:p>
      <w:pPr>
        <w:spacing w:after="0" w:line="134"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If a product candidate is intended for the treatment of a serious condition and nonclinical or clinical data demonstrate the potential to address unmet medical need for this condition, a product sponsor may apply for FDA Fast Track designation. The sponsor of a Fast Track product candidate has opportunities for more frequent interactions with the applicable FDA review team during product development and, once an NDA is submitted, the product candidate may be eligible for priority review if the relevant criteria are met. An NDA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We obtained Fast Track designation for BXCL501 for the acute treatment of mild-to-moderate agitation associated with schizophrenia, bipolar disorder, and dementia, and we further obtained Fast Track designation for BXCL701, in combination with a checkpoint inhibitor, for the treatment of patients with metastatic SCNC with progression on chemotherapy and no evidence of microsatellite instability, and we may seek additional Fast Track designation for BXCL501 or BXCL701 or for one or more of our other product candidates, but we might not receive such designations from the FDA. However,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46"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148"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We obtained Breakthrough Therapy Designation for BXCL501 for the acute treatment of agitation associated with dementia, and we may seek additional Breakthrough Therapy designations for our product candidates if the clinical data support such a designation for one or more product candidates. A Breakthrough Therapy is defined as a drug or biologic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also receive the benefits associated with Fast Track designation, including the potential for rolling review of an NDA.</w:t>
      </w:r>
    </w:p>
    <w:p>
      <w:pPr>
        <w:spacing w:after="0" w:line="151"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qualification or decide that the period for FDA review or approval will not be shortened.</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spacing w:after="0" w:line="156"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We intend to seek FDA approval through the 505(b)(2) regulatory pathway for certain of our product candidates. The Hatch-Waxman Act added Section 505(b)(2) to the Federal Food, Drug and Cosmetic Act (“FDCA”). Section 505(b)(2) permits the 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allowed to pursue the 505(b)(2) 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spacing w:after="0" w:line="153"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by the FDA, or similar regulatory authorities, to obtain approval (or clearance, or certification) of a companion diagnostic device in connection with approval of one of our product candidates, and we do not obtain, or face delays in obtaining approval (or clearance, or certification) of a companion diagnostic device, we will not be able to commercialize the product candidate, and our ability to generate revenue will be materially impaired</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For example, we may decide to collaborate with patient diagnostic companies during our clinical trial enrollment process for BXCL701 to help identify patients with tumor gene alterations that we believe may be most likely to respond to treatment with BXCL701. The process of obtaining or creating such diagnostic is time consuming and costly.</w:t>
      </w:r>
    </w:p>
    <w:p>
      <w:pPr>
        <w:spacing w:after="0" w:line="165"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Companion diagnostics are developed in conjunction with clinical programs for the associated product and are subject to regulation as medical devices by the FDA and comparable foreign regulatory authorities, and, to date, the FDA has generally required premarket approval of companion diagnostics for cancer therapies. Generally, when a companion diagnostic is essential to the safe and effective use of a therapeutic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 In January 2024, the FDA announced that it intends to initiate the process to reclassify most in vitro diagnostic tests (“IVDs”) that are currently Class III into Class II, including companion diagnostic IVDs. If such reclassification efforts occur, any companion diagnostics that are the subject of the down-classification may no longer require premarket approval, but rather may be marketed pursuant to the generally less burdensome 510(k) clearance process. However, there is no assurance that any companion diagnostic required for our pharmaceutical development programs will benefit from the reclassification, or that the reclassification, even if it does occur, will result in a shorter timeline to development or marketing of the companion diagnostic.</w:t>
      </w:r>
    </w:p>
    <w:p>
      <w:pPr>
        <w:spacing w:after="0" w:line="157"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If the FDA, or a comparable foreign regulatory authority, requires approval (or certification or clearance) of a companion diagnostic for any of our product candidates, whether before or after the product candidate obtains marketing approval, we and/or third-party collaborators may encounter difficulties in developing and obtaining approval (or clearance, or certification) for these companion diagnostics. Any delay or failure by us or third-party collaborators to develop or obtain regulatory approval (or clearance, or certification) of a companion diagnostic could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delay or prevent approval or continued marketing of our related product candidates. We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w:t>
      </w:r>
    </w:p>
    <w:p>
      <w:pPr>
        <w:spacing w:after="0" w:line="156"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Approval, clearance or certification of companion diagnostics may be subject to further legislative or regulatory reforms notably in the EU. On May 25, 2017, the new In Vitro Medical Devices Regulation No. 2017/746 (“IVDR”) entered into force. The IVDR repeals and replaces the EU In Vitro Diagnostic Medical Devices Directive. Unlike directives, which must be implemented into the national laws of the EU member states, regulations are directly applicable (i.e., without the need for adoption of EU member states laws implementing them) in all EU member states and are intended to eliminate current differences in the regulation of medical devices among EU member states. The IVDR, among other things, is intended to establish a uniform, transparent, predictable and sustainable regulatory framework across the EU for medical devices and ensure a high level of safety and health while supporting innovation. The IVDR became effective in May 2022. However, on October 14, 2021, the European Commission proposed a “progressive” roll-out of the IVDR to prevent disruption in the supply of in vitro diagnostic medical devices. The European Parliament and Council adopted the proposed regulation on December 15, 2021. The IVDR has applied since May 26, 2022, but there is a tiered system extending the grace period for many devices (depending on their risk classification) before they have to be fully compliant with the regulation.</w:t>
      </w:r>
    </w:p>
    <w:p>
      <w:pPr>
        <w:spacing w:after="0" w:line="147"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The regulation of companion diagnostics in the EU is subject to further requirements since the IVDR became applicable as it introduced a new classification system for companion diagnostics.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marketing authorization (“MA”) application for the medicinal product has been submitted through the centralized procedure. For other substances, the notified body can seek the opinion from a national competent authority or the EMA.</w:t>
      </w:r>
    </w:p>
    <w:p>
      <w:pPr>
        <w:spacing w:after="0" w:line="151"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These modifications may make it more difficult and costly for us to obtain regulatory clearances, approvals or certifications for our companion diagnostics or to manufacture, market or distribute our products after clearance, approval or certification is obtained.</w:t>
      </w:r>
    </w:p>
    <w:p>
      <w:pPr>
        <w:spacing w:after="0" w:line="137" w:lineRule="exact"/>
        <w:rPr>
          <w:sz w:val="20"/>
          <w:szCs w:val="20"/>
          <w:color w:val="auto"/>
        </w:rPr>
      </w:pPr>
    </w:p>
    <w:p>
      <w:pPr>
        <w:ind w:left="60" w:right="219"/>
        <w:spacing w:after="0" w:line="202" w:lineRule="auto"/>
        <w:rPr>
          <w:sz w:val="20"/>
          <w:szCs w:val="20"/>
          <w:color w:val="auto"/>
        </w:rPr>
      </w:pPr>
      <w:r>
        <w:rPr>
          <w:rFonts w:ascii="Times New Roman" w:cs="Times New Roman" w:eastAsia="Times New Roman" w:hAnsi="Times New Roman"/>
          <w:sz w:val="18"/>
          <w:szCs w:val="18"/>
          <w:b w:val="1"/>
          <w:bCs w:val="1"/>
          <w:i w:val="1"/>
          <w:iCs w:val="1"/>
          <w:color w:val="auto"/>
        </w:rPr>
        <w:t>Although the FDA has approved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for the acute treatment of agitation associated with schizophrenia or bipolar I or II disorder, we will still face extensive and ongoing regulatory requirements and obligations for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and for any product candidates for which we obtain approval.</w:t>
      </w:r>
    </w:p>
    <w:p>
      <w:pPr>
        <w:spacing w:after="0" w:line="150" w:lineRule="exact"/>
        <w:rPr>
          <w:sz w:val="20"/>
          <w:szCs w:val="20"/>
          <w:color w:val="auto"/>
        </w:rPr>
      </w:pPr>
    </w:p>
    <w:p>
      <w:pPr>
        <w:ind w:left="60" w:right="139" w:firstLine="324"/>
        <w:spacing w:after="0" w:line="231" w:lineRule="auto"/>
        <w:rPr>
          <w:sz w:val="20"/>
          <w:szCs w:val="20"/>
          <w:color w:val="auto"/>
        </w:rPr>
      </w:pPr>
      <w:r>
        <w:rPr>
          <w:rFonts w:ascii="Times New Roman" w:cs="Times New Roman" w:eastAsia="Times New Roman" w:hAnsi="Times New Roman"/>
          <w:sz w:val="18"/>
          <w:szCs w:val="18"/>
          <w:color w:val="auto"/>
        </w:rPr>
        <w:t>Any regulatory approvals that we may receive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any of our product candidates will require the submission of reports to regulatory authorities and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FDA-approved label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includes certain warnings and precautions regarding hypotension, orthostatic hypotension, bradycardia, somnolence, and QT interval prolongation. The FDA may also require a REMS to approve a product candidate, which could entail requirements for a medication guide, physician training and communication plans or additional elements to ensure safe use, such as restricted distribution methods, patient registries and other risk minimization tools.</w:t>
      </w:r>
    </w:p>
    <w:p>
      <w:pPr>
        <w:spacing w:after="0" w:line="157" w:lineRule="exact"/>
        <w:rPr>
          <w:sz w:val="20"/>
          <w:szCs w:val="20"/>
          <w:color w:val="auto"/>
        </w:rPr>
      </w:pPr>
    </w:p>
    <w:p>
      <w:pPr>
        <w:ind w:left="60" w:right="519" w:firstLine="324"/>
        <w:spacing w:after="0" w:line="254" w:lineRule="auto"/>
        <w:rPr>
          <w:sz w:val="20"/>
          <w:szCs w:val="20"/>
          <w:color w:val="auto"/>
        </w:rPr>
      </w:pPr>
      <w:r>
        <w:rPr>
          <w:rFonts w:ascii="Times New Roman" w:cs="Times New Roman" w:eastAsia="Times New Roman" w:hAnsi="Times New Roman"/>
          <w:sz w:val="17"/>
          <w:szCs w:val="17"/>
          <w:color w:val="auto"/>
        </w:rPr>
        <w:t>In addition, the manufacturing processes, labeling, packaging, distribution, AE reporting, storage, advertising, promotion, import, export and recordkeeping for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are and will remain subject to extensive and ongoing regulatory requirements. These requirements include submissions of safety and other post-marketing information and reports, registration, and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authority discover previously unknown problems with a product, such as AEs of unanticipated severity or frequency, or problems with the facilities where the product is manufactured, a regulatory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39"/>
        <w:spacing w:after="0" w:line="282" w:lineRule="auto"/>
        <w:rPr>
          <w:sz w:val="20"/>
          <w:szCs w:val="20"/>
          <w:color w:val="auto"/>
        </w:rPr>
      </w:pPr>
      <w:r>
        <w:rPr>
          <w:rFonts w:ascii="Times New Roman" w:cs="Times New Roman" w:eastAsia="Times New Roman" w:hAnsi="Times New Roman"/>
          <w:sz w:val="18"/>
          <w:szCs w:val="18"/>
          <w:color w:val="auto"/>
        </w:rPr>
        <w:t>authority may impose restrictions on that product, the manufacturing facility or us, including requiring recall or withdrawal of the product from the market or suspension of manufacturing.</w:t>
      </w:r>
    </w:p>
    <w:p>
      <w:pPr>
        <w:spacing w:after="0" w:line="135" w:lineRule="exact"/>
        <w:rPr>
          <w:sz w:val="20"/>
          <w:szCs w:val="20"/>
          <w:color w:val="auto"/>
        </w:rPr>
      </w:pPr>
    </w:p>
    <w:p>
      <w:pPr>
        <w:ind w:left="60" w:right="859" w:firstLine="324"/>
        <w:spacing w:after="0" w:line="312" w:lineRule="auto"/>
        <w:rPr>
          <w:sz w:val="20"/>
          <w:szCs w:val="20"/>
          <w:color w:val="auto"/>
        </w:rPr>
      </w:pPr>
      <w:r>
        <w:rPr>
          <w:rFonts w:ascii="Times New Roman" w:cs="Times New Roman" w:eastAsia="Times New Roman" w:hAnsi="Times New Roman"/>
          <w:sz w:val="17"/>
          <w:szCs w:val="17"/>
          <w:color w:val="auto"/>
        </w:rPr>
        <w:t>In addition, discovery of previously unknown AEs or other problems with our products, manufacturers or manufacturing processes or failure to comply with regulatory requirements, may yield various results, including:</w:t>
      </w:r>
    </w:p>
    <w:p>
      <w:pPr>
        <w:spacing w:after="0" w:line="99" w:lineRule="exact"/>
        <w:rPr>
          <w:sz w:val="20"/>
          <w:szCs w:val="20"/>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such products;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products;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manufacturing, distribution or use;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85" w:lineRule="exact"/>
        <w:rPr>
          <w:sz w:val="20"/>
          <w:szCs w:val="20"/>
          <w:color w:val="auto"/>
        </w:rPr>
      </w:pPr>
    </w:p>
    <w:p>
      <w:pPr>
        <w:ind w:left="60" w:right="259" w:firstLine="324"/>
        <w:spacing w:after="0" w:line="281" w:lineRule="auto"/>
        <w:rPr>
          <w:sz w:val="20"/>
          <w:szCs w:val="20"/>
          <w:color w:val="auto"/>
        </w:rPr>
      </w:pPr>
      <w:r>
        <w:rPr>
          <w:rFonts w:ascii="Times New Roman" w:cs="Times New Roman" w:eastAsia="Times New Roman" w:hAnsi="Times New Roman"/>
          <w:sz w:val="17"/>
          <w:szCs w:val="17"/>
          <w:color w:val="auto"/>
        </w:rPr>
        <w:t>Further, the policies of the FDA and other regulatory authorities may change, and additional government regulations may be enacted that could impose extensive and ongoing regulatory requirements and obligations on any product candidate for which we obtain marketing approval. We also cannot predict the likelihood, nature or extent of government regulation that may arise from future legislation or administrative or executive action, either in the U.S. or abroad.</w:t>
      </w:r>
    </w:p>
    <w:p>
      <w:pPr>
        <w:spacing w:after="0" w:line="133"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18" w:lineRule="exact"/>
        <w:rPr>
          <w:sz w:val="20"/>
          <w:szCs w:val="20"/>
          <w:color w:val="auto"/>
        </w:rPr>
      </w:pPr>
    </w:p>
    <w:p>
      <w:pPr>
        <w:ind w:left="60" w:right="199" w:firstLine="324"/>
        <w:spacing w:after="0" w:line="238" w:lineRule="auto"/>
        <w:rPr>
          <w:sz w:val="20"/>
          <w:szCs w:val="20"/>
          <w:color w:val="auto"/>
        </w:rPr>
      </w:pPr>
      <w:r>
        <w:rPr>
          <w:rFonts w:ascii="Times New Roman" w:cs="Times New Roman" w:eastAsia="Times New Roman" w:hAnsi="Times New Roman"/>
          <w:sz w:val="18"/>
          <w:szCs w:val="18"/>
          <w:color w:val="auto"/>
        </w:rPr>
        <w:t>The FDA and other regulatory authorities strictly regulate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or any other regulatory authority may grant is limited to those specific diseases and indications for which a product is deemed to be safe and effective. For example, the FDA-approved label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currently limited to the acute treatment of agitation associated with schizophrenia or bipolar I or II disorder in adults to be self-administrated by patients under the supervision of a health care provider.</w:t>
      </w:r>
    </w:p>
    <w:p>
      <w:pPr>
        <w:spacing w:after="0" w:line="159" w:lineRule="exact"/>
        <w:rPr>
          <w:sz w:val="20"/>
          <w:szCs w:val="20"/>
          <w:color w:val="auto"/>
        </w:rPr>
      </w:pPr>
    </w:p>
    <w:p>
      <w:pPr>
        <w:ind w:left="60" w:right="379" w:firstLine="324"/>
        <w:spacing w:after="0" w:line="255" w:lineRule="auto"/>
        <w:rPr>
          <w:sz w:val="20"/>
          <w:szCs w:val="20"/>
          <w:color w:val="auto"/>
        </w:rPr>
      </w:pPr>
      <w:r>
        <w:rPr>
          <w:rFonts w:ascii="Times New Roman" w:cs="Times New Roman" w:eastAsia="Times New Roman" w:hAnsi="Times New Roman"/>
          <w:sz w:val="17"/>
          <w:szCs w:val="17"/>
          <w:color w:val="auto"/>
        </w:rPr>
        <w:t>While physicians in the U.S. may choose, and are generally permitted, to prescribe drugs for uses that are not described in the product’s labeling and for uses that differ from those tested in clinical trials and approved by the regulatory authorities, our ability to promote the products is narrowly limited to those indications that are specifically approved by the FDA. These “off-label” uses are common across medical specialties and may constitute an appropriate treatment for some patients in varied circumstances. For example, other formulations of Dex, the active ingredient in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have been approved for uses beyond those authorized in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approved labeling, such as for use in</w:t>
      </w:r>
    </w:p>
    <w:p>
      <w:pPr>
        <w:spacing w:after="0" w:line="2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85" w:lineRule="auto"/>
        <w:rPr>
          <w:sz w:val="20"/>
          <w:szCs w:val="20"/>
          <w:color w:val="auto"/>
        </w:rPr>
      </w:pPr>
      <w:r>
        <w:rPr>
          <w:rFonts w:ascii="Times New Roman" w:cs="Times New Roman" w:eastAsia="Times New Roman" w:hAnsi="Times New Roman"/>
          <w:sz w:val="18"/>
          <w:szCs w:val="18"/>
          <w:color w:val="auto"/>
        </w:rPr>
        <w:t>sedation of surgical patients, and we are continuing to develop BXCL501 for potential use in patients with dementia, MDD, Alzheimer’s disease and other indications. We do not market or promote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these uses.</w:t>
      </w:r>
    </w:p>
    <w:p>
      <w:pPr>
        <w:spacing w:after="0" w:line="20" w:lineRule="exact"/>
        <w:rPr>
          <w:sz w:val="20"/>
          <w:szCs w:val="20"/>
          <w:color w:val="auto"/>
        </w:rPr>
      </w:pPr>
    </w:p>
    <w:p>
      <w:pPr>
        <w:ind w:left="60" w:right="219" w:firstLine="324"/>
        <w:spacing w:after="0" w:line="239" w:lineRule="auto"/>
        <w:rPr>
          <w:sz w:val="20"/>
          <w:szCs w:val="20"/>
          <w:color w:val="auto"/>
        </w:rPr>
      </w:pPr>
      <w:r>
        <w:rPr>
          <w:rFonts w:ascii="Times New Roman" w:cs="Times New Roman" w:eastAsia="Times New Roman" w:hAnsi="Times New Roman"/>
          <w:sz w:val="18"/>
          <w:szCs w:val="18"/>
          <w:color w:val="auto"/>
        </w:rPr>
        <w:t>Regulatory authorities in the U.S. generally do not regulate the behavior of physicians in their choice of treatments. Regulatory authorities do, however, restrict communications by pharmaceutical companies on off-label use. If we are found to have promoted our products for any off-label uses, the U.S. federal government (and other foreign governments) could levy civil, criminal and/or administrative penalties, and seek fines against us. The FDA, or other regulatory authorities, could also require that we enter into a consent decree or a corporate integrity agreement, or seek a permanent injunction against us under which specified promotional conduct is monitored, changed or curtailed. If we cannot successfully manage the promotion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our product candidates, if approved, we could become subject to significant liability, which would materially adversely affect our business and financial condition.</w:t>
      </w:r>
    </w:p>
    <w:p>
      <w:pPr>
        <w:spacing w:after="0" w:line="159" w:lineRule="exact"/>
        <w:rPr>
          <w:sz w:val="20"/>
          <w:szCs w:val="20"/>
          <w:color w:val="auto"/>
        </w:rPr>
      </w:pPr>
    </w:p>
    <w:p>
      <w:pPr>
        <w:jc w:val="both"/>
        <w:ind w:left="60" w:right="5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staffing reductions could prevent new or modified products from being developed, approved or commercialized in a timely manner or at all, which could negatively impact our business.</w:t>
      </w:r>
    </w:p>
    <w:p>
      <w:pPr>
        <w:spacing w:after="0" w:line="134"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of some of these aforementioned issues.</w:t>
      </w:r>
    </w:p>
    <w:p>
      <w:pPr>
        <w:spacing w:after="0" w:line="160"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 April 2025, the Trump administration conducted unprecedented layoffs at several U.S. health agencies, including the FDA, the Department of Health and Human Services, the Centers for Disease Control and Prevention and the National Institutes of Health, which is expected to impact the FDA’s ability to review and approve new medicines and conduct necessary inspections. In addition, government funding of the FDA, SEC, and other government agencies on which our operations may rely, including those that fund research and development activities is subject to the political process, which is inherently fluid and unpredictable. For example, in the fourth quarter of 2025, the U.S. government was on shutdown for a meaningful period of time and has previously shut down several times, and certain regulatory agencies, such as the FDA, had to furlough critical employees and stop critical activities.</w:t>
      </w:r>
    </w:p>
    <w:p>
      <w:pPr>
        <w:spacing w:after="0" w:line="151"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To the extent the FDA’s normal operations are disrupted or delayed for a prolonged period of time, for example due to government shutdowns, travel restrictions, public health or geopolitical issues, staffing shortages, layoffs or lack of funding, the FDA may not be able to complete the necessary inspections or provide feedback in a timely manner during our clinical development or review period. If any such delays or disruptions were to occur, it could significantly impact the ability of the FDA or other regulatory authorities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44"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conduct certain of or portions of our clinical trials for our product candidates outside of the U.S. and the FDA may not accept data from such trials, in which case our development plans will be delayed, which could materially harm our business.</w:t>
      </w:r>
    </w:p>
    <w:p>
      <w:pPr>
        <w:spacing w:after="0" w:line="148"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We may choose to conduct one or more of our clinical trials or a portion of our clinical trials for our product candidates outside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clinical trial was not otherwise subject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to an IND, the FDA will not accept the data as support for an application for marketing approval unless the study was 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could result in current or future product candidates that we may develop not receiving approval for commercialization in the applicable jurisdiction.</w:t>
      </w:r>
    </w:p>
    <w:p>
      <w:pPr>
        <w:spacing w:after="0" w:line="157"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trade policy and the impact of tariffs may have a material adverse effect on our business, results of operations and financial condition.</w:t>
      </w:r>
    </w:p>
    <w:p>
      <w:pPr>
        <w:spacing w:after="0" w:line="118" w:lineRule="exact"/>
        <w:rPr>
          <w:sz w:val="20"/>
          <w:szCs w:val="20"/>
          <w:color w:val="auto"/>
        </w:rPr>
      </w:pPr>
    </w:p>
    <w:p>
      <w:pPr>
        <w:ind w:left="60" w:right="199" w:firstLine="324"/>
        <w:spacing w:after="0" w:line="251" w:lineRule="auto"/>
        <w:rPr>
          <w:sz w:val="20"/>
          <w:szCs w:val="20"/>
          <w:color w:val="auto"/>
        </w:rPr>
      </w:pPr>
      <w:r>
        <w:rPr>
          <w:rFonts w:ascii="Times New Roman" w:cs="Times New Roman" w:eastAsia="Times New Roman" w:hAnsi="Times New Roman"/>
          <w:sz w:val="18"/>
          <w:szCs w:val="18"/>
          <w:color w:val="auto"/>
        </w:rPr>
        <w:t>Our business, results of operations and financial condition may be adversely affected by uncertainty and changes in U.S. trade policies, including tariffs, quotas, trade agreements or other trade restrictions imposed by the U.S. or other governments. For example, in April 2025, the U.S. government announced a 10% tariff on product imports from almost all countries and individualized higher tariffs on certain other countries. On October 10, 2025, the U.S. Government announced a 100% tariff on all product imports from China, bringing the total China tariff rate to 130% tariff effective November 1, 2025. While several tariff announcements have been followed by announcements of limited exemptions and temporary pauses, in February 2026, the U.S. Supreme Court issued a ruling striking down certain tariffs previously imposed under the International Emergency Economic Powers Act (“IEEPA”). Following the Supreme Court’s decision, the U.S. presidential administration announced its intention to invoke other laws to collect tariffs and announced new tariffs on imports from all countries, in addition to any existing non-IEEPA tariffs. These actions have caused substantial uncertainty and volatility in financial markets and may result in retaliatory measures on U.S. goods. On April 2, 2026, the U.S. presidential administration issued a proclamation under Section 232 of the Trade Expansion Act of 1962 imposing a 100% ad valorem duty on the import of patented pharmaceutical products listed in the FDA's Orange Book or Purple Book, as well as their associated active pharmaceutical ingredients. These tariffs are subject to specified exclusions for generic pharmaceuticals, biosimilars, and orphan drugs. A reduced 20% rate is available for companies with onshoring plans approved by the Secretary of Commerce, though this rate is scheduled to increase to 100% over a four-year period. The tariffs become effective on July 31, 2026, for certain large companies and on September 29, 2026, for all other companies. Because IGALMI® is listed in the Orange Book and is not currently a generic, biosimilar, or orphan drug, we may be subject to these duties to the extent any portion of IGALMI® or its active pharmaceutical ingredient is sourced from outside the United States. While the ultimate impact is uncertain, these tariffs could materially increase our manufacturing costs, which we may be unable to pass on to customers. Furthermore, because Section 232 tariffs were not within the scope of the U.S. Supreme Court’s Learning Resources Inc. v. Trump 610 U.S. (02/20/2026) decision striking down certain IEEPA-based duties, they may be more resilient to legal challenge.</w:t>
      </w:r>
    </w:p>
    <w:p>
      <w:pPr>
        <w:spacing w:after="0" w:line="165" w:lineRule="exact"/>
        <w:rPr>
          <w:sz w:val="20"/>
          <w:szCs w:val="20"/>
          <w:color w:val="auto"/>
        </w:rPr>
      </w:pPr>
    </w:p>
    <w:p>
      <w:pPr>
        <w:ind w:left="60" w:right="319" w:firstLine="324"/>
        <w:spacing w:after="0" w:line="256" w:lineRule="auto"/>
        <w:rPr>
          <w:sz w:val="20"/>
          <w:szCs w:val="20"/>
          <w:color w:val="auto"/>
        </w:rPr>
      </w:pPr>
      <w:r>
        <w:rPr>
          <w:rFonts w:ascii="Times New Roman" w:cs="Times New Roman" w:eastAsia="Times New Roman" w:hAnsi="Times New Roman"/>
          <w:sz w:val="18"/>
          <w:szCs w:val="18"/>
          <w:color w:val="auto"/>
        </w:rPr>
        <w:t>Our business requires access to materials to manufacture our products, some of which we source from suppliers located outside the United States. Any imposition of or increase in tariffs or other restrictions on imports of materials on which our products rely, as well as corresponding price increases for such materials available domestically, if any, could increase our costs. We would likely be unable to pass all or any such cost increases on to our customers and such cost increases could materially and adversely affect our business, results of operations and financial condition, including our gross margin.</w:t>
      </w:r>
    </w:p>
    <w:p>
      <w:pPr>
        <w:spacing w:after="0" w:line="160"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Tariffs or other trade restrictions may lead to continuing uncertainty and volatility in U.S. and global financial and economic conditions and commodity markets, declining consumer confidence, significant inflation and diminished expectations for the economy. Such conditions could have a material adverse impact on our business, results of operations and financial position. Also, disruptions and volatility in the financial markets may lead to adverse changes</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in the availability, terms and cost of capital. Such adverse changes could increase our costs of capital and limit our access to external financing sources</w:t>
      </w:r>
      <w:r>
        <w:rPr>
          <w:rFonts w:ascii="Times New Roman" w:cs="Times New Roman" w:eastAsia="Times New Roman" w:hAnsi="Times New Roman"/>
          <w:sz w:val="18"/>
          <w:szCs w:val="18"/>
          <w:b w:val="1"/>
          <w:bCs w:val="1"/>
          <w:i w:val="1"/>
          <w:iCs w:val="1"/>
          <w:color w:val="auto"/>
        </w:rPr>
        <w:t>.</w:t>
      </w:r>
    </w:p>
    <w:p>
      <w:pPr>
        <w:spacing w:after="0" w:line="131"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extensive regulations outside the U.S. and may not obtain marketing approvals for products in Europe and other jurisdictions.</w:t>
      </w:r>
    </w:p>
    <w:p>
      <w:pPr>
        <w:spacing w:after="0" w:line="110" w:lineRule="exact"/>
        <w:rPr>
          <w:sz w:val="20"/>
          <w:szCs w:val="20"/>
          <w:color w:val="auto"/>
        </w:rPr>
      </w:pPr>
    </w:p>
    <w:p>
      <w:pPr>
        <w:ind w:left="60" w:right="219" w:firstLine="324"/>
        <w:spacing w:after="0" w:line="239" w:lineRule="auto"/>
        <w:rPr>
          <w:sz w:val="20"/>
          <w:szCs w:val="20"/>
          <w:color w:val="auto"/>
        </w:rPr>
      </w:pPr>
      <w:r>
        <w:rPr>
          <w:rFonts w:ascii="Times New Roman" w:cs="Times New Roman" w:eastAsia="Times New Roman" w:hAnsi="Times New Roman"/>
          <w:sz w:val="18"/>
          <w:szCs w:val="18"/>
          <w:color w:val="auto"/>
        </w:rPr>
        <w:t>In addition to regulations in the U.S., should we or our collaborators pursue marketing approvals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for BXCL501, BXCL502, BXCL701, BXCL702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w:t>
      </w:r>
    </w:p>
    <w:p>
      <w:pPr>
        <w:spacing w:after="0" w:line="153" w:lineRule="exact"/>
        <w:rPr>
          <w:sz w:val="20"/>
          <w:szCs w:val="20"/>
          <w:color w:val="auto"/>
        </w:rPr>
      </w:pPr>
    </w:p>
    <w:p>
      <w:pPr>
        <w:ind w:left="60" w:right="179" w:firstLine="324"/>
        <w:spacing w:after="0" w:line="237" w:lineRule="auto"/>
        <w:rPr>
          <w:sz w:val="20"/>
          <w:szCs w:val="20"/>
          <w:color w:val="auto"/>
        </w:rPr>
      </w:pPr>
      <w:r>
        <w:rPr>
          <w:rFonts w:ascii="Times New Roman" w:cs="Times New Roman" w:eastAsia="Times New Roman" w:hAnsi="Times New Roman"/>
          <w:sz w:val="18"/>
          <w:szCs w:val="18"/>
          <w:color w:val="auto"/>
        </w:rPr>
        <w:t>We expect to pursue marketing approvals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may pursue marketing approvals for BXCL501, BXCL502, BXCL701, BXCL702 and our other product candidates in Europe and other jurisdictions outside the U.S. with collaborative partners. The time and process required to obtain regulatory approvals and reimbursement in Europe and other jurisdictions may be different from those in the U.S. Also, regulatory approval in one jurisdiction does not ensure approvals in any other jurisdiction; however, negative regulatory decisions in any jurisdiction may have a negative impact on the regulatory process in other jurisdictions.</w:t>
      </w:r>
    </w:p>
    <w:p>
      <w:pPr>
        <w:spacing w:after="0" w:line="176"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Following a national referendum and enactment of legislation by the government of the United Kingdom (“UK”), the UK formally withdrew from the EU on January 31, 2020 and ratified a trade and cooperation agreement governing its future relationship (commonly referred to as “Brexit”). The agreement, which was applied provisionally from January 1, 2021 and entered into force on May 1, 2021, addresses trade, economic arrangements, law enforcement, judicial cooperation and a governance framework including procedures for dispute resolution, among other things. Because the agreement merely sets forth a framework in many respects and requires complex additional bilateral negotiations between the UK and the EU as both parties continue to work on the rules for implementation, significant political and economic uncertainty remains about how the precise terms of the relationship between the parties will differ from the terms before withdrawal.</w:t>
      </w:r>
    </w:p>
    <w:p>
      <w:pPr>
        <w:spacing w:after="0" w:line="148"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Since January 1, 2021, the UK operates under a distinct regulatory regime to the EU. EU pharmaceutical laws only apply in respect of the UK to Northern Ireland (as set out in the Protocol on Ireland/Northern Ireland). EU laws which have been transposed into UK law through secondary legislation continue to be applicable as “retained EU law”. While the UK has indicated a general intention that new laws regarding the development, manufacture and commercialization of medicinal products in the UK will align closely with EU law, there are limited detailed proposals for future regulation of medicinal products. The trade and cooperation agreement includes specific provisions concerning medicinal products, which include the mutual recognition of cGMP, inspections of manufacturing facilities for medicinal products and cGMP documents issued (such mutual recognition can be rejected by either party in certain circumstances) but does not foresee wholesale mutual recognition of UK and EU pharmaceutical regulations. For example, it is not clear to what extent the UK will adopt legislation aligned with, or similar to, the EU CTR which became applicable on January 31, 2022 and which significantly reforms the assessment and supervision processes for clinical trials throughout the EU. On January 17, 2022, the UK Medicines and Healthcare products Regulatory Agency (“MHRA”) launched an eight-week consultation on reframing the UK legislation for clinical trials which aimed to streamline clinical trials approvals, enable innovation, enhance clinical trials transparency, enable greater risk proportionality, and promote patient and public involvement in clinical trials. The MHRA responded to the consultation on March 21, 2023 and confirmed that it would bring forward changes to the legislation. The final legal texts introduced by the UK Government will ultimately determine the extent to which the UK clinical trials framework aligns with or diverges from the EU CTR. A decision by the UK not to closely align its regulations with the new approach that will be adopted in the EU may have an effect on the cost of conducting clinical trials in the UK as opposed to other countries.</w:t>
      </w:r>
    </w:p>
    <w:p>
      <w:pPr>
        <w:spacing w:after="0" w:line="150" w:lineRule="exact"/>
        <w:rPr>
          <w:sz w:val="20"/>
          <w:szCs w:val="20"/>
          <w:color w:val="auto"/>
        </w:rPr>
      </w:pPr>
    </w:p>
    <w:p>
      <w:pPr>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Therefore, there remains political and economic uncertainty regarding to what extent the regulation of medicinal products will differ between the UK and the EU in the future. Any divergences will increase the cost and complexity of running our business, including with respect to the conduct of clinical trials. Brexit also materially impacted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regulatory regime with respect to the approval of our product candidates. Great Britain is no longer covered by the EU’s procedures for the grant of MAs (Northern Ireland is covered by the centralized authorization procedure and can be covered under the decentralized or mutual recognition procedures). As of January 1, 2021, all existing centralized MAs were automatically converted into UK MAs effective in Great Britain and issued with a UK MA number on January 1, 2021 (unless MA holders opted out of this scheme). A separate MA is now required to market drugs in Great Britain. It is currently unclear whether the regulator in the UK, the MHRA, is sufficiently prepared to handle the increased volume of MA applications that it is likely to receive. Any delay in obtaining, or an inability to obtain, any regulatory approvals, as a result of Brexit or otherwise, would prevent us from commercializing our product candidates in Great Britain and restrict our ability to generate revenue and achieve and sustain profitability. If any of these outcomes occur, we may be forced to restrict or delay efforts to seek regulatory approval in Great Britain for our product candidates, which could significantly and materially harm our business. Any of these factors could have a significant adverse effect on our business, financial condition, results of operations and prospects.</w:t>
      </w:r>
    </w:p>
    <w:p>
      <w:pPr>
        <w:spacing w:after="0" w:line="159" w:lineRule="exact"/>
        <w:rPr>
          <w:sz w:val="20"/>
          <w:szCs w:val="20"/>
          <w:color w:val="auto"/>
        </w:rPr>
      </w:pPr>
    </w:p>
    <w:p>
      <w:pPr>
        <w:jc w:val="both"/>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found in violation of federal, state or foreign health care “fraud and abuse” laws, we may be required to pay significant fines and penalties, including, without limitation, debarment, suspension or exclusion from participation in federal, state or similar health care programs, which may adversely affect our business, financial condition and results of operations.</w:t>
      </w:r>
    </w:p>
    <w:p>
      <w:pPr>
        <w:spacing w:after="0" w:line="140"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In the U.S., we are subject to various federal and state health care “fraud and abuse” laws, including anti- kickback laws, false claims laws and other laws intended to reduce fraud and abuse in federal and state health care programs, which could affect us, and our ability to successfully commercialize our products in the U.S. We may have to comply with similar laws and regulations outside the U.S. These laws include:</w:t>
      </w:r>
    </w:p>
    <w:p>
      <w:pPr>
        <w:spacing w:after="0" w:line="139" w:lineRule="exact"/>
        <w:rPr>
          <w:sz w:val="20"/>
          <w:szCs w:val="20"/>
          <w:color w:val="auto"/>
        </w:rPr>
      </w:pPr>
    </w:p>
    <w:p>
      <w:pPr>
        <w:ind w:left="720" w:right="219" w:hanging="319"/>
        <w:spacing w:after="0" w:line="256"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 care program, such as Medicare or Medicaid. A person or entity does not need to have actual knowledge of this statute or specific intent to violate it to have committed a violation;</w:t>
      </w:r>
    </w:p>
    <w:p>
      <w:pPr>
        <w:spacing w:after="0" w:line="160" w:lineRule="exact"/>
        <w:rPr>
          <w:rFonts w:ascii="Times New Roman" w:cs="Times New Roman" w:eastAsia="Times New Roman" w:hAnsi="Times New Roman"/>
          <w:sz w:val="18"/>
          <w:szCs w:val="18"/>
          <w:color w:val="auto"/>
        </w:rPr>
      </w:pPr>
    </w:p>
    <w:p>
      <w:pPr>
        <w:ind w:left="720" w:right="159" w:hanging="319"/>
        <w:spacing w:after="0" w:line="254"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claims laws prohibit anyone from knowingly and willfully presenting or causing to be presented for payment to third-party payers, including government payers, claims for reimbursed drugs or services that are false or fraudulent, claims for items or services that were not provided as claimed, or claims for medically unnecessary items or services. Cases have been brought under false claims laws alleging that off-label promotion of pharmaceutical products or the provision of kickbacks has resulted in the submission of false claims to governmental health care programs. In addition, the government may assert that a claim, including items or services resulting from a violation of the federal Anti-Kickback Statute, constitutes a false or fraudulent claim for purposes of the false claims laws. Further, private individuals have the ability to bring actions on behalf of the government under the federal False Claims Act;</w:t>
      </w:r>
    </w:p>
    <w:p>
      <w:pPr>
        <w:spacing w:after="0" w:line="147" w:lineRule="exact"/>
        <w:rPr>
          <w:rFonts w:ascii="Times New Roman" w:cs="Times New Roman" w:eastAsia="Times New Roman" w:hAnsi="Times New Roman"/>
          <w:sz w:val="18"/>
          <w:szCs w:val="18"/>
          <w:color w:val="auto"/>
        </w:rPr>
      </w:pPr>
    </w:p>
    <w:p>
      <w:pPr>
        <w:ind w:left="720" w:right="179" w:hanging="319"/>
        <w:spacing w:after="0" w:line="256"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prohibits persons or entities from knowingly and willfully executing a scheme to defraud any health care benefit program, including private payers, or knowingly and willfully falsifying, concealing or covering up a material fact or making any materially false, fictitious or fraudulent statement in connection with the delivery of or payment for health care benefits, items or services. Similar to the federal Anti- Kickback Statute, a person or entity does not need to have actual knowledge of these statutes or specific intent to violate them to have committed a violation;</w:t>
      </w:r>
    </w:p>
    <w:p>
      <w:pPr>
        <w:spacing w:after="0" w:line="146" w:lineRule="exact"/>
        <w:rPr>
          <w:rFonts w:ascii="Times New Roman" w:cs="Times New Roman" w:eastAsia="Times New Roman" w:hAnsi="Times New Roman"/>
          <w:sz w:val="18"/>
          <w:szCs w:val="18"/>
          <w:color w:val="auto"/>
        </w:rPr>
      </w:pPr>
    </w:p>
    <w:p>
      <w:pPr>
        <w:ind w:left="720" w:right="159" w:hanging="319"/>
        <w:spacing w:after="0" w:line="261"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monetary penalties laws, which impose civil fines for,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52" w:lineRule="exact"/>
        <w:rPr>
          <w:rFonts w:ascii="Times New Roman" w:cs="Times New Roman" w:eastAsia="Times New Roman" w:hAnsi="Times New Roman"/>
          <w:sz w:val="18"/>
          <w:szCs w:val="18"/>
          <w:color w:val="auto"/>
        </w:rPr>
      </w:pPr>
    </w:p>
    <w:p>
      <w:pPr>
        <w:ind w:left="720" w:right="53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59" w:hanging="319"/>
        <w:spacing w:after="0" w:line="255"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requirements under the Patient Protection and Affordable Care Act, (“ACA”), which requires certain manufacturers of drugs, devices, biologics, and medical supplies to report annually to the Centers for Medicare &amp; Medicaid Services (“CMS”) information related to payments and other transfers of value to physicians (defined to include doctors, dentists, optometrists, podiatrists and chiropractors), certain non-physician practitioners (physician assistants, nurse practitioners, clinical nurse specialists, certified registered nurse anesthetists, anesthesiologist assistants, and certified nurse midwives), and teaching hospitals, and ownership and investment interests held by physicians and their immediate family members;</w:t>
      </w:r>
    </w:p>
    <w:p>
      <w:pPr>
        <w:spacing w:after="0" w:line="161" w:lineRule="exact"/>
        <w:rPr>
          <w:rFonts w:ascii="Times New Roman" w:cs="Times New Roman" w:eastAsia="Times New Roman" w:hAnsi="Times New Roman"/>
          <w:sz w:val="18"/>
          <w:szCs w:val="18"/>
          <w:color w:val="auto"/>
        </w:rPr>
      </w:pPr>
    </w:p>
    <w:p>
      <w:pPr>
        <w:ind w:left="720" w:right="219" w:hanging="319"/>
        <w:spacing w:after="0" w:line="255"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 care providers and other potential referral sources; and state laws that require drug manufacturers to report information related to payments and other transfers of value to physicians and other health care providers or marketing expenditures and pricing information; and</w:t>
      </w:r>
    </w:p>
    <w:p>
      <w:pPr>
        <w:spacing w:after="0" w:line="148" w:lineRule="exact"/>
        <w:rPr>
          <w:rFonts w:ascii="Times New Roman" w:cs="Times New Roman" w:eastAsia="Times New Roman" w:hAnsi="Times New Roman"/>
          <w:sz w:val="18"/>
          <w:szCs w:val="18"/>
          <w:color w:val="auto"/>
        </w:rPr>
      </w:pPr>
    </w:p>
    <w:p>
      <w:pPr>
        <w:ind w:left="720" w:right="61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and other foreign law equivalents of each of the laws, including reporting requirements detailing interactions with and payments to health care providers.</w:t>
      </w:r>
    </w:p>
    <w:p>
      <w:pPr>
        <w:spacing w:after="0" w:line="121"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or foreign health care programs, additional reporting obligations and oversight if we become subject to a corporate integrity agreement or other agreement to resolve allegations of non-compliance with these laws, any of which could adversely affect our ability to market our products and adversely impact our financial results.</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maintain sufficient clinical trial liability insurance.</w:t>
      </w:r>
    </w:p>
    <w:p>
      <w:pPr>
        <w:spacing w:after="0" w:line="189" w:lineRule="exact"/>
        <w:rPr>
          <w:sz w:val="20"/>
          <w:szCs w:val="20"/>
          <w:color w:val="auto"/>
        </w:rPr>
      </w:pPr>
    </w:p>
    <w:p>
      <w:pPr>
        <w:ind w:left="60" w:right="159" w:firstLine="324"/>
        <w:spacing w:after="0" w:line="243" w:lineRule="auto"/>
        <w:rPr>
          <w:sz w:val="20"/>
          <w:szCs w:val="20"/>
          <w:color w:val="auto"/>
        </w:rPr>
      </w:pPr>
      <w:r>
        <w:rPr>
          <w:rFonts w:ascii="Times New Roman" w:cs="Times New Roman" w:eastAsia="Times New Roman" w:hAnsi="Times New Roman"/>
          <w:sz w:val="18"/>
          <w:szCs w:val="18"/>
          <w:color w:val="auto"/>
        </w:rPr>
        <w:t>Our inability to retain sufficient clinical trial liability insurance at an acceptable cost to protect against potential liability claims could prevent or inhibit our ability to conduct clinical trials for product candidates we develop. We may be unable to obtain appropriate levels of such insurance. Even if we do secure clinical trial liability insurance for our programs, we may not be able to achieve sufficient levels of such insurance. Any claim that may be brought against us could result in a court judgment or settlement in an amount that is not covered, in whole or in part, by our insurance or that exceeds the limits of our insurance coverage. We have supplemented our clinical trial coverage with product liability coverage in connection with the commercial launch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expect that we would similarly supplement our coverage for any of our other product candidates that may receive regulatory approval, but we may be unable to obtain such increased coverage on acceptable terms or at all. If we are found liable in a clinical trial lawsuit or a product liability lawsuit in the future,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98"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do not gain market acceptance or if we fail to accurately forecast demand or manage our inventories, our business will suffer because we might not be able to fund future operations.</w:t>
      </w:r>
    </w:p>
    <w:p>
      <w:pPr>
        <w:spacing w:after="0" w:line="118"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A number of factors may affect the market acceptance of our products or any other products or product candidates we develop or acquire, including, among others:</w:t>
      </w:r>
    </w:p>
    <w:p>
      <w:pPr>
        <w:spacing w:after="0" w:line="121" w:lineRule="exact"/>
        <w:rPr>
          <w:sz w:val="20"/>
          <w:szCs w:val="20"/>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products relative to other products for the same or similar treatments;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19" w:hanging="319"/>
        <w:spacing w:after="0" w:line="282"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patients, physicians and other members of the health care community of the effectiveness, utility and safety of our products for their indicated applications and treatments;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our sales and marketing efforts; and</w:t>
      </w:r>
    </w:p>
    <w:p>
      <w:pPr>
        <w:spacing w:after="0" w:line="184"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including our strategic refocus to hospital/IDNs as part of the Clinical Reprioritization.</w:t>
      </w:r>
    </w:p>
    <w:p>
      <w:pPr>
        <w:spacing w:after="0" w:line="121" w:lineRule="exact"/>
        <w:rPr>
          <w:sz w:val="20"/>
          <w:szCs w:val="20"/>
          <w:color w:val="auto"/>
        </w:rPr>
      </w:pPr>
    </w:p>
    <w:p>
      <w:pPr>
        <w:jc w:val="both"/>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141" w:lineRule="exact"/>
        <w:rPr>
          <w:sz w:val="20"/>
          <w:szCs w:val="20"/>
          <w:color w:val="auto"/>
        </w:rPr>
      </w:pPr>
    </w:p>
    <w:p>
      <w:pPr>
        <w:ind w:left="60" w:right="179" w:firstLine="324"/>
        <w:spacing w:after="0" w:line="217" w:lineRule="auto"/>
        <w:rPr>
          <w:sz w:val="20"/>
          <w:szCs w:val="20"/>
          <w:color w:val="auto"/>
        </w:rPr>
      </w:pPr>
      <w:r>
        <w:rPr>
          <w:rFonts w:ascii="Times New Roman" w:cs="Times New Roman" w:eastAsia="Times New Roman" w:hAnsi="Times New Roman"/>
          <w:sz w:val="18"/>
          <w:szCs w:val="18"/>
          <w:color w:val="auto"/>
        </w:rPr>
        <w:t>We plan to continue to commercialize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sublingual film for the acute treatment of agitation associated with schizophrenia or bipolar I or II disorder, to be self-administered by patients under the supervision of a healthcare provider, which is our only approved product to date. However, in connection with the Clinical Reprioritization, we significantly reduced the resources devoted to commercialization of IGALMI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it is possible that will have adverse consequences on the revenue that we are able to generate from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Revenues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the three months ended March 31, 2026 were $0.2 million. If our commercial products do not gain market acceptance, we may not be able to fund future operations, including developing, testing and obtaining regulatory approval for an sNDA for other BXCL501 indications, including in the at-home setting for the acute treatment of agitation (non-daily) associated with dementia due to probable Alzheimer’s disease, or for other product candidates that it may develop. Our results of operations could be materially harmed if we are unable to successfully commercialize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any currently or additionally approved indications or any future product candidates that we may have approved.</w:t>
      </w:r>
    </w:p>
    <w:p>
      <w:pPr>
        <w:spacing w:after="0" w:line="168" w:lineRule="exact"/>
        <w:rPr>
          <w:sz w:val="20"/>
          <w:szCs w:val="20"/>
          <w:color w:val="auto"/>
        </w:rPr>
      </w:pPr>
    </w:p>
    <w:p>
      <w:pPr>
        <w:ind w:left="60" w:right="139" w:firstLine="324"/>
        <w:spacing w:after="0" w:line="215" w:lineRule="auto"/>
        <w:rPr>
          <w:sz w:val="20"/>
          <w:szCs w:val="20"/>
          <w:color w:val="auto"/>
        </w:rPr>
      </w:pPr>
      <w:r>
        <w:rPr>
          <w:rFonts w:ascii="Times New Roman" w:cs="Times New Roman" w:eastAsia="Times New Roman" w:hAnsi="Times New Roman"/>
          <w:sz w:val="18"/>
          <w:szCs w:val="18"/>
          <w:color w:val="auto"/>
        </w:rPr>
        <w:t>Our results of operations could be materially harmed if we are unable to accurately forecast customer demand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manage our inventory. To ensure adequate inventory supply, we must forecast inventory needs and place orders with our suppliers based on our estimates of future demand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ability to accurately forecast demand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could be negatively affected by many factors, including our failure to accurately manage our expansion strategy, product introductions by competitors, an increase or decrease in customer demand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for products of our competitors, our failure to accurately forecast customer acceptance of new products,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third-party contract manufacturer may not be able to deliver products to meet our requirements, and this could result in damage to our reputation and customer relationships. In addition, if we experience a significant increase in demand, additional supplies of raw materials or additional manufacturing capacity may not be available when required on terms that are acceptable to us, or at all, or suppliers or our third-party manufacturers may not be able to allocate sufficient capacity in order to meet our increased requirements, which could have an adverse effect on our ability to meet customer demand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our results of operations.</w:t>
      </w:r>
    </w:p>
    <w:p>
      <w:pPr>
        <w:spacing w:after="0" w:line="170"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We seek to maintain sufficient levels of inventory to protect ourselves from supply interruptions. As a result, we are subject to the risk that a portion of our inventory will become obsolete or expire, which could have a material adverse effect on our earnings and cash flows due to the resulting costs associated with the inventory impairment charges and costs required to replace such inventory.</w:t>
      </w:r>
    </w:p>
    <w:p>
      <w:pPr>
        <w:spacing w:after="0" w:line="216" w:lineRule="exact"/>
        <w:rPr>
          <w:sz w:val="20"/>
          <w:szCs w:val="20"/>
          <w:color w:val="auto"/>
        </w:rPr>
      </w:pPr>
    </w:p>
    <w:p>
      <w:pPr>
        <w:jc w:val="both"/>
        <w:ind w:left="60" w:right="1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estimated number of episodes of agitation and our corresponding estimated total addressable market are subject to inherent challenges and uncertainties. If we have overestimated the number of episodes or the size of our total addressable market for our current and potential future products or product candidates, or if any approval that we obtain is based on a narrower definition of the patient population, our revenue and ability to achieve profitability may be harmed.</w:t>
      </w:r>
    </w:p>
    <w:p>
      <w:pPr>
        <w:spacing w:after="0" w:line="224" w:lineRule="exact"/>
        <w:rPr>
          <w:sz w:val="20"/>
          <w:szCs w:val="20"/>
          <w:color w:val="auto"/>
        </w:rPr>
      </w:pPr>
    </w:p>
    <w:p>
      <w:pPr>
        <w:ind w:left="60" w:right="539" w:firstLine="324"/>
        <w:spacing w:after="0" w:line="312" w:lineRule="auto"/>
        <w:rPr>
          <w:sz w:val="20"/>
          <w:szCs w:val="20"/>
          <w:color w:val="auto"/>
        </w:rPr>
      </w:pPr>
      <w:r>
        <w:rPr>
          <w:rFonts w:ascii="Times New Roman" w:cs="Times New Roman" w:eastAsia="Times New Roman" w:hAnsi="Times New Roman"/>
          <w:sz w:val="17"/>
          <w:szCs w:val="17"/>
          <w:color w:val="auto"/>
        </w:rPr>
        <w:t>We have based our potential market opportunity on a number of internal and third-party estimates and resources, including, without limitation, management’s estimates and research, as well as industry and general publications and</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research, surveys and studies conducted by third parties, which may be incorrect. Our estimated potential market opportunity is based on estimates of episodes of agitation across our indications, and these estimated episodes of agitation are also based on internal and third-party estimates and market resources using data self-reported by patients. The conditions supporting our assumptions or estimates and the market data supporting these assumptions and estimates may change at any time or otherwise be inaccurate, thereby reducing the predictive accuracy of these underlying factors. Our total addressable market will ultimately depend upon, among other things, the number of actual treatable episodes, the diagnosis criteria included in the final label for each of our product candidates, if approved for sale for these indications, acceptance by the medical community and patient access, drug pricing and reimbursement. The number of patients and treatable episodes in the United States and other major markets and elsewhere may turn out to be materially lower than expected, the number of treatable episodes may be significantly fewer than total episodes experienced, patients may not be otherwise amenable to treatment with our product candidates or new patients may become increasingly difficult to identify or gain access to, all of which would harm our results of operations and our business. For example, our estimates of the monthly average episodes for patients diagnosed with bipolar disorder and patients diagnosed with schizophrenia and, therefore, our estimated total addressable market are based on third-party market surveys which differ from an observational study in the EU of inhaled loxapine for the treatment of agitation in patients with schizophrenia or bipolar disorder conducted which found that only 40% of enrolled patients reported agitation episodes in the six-month study period. If third-party or internally generated data prove to be inaccurate or we make errors in our assumptions based on that data, our total addressable market may be meaningfully smaller than we have estimated, our future growth opportunities and sales growth may be impaired, any of which could have a material adverse effect on our business, financial condition and results of operations.</w:t>
      </w:r>
    </w:p>
    <w:p>
      <w:pPr>
        <w:spacing w:after="0" w:line="158" w:lineRule="exact"/>
        <w:rPr>
          <w:sz w:val="20"/>
          <w:szCs w:val="20"/>
          <w:color w:val="auto"/>
        </w:rPr>
      </w:pPr>
    </w:p>
    <w:p>
      <w:pPr>
        <w:ind w:left="60" w:right="1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obtained Orphan Drug Designation for BXCL701 for the treatment of pancreatic cancer, melanoma, acute myeloid leukemia and soft tissue sarcoma and we may seek Orphan Drug Designation for other indications or product candidates, and we may be unable to maintain the benefits associated with Orphan Drug Designation, including the potential for market exclusivity, and may not receive Orphan Drug Designation for other indications or for our other product candidates.</w:t>
      </w:r>
    </w:p>
    <w:p>
      <w:pPr>
        <w:spacing w:after="0" w:line="143"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U.S. and EU, may designate drugs intended for relatively small patient populations as orphan drugs. Under the Orphan Drug Act, the FDA may designate a drug as an orphan drug if it is a drug intended to treat a rare disease or condition, which is generally defined as a patient population of fewer than 200,000 individuals in the U.S., or a patient population greater than 200,000 individuals in the U.S. where there is no reasonable expectation that the cost of developing the drug will be recovered from sales in the U.S. In the EU, orphan drug designation is granted by the European Commission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w:t>
      </w:r>
    </w:p>
    <w:p>
      <w:pPr>
        <w:spacing w:after="0" w:line="147"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or condition for which it has such designation, the product is entitled to orphan drug exclusivity. Orphan drug exclusivity in the U.S. provides that the FDA may not approve any other applications, including a full NDA, to market the same drug for the same disease or condition for seven years. In limited circumstances, the applicable exclusivity period is 10 years in the EU. The EU exclusivity period can be reduced to six years if, at the end of the fifth year, it is established that a drug no longer meets the criteria for orphan drug designation or if the drug is sufficiently profitable so that market exclusivity is no longer justified.</w:t>
      </w:r>
    </w:p>
    <w:p>
      <w:pPr>
        <w:spacing w:after="0" w:line="165"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In January 2021, the FDA granted Orphan Drug Designation to BXCL701 for the treatment of soft tissue sarcoma. In September 2019, the FDA granted Orphan Drug Designation to BXCL701 for the treatment of acute myeloid leukemia. Prior to 2019, the FDA granted Orphan Drug Designation to BXCL701 for the treatment of pancreatic cancer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and melanoma. We may seek Orphan Drug Designations for BXCL701 in other diseases or conditions or for other product candidates. There can be no assurances that we will be able to obtain such designations.</w:t>
      </w:r>
    </w:p>
    <w:p>
      <w:pPr>
        <w:spacing w:after="0" w:line="135"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and it is possible that another company also holding orphan drug designation for the same product candidate will receive marketing approval for the same disease or condition before we do. If that were to happen, our applications for that disease or condition may not be approved until the competing company’s period of exclusivity expires. In addition, exclusive marketing rights in the U.S. and abroad may be limited if we seek approval for an indication broader than the orphan-designated disease or condition or may be lost if the FDA or foreign regulatory authorities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ingredients may be approved for the same disease or condition. Even after an orphan drug is approved, the FDA or foreign regulatory authorities can subsequently approve the same drug with the same active ingredient for the same condition if the FDA or foreign regulatory authorities conclude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or regulatory review time of a drug, nor gives the drug any advantage in the regulatory review or approval process and does not prevent competitors from obtaining approval of the same product candidate as ours for indications other than those in which we have been granted orphan drug designation.</w:t>
      </w:r>
    </w:p>
    <w:p>
      <w:pPr>
        <w:spacing w:after="0" w:line="145" w:lineRule="exact"/>
        <w:rPr>
          <w:sz w:val="20"/>
          <w:szCs w:val="20"/>
          <w:color w:val="auto"/>
        </w:rPr>
      </w:pPr>
    </w:p>
    <w:p>
      <w:pPr>
        <w:ind w:left="60" w:right="619"/>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satisfactory sales and marketing capabilities, we may not succeed in commercializing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or any product candidate for which we may obtain regulatory approval.</w:t>
      </w:r>
    </w:p>
    <w:p>
      <w:pPr>
        <w:spacing w:after="0" w:line="4" w:lineRule="exact"/>
        <w:rPr>
          <w:sz w:val="20"/>
          <w:szCs w:val="20"/>
          <w:color w:val="auto"/>
        </w:rPr>
      </w:pPr>
    </w:p>
    <w:p>
      <w:pPr>
        <w:ind w:left="60" w:right="179" w:firstLine="324"/>
        <w:spacing w:after="0" w:line="241" w:lineRule="auto"/>
        <w:rPr>
          <w:sz w:val="20"/>
          <w:szCs w:val="20"/>
          <w:color w:val="auto"/>
        </w:rPr>
      </w:pPr>
      <w:r>
        <w:rPr>
          <w:rFonts w:ascii="Times New Roman" w:cs="Times New Roman" w:eastAsia="Times New Roman" w:hAnsi="Times New Roman"/>
          <w:sz w:val="18"/>
          <w:szCs w:val="18"/>
          <w:color w:val="auto"/>
        </w:rPr>
        <w:t>We have limited experience in marketing and selling drug products. We have not entered into arrangements for the sale and marketing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BXCL501, BXCL502, BXCL701, BXCL702 or any other product candidate. Typically, pharmaceutical companies would employ groups of sales representatives and associated sales and marketing staff numbering in the hundreds to thousands of individuals to call on the large number of physicians and hospitals. Following our Clinical Reprioritization, we may need to rebuild a commercial sales and marketing team if we seek to modify our commercial strategy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initiate commercial sales for any product candidate in the future, which will likely require significant cost. We may seek to collaborate with a third-party to market our drugs or may seek to market and sell our drugs by ourselves. If we seek to collaborate with a third-party, we cannot be sure that a collaborative agreement can be reached on terms acceptable to us. We may also need to hire additional personnel skilled in marketing and sales for our direct marketing and selling efforts. We cannot be sure that we will be able to acquire, or establish third-party relationships to provide, any or all of these marketing and sales capabilities. The maintenance and expansion of our direct sales force or establishment of a contract sales force, or a combination thereof, as applicable, to market our products is expensive and time-consuming and could delay any product launch. In addition, reputational harm from the Clinical Reprioritization may adversely impact our efforts to hire personnel skilled in marketing and sales. Further, we can give no assurances that we will be able to maintain a direct and/or contract sales force for any period of time or that our sales efforts will be sufficient to grow our revenues or that our sales efforts will ever lead to profits. A direct sales force has in the past subjected and may in the future subject us to higher fixed costs than those of companies that market competing products through independent third parties, due to the costs that we bear associated with employee benefits, training, and managing sales personnel. As a result, we could be at a competitive disadvantage. Additionally, these fixed costs may slow our ability to reduce costs if needed, which could have a material adverse effect on our business, financial condition, and results of operations.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and rapidly changing industry.</w:t>
      </w:r>
    </w:p>
    <w:p>
      <w:pPr>
        <w:spacing w:after="0" w:line="189"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66" w:lineRule="auto"/>
        <w:rPr>
          <w:sz w:val="20"/>
          <w:szCs w:val="20"/>
          <w:color w:val="auto"/>
        </w:rPr>
      </w:pPr>
      <w:r>
        <w:rPr>
          <w:rFonts w:ascii="Times New Roman" w:cs="Times New Roman" w:eastAsia="Times New Roman" w:hAnsi="Times New Roman"/>
          <w:sz w:val="18"/>
          <w:szCs w:val="18"/>
          <w:color w:val="auto"/>
        </w:rPr>
        <w:t>established pharmaceutical companies who already possess a large share of the market, specialty pharmaceutical and biopharmaceutical companies, academic institutions, government agencies and other private and public research institutions in the U.S., the EU and other jurisdictions.</w:t>
      </w:r>
    </w:p>
    <w:p>
      <w:pPr>
        <w:spacing w:after="0" w:line="149"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spacing w:after="0" w:line="148"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spacing w:after="0" w:line="139" w:lineRule="exact"/>
        <w:rPr>
          <w:sz w:val="20"/>
          <w:szCs w:val="20"/>
          <w:color w:val="auto"/>
        </w:rPr>
      </w:pPr>
    </w:p>
    <w:p>
      <w:pPr>
        <w:ind w:left="60" w:right="299" w:firstLine="324"/>
        <w:spacing w:after="0" w:line="256" w:lineRule="auto"/>
        <w:rPr>
          <w:sz w:val="20"/>
          <w:szCs w:val="20"/>
          <w:color w:val="auto"/>
        </w:rPr>
      </w:pPr>
      <w:r>
        <w:rPr>
          <w:rFonts w:ascii="Times New Roman" w:cs="Times New Roman" w:eastAsia="Times New Roman" w:hAnsi="Times New Roman"/>
          <w:sz w:val="18"/>
          <w:szCs w:val="18"/>
          <w:color w:val="auto"/>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spacing w:after="0" w:line="160"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availability of our competitors’ products could limit the demand and the price we are able to charge for products and product candidates, if any, that we commercialize. The inability to compete with existing or subsequently introduced drugs would harm our business, financial condition and results of operations.</w:t>
      </w:r>
    </w:p>
    <w:p>
      <w:pPr>
        <w:spacing w:after="0" w:line="123" w:lineRule="exact"/>
        <w:rPr>
          <w:sz w:val="20"/>
          <w:szCs w:val="20"/>
          <w:color w:val="auto"/>
        </w:rPr>
      </w:pPr>
    </w:p>
    <w:p>
      <w:pPr>
        <w:ind w:left="60" w:right="599"/>
        <w:spacing w:after="0" w:line="228" w:lineRule="auto"/>
        <w:rPr>
          <w:sz w:val="20"/>
          <w:szCs w:val="20"/>
          <w:color w:val="auto"/>
        </w:rPr>
      </w:pPr>
      <w:r>
        <w:rPr>
          <w:rFonts w:ascii="Times New Roman" w:cs="Times New Roman" w:eastAsia="Times New Roman" w:hAnsi="Times New Roman"/>
          <w:sz w:val="18"/>
          <w:szCs w:val="18"/>
          <w:b w:val="1"/>
          <w:bCs w:val="1"/>
          <w:i w:val="1"/>
          <w:iCs w:val="1"/>
          <w:color w:val="auto"/>
        </w:rPr>
        <w:t>Although we obtained FDA approval for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our products and product candidates may not be accepted by physicians or the medical community in general, and there may be insufficient insurance coverage and reimbursement.</w:t>
      </w:r>
    </w:p>
    <w:p>
      <w:pPr>
        <w:spacing w:after="0" w:line="150" w:lineRule="exact"/>
        <w:rPr>
          <w:sz w:val="20"/>
          <w:szCs w:val="20"/>
          <w:color w:val="auto"/>
        </w:rPr>
      </w:pPr>
    </w:p>
    <w:p>
      <w:pPr>
        <w:ind w:left="60" w:right="259" w:firstLine="324"/>
        <w:spacing w:after="0" w:line="226" w:lineRule="auto"/>
        <w:rPr>
          <w:sz w:val="20"/>
          <w:szCs w:val="20"/>
          <w:color w:val="auto"/>
        </w:rPr>
      </w:pPr>
      <w:r>
        <w:rPr>
          <w:rFonts w:ascii="Times New Roman" w:cs="Times New Roman" w:eastAsia="Times New Roman" w:hAnsi="Times New Roman"/>
          <w:sz w:val="18"/>
          <w:szCs w:val="18"/>
          <w:color w:val="auto"/>
        </w:rPr>
        <w:t>There can be no assurance that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or BXCL501, BXCL502, BXCL701, BXCL702 and our other product candidates or any other product candidate successfully developed by us, independently or with partners, if approved, will be accepted by physicians, hospitals and other health care facilities.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competes, and BXCL501, BXCL502, BXCL701, BXCL702 and any future product candidates we develop will compete, with a number of products manufactured and marketed by major pharmaceutical and biotechnology companies. The degree of market acceptance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drugs we develop depends on a number of factors, including:</w:t>
      </w:r>
    </w:p>
    <w:p>
      <w:pPr>
        <w:spacing w:after="0" w:line="64" w:lineRule="exact"/>
        <w:rPr>
          <w:sz w:val="20"/>
          <w:szCs w:val="20"/>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demonstration of the clinical efficacy and safety of our products and product candidates;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 approval and commercial launch of our products and product candidates;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products and product candidates are approved;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 and package insert requirements;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advantages and disadvantages of our products and product candidates compared to existing therapies;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interest in and growth of the market for anti-cancer or anti-agitation drugs;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sales, marketing, and distribution support;</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pricing in absolute terms and relative to alternative treatments;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in health care laws, regulations, and medical policies;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95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coverage and reimbursement in select jurisdictions, and future changes to coverage and reimbursement policies of government and third-party payors.</w:t>
      </w:r>
    </w:p>
    <w:p>
      <w:pPr>
        <w:spacing w:after="0" w:line="127" w:lineRule="exact"/>
        <w:rPr>
          <w:sz w:val="20"/>
          <w:szCs w:val="20"/>
          <w:color w:val="auto"/>
        </w:rPr>
      </w:pPr>
    </w:p>
    <w:p>
      <w:pPr>
        <w:ind w:left="60" w:right="159" w:firstLine="324"/>
        <w:spacing w:after="0" w:line="217"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any product candidate for which we obtain regulatory approval. In the U.S. and other countries,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other products for which we receive regulatory approval for commercial sale will depend in part on the availability of coverage and reimbursement from third-party payors. Third-party payors include government health administrative authorities, such as Medicaid and Medicare, managed care providers, private health insurers and other organizations.</w:t>
      </w:r>
    </w:p>
    <w:p>
      <w:pPr>
        <w:spacing w:after="0" w:line="161" w:lineRule="exact"/>
        <w:rPr>
          <w:sz w:val="20"/>
          <w:szCs w:val="20"/>
          <w:color w:val="auto"/>
        </w:rPr>
      </w:pPr>
    </w:p>
    <w:p>
      <w:pPr>
        <w:ind w:left="60" w:right="159" w:firstLine="324"/>
        <w:spacing w:after="0" w:line="231"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for medical products and services. It will be time consuming and expensive for us to go through the process of seeking coverage and reimbursement from Medicare and private payors.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other products for which we receive regulatory approval may not be considered cost-effective, and coverage and reimbursement may not be available or sufficient to allow us to sell our proposed products on a profitable basis. Further federal, state and foreign government proposals and health care reforms are likely which could limit the prices that can be charged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the product candidates that we develop and may further limit our commercial opportunities. Our results of operations could be materially adversely affected by proposed health care reforms, by the Inflation Reduction Act and other drug pricing legislation in the U.S., by the possible effect of such current or future legislation on amounts that private insurers will pay and by other health care reforms that may be enacted or adopted in the future.</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 care reform measures could hinder or prevent our product candidates’ commercial success.</w:t>
      </w:r>
    </w:p>
    <w:p>
      <w:pPr>
        <w:spacing w:after="0" w:line="202" w:lineRule="exact"/>
        <w:rPr>
          <w:sz w:val="20"/>
          <w:szCs w:val="20"/>
          <w:color w:val="auto"/>
        </w:rPr>
      </w:pPr>
    </w:p>
    <w:p>
      <w:pPr>
        <w:ind w:left="60" w:right="179" w:firstLine="324"/>
        <w:spacing w:after="0" w:line="238" w:lineRule="auto"/>
        <w:rPr>
          <w:sz w:val="20"/>
          <w:szCs w:val="20"/>
          <w:color w:val="auto"/>
        </w:rPr>
      </w:pPr>
      <w:r>
        <w:rPr>
          <w:rFonts w:ascii="Times New Roman" w:cs="Times New Roman" w:eastAsia="Times New Roman" w:hAnsi="Times New Roman"/>
          <w:sz w:val="18"/>
          <w:szCs w:val="18"/>
          <w:color w:val="auto"/>
        </w:rPr>
        <w:t>The U.S. government and other governments have shown significant interest in pursuing health care reform. Any government-adopted reform measures could adversely impact the pricing of health care products and services in the U.S. or internationally and the amount of reimbursement available from governmental agencies or other third-party payors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the product candidates that we develop.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59"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New laws, regulations and judicial decisions, or new interpretations of existing laws, regulations and decisions, that relate to health 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U.S., new health care legislation or fiscal challenges faced by government health administration authorities. Specifically, in both the U.S. and some foreign jurisdictions, there have been a number of legislative and regulatory proposals to change the health care system in ways that could affect our ability to sell our products profitably.</w:t>
      </w:r>
    </w:p>
    <w:p>
      <w:pPr>
        <w:spacing w:after="0" w:line="151"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For example, in the U.S., the ACA, which was enacted in 2010, has substantially changed the way health care is financed by both government health plans and private insurers, and significantly impacts the pharmaceutical industry. For example, the ACA imposed a non-deductible excise tax on pharmaceutical manufacturers or importers that sell branded prescription drugs to government programs. In addition, as part of the ACA’s provisions closing a funding gap that existed in the Medicare Part D prescription drug program, manufacturers are required to provide a discount on branded prescription drugs for drugs provided to certain beneficiaries who fall within the “donut hole.” Similarly, the ACA increased the level of Medicaid rebates payable by manufacturers of brand-name drugs from 15.1% to 23.1% of the average manufacturer price and required collection of rebates for drugs paid by Medicaid managed care organizations. The ACA also included changes to the Public Health Service’s 340B drug pricing program (the “340B program”) including expansion of the list of eligible covered entities that may purchase drugs under the program.</w:t>
      </w:r>
    </w:p>
    <w:p>
      <w:pPr>
        <w:spacing w:after="0" w:line="167"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(“OBBBA”) which enacts significant changes to Medicaid and rescinds or does not continue major elements of the ACA. The legislation is projected to significantly reduce federal healthcare spending over the next decade due to a likely increase in the number of uninsured individuals. The OBBBA also restores the ability for companies to immediately deduct domestic research and experimentation (R&amp;E) costs, a provision that was previously phased out. This change provides significant tax</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relief and increases cash flow for biotech and life sciences companies, especially small and early-stage companies. The OBBBA also mandates that able-bodied Medicaid recipients aged 19-64 must work, volunteer, or attend school for at least 80 hours per month, or risk losing coverage. This is expected to reduce costs, but potentially also coverage for millions of people. The Company is still evaluating the impact of OBBBA.</w:t>
      </w:r>
    </w:p>
    <w:p>
      <w:pPr>
        <w:spacing w:after="0" w:line="153"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U.S. since the ACA was enacted. These changes include the Budget Control Act of 2011, which resulted in aggregate reductions of Medicare payments to providers, which went into effect on April 1, 2013, and, due to subsequent legislative amendments to the statute, will remain in effect through 2032, unless additional Congressional action is taken. Furthermore, the American Taxpayer Relief Act of 2012, further reduced Medicare payments to several types of providers, including hospitals, and increased the statute of limitations period for the government to recover overpayments to providers from three to five years. More recently, on March 11, 2021, President Biden signed the American Rescue Plan Act of 2021 into law, which eliminates the statutory Medicaid drug rebate cap, beginning January 1, 2024. The rebate was previously capped at 100% of a drug's average manufacturer price.</w:t>
      </w:r>
    </w:p>
    <w:p>
      <w:pPr>
        <w:spacing w:after="0" w:line="148"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Most significantly, on August 16,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As of January 17, 2025, HHS announced it will begin price negotiations for a list of fifteen additional drugs. HHS has issued and will continue to issue guidance implementing the IRA, although the Medicare drug price negotiation program is currently subject to legal challenges. While the impact of the IRA on the pharmaceutical industry and our business cannot yet be fully determined, it is likely to be significant.</w:t>
      </w:r>
    </w:p>
    <w:p>
      <w:pPr>
        <w:spacing w:after="0" w:line="14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Further, on January 20, 2025, President Trump reversed some of President Biden’s executive orders including rescinding Executive Order 14087 entitled “Lowering Prescription Drug Costs for Americans.” President Trump may issue new executive orders designed to impact drug pricing, and/or rescind or modify the previous administration’s efforts to address drug costs. A number of these and other proposed measures may require authorization through additional legislation to become effective. Congress and the Trump administration have indicated that they will continue to seek new legislative measures to control drug costs. Additionally, OBBBA amends the IRA to be more favorable for orphan drug developers by allowing a drug with multiple orphan designations to remain exempt from price negotiation, potentially preserving profitability for rare disease therapies.</w:t>
      </w:r>
    </w:p>
    <w:p>
      <w:pPr>
        <w:spacing w:after="0" w:line="192"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The Trump administration is pursuing a two-fold strategy to reduce drug costs in the United States. On the one hand, President Trump has threatened to impose significant tariffs on pharmaceutical manufacturers that do not adopt pricing policies such as most favored nation pricing, which would tie the price for drugs in the United States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Imposing a rebate in the U.S. that is based on drug prices outside the U.S. would mark a drastic and unprecedented shift in the U.S. pharmaceutical market, and while the impact of the Globe and Guard proposed regulations, if finalized, cannot yet be determined, it is likely to be significant.</w:t>
      </w:r>
    </w:p>
    <w:p>
      <w:pPr>
        <w:spacing w:after="0" w:line="190"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Individual states in the U.S. continue to consider and have enacted legislation to limit the growth of health 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2" w:lineRule="auto"/>
        <w:rPr>
          <w:sz w:val="20"/>
          <w:szCs w:val="20"/>
          <w:color w:val="auto"/>
        </w:rPr>
      </w:pPr>
      <w:r>
        <w:rPr>
          <w:rFonts w:ascii="Times New Roman" w:cs="Times New Roman" w:eastAsia="Times New Roman" w:hAnsi="Times New Roman"/>
          <w:sz w:val="17"/>
          <w:szCs w:val="17"/>
          <w:color w:val="auto"/>
        </w:rPr>
        <w:t>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 Furthermore, there has been increased interest by third-party payors and governmental authorities in reference pricing systems and publication of discounts and list prices.</w:t>
      </w:r>
    </w:p>
    <w:p>
      <w:pPr>
        <w:spacing w:after="0" w:line="145" w:lineRule="exact"/>
        <w:rPr>
          <w:sz w:val="20"/>
          <w:szCs w:val="20"/>
          <w:color w:val="auto"/>
        </w:rPr>
      </w:pPr>
    </w:p>
    <w:p>
      <w:pPr>
        <w:ind w:left="60" w:right="199" w:firstLine="324"/>
        <w:spacing w:after="0" w:line="239" w:lineRule="auto"/>
        <w:rPr>
          <w:sz w:val="20"/>
          <w:szCs w:val="20"/>
          <w:color w:val="auto"/>
        </w:rPr>
      </w:pPr>
      <w:r>
        <w:rPr>
          <w:rFonts w:ascii="Times New Roman" w:cs="Times New Roman" w:eastAsia="Times New Roman" w:hAnsi="Times New Roman"/>
          <w:sz w:val="18"/>
          <w:szCs w:val="18"/>
          <w:color w:val="auto"/>
        </w:rPr>
        <w:t>It is likely that federal and state legislatures within the U.S. and foreign governments will continue to consider changes to existing health care legislation. We cannot predict the reform initiatives that may be adopted in the future or whether initiatives that have been adopted will be repealed or modified. The continuing efforts of governments, insurance companies, managed care organizations and other payors of health care services to contain or reduce costs of health care may adversely affect the demand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other drug products for which we may obtain regulatory approval, our ability to set a price that we believe is fair for our products, our ability to obtain adequate coverage and reimbursement approval for a product, our ability to generate revenues and achieve or maintain profitability, and the level of taxes that we are required to pay.</w:t>
      </w:r>
    </w:p>
    <w:p>
      <w:pPr>
        <w:spacing w:after="0" w:line="163"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U.S. and EU, reimbursement and healthcare payment systems vary significantly by country, and many countries have instituted price ceilings on specific products and therapies.</w:t>
      </w:r>
    </w:p>
    <w:p>
      <w:pPr>
        <w:spacing w:after="0" w:line="147"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as well as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59" w:lineRule="exact"/>
        <w:rPr>
          <w:sz w:val="20"/>
          <w:szCs w:val="20"/>
          <w:color w:val="auto"/>
        </w:rPr>
      </w:pPr>
    </w:p>
    <w:p>
      <w:pPr>
        <w:ind w:left="6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reporting and payment obligations under the Medicaid Drug Rebate Program or other governmental pricing programs in the U.S., we could be subject to additional reimbursement requirements, penalties, sanctions and fines, which could have a material adverse effect on our business, results of operations and financial condition.</w:t>
      </w:r>
    </w:p>
    <w:p>
      <w:pPr>
        <w:spacing w:after="0" w:line="180" w:lineRule="exact"/>
        <w:rPr>
          <w:sz w:val="20"/>
          <w:szCs w:val="20"/>
          <w:color w:val="auto"/>
        </w:rPr>
      </w:pPr>
    </w:p>
    <w:p>
      <w:pPr>
        <w:ind w:left="60" w:right="379" w:firstLine="324"/>
        <w:spacing w:after="0" w:line="289" w:lineRule="auto"/>
        <w:rPr>
          <w:sz w:val="20"/>
          <w:szCs w:val="20"/>
          <w:color w:val="auto"/>
        </w:rPr>
      </w:pPr>
      <w:r>
        <w:rPr>
          <w:rFonts w:ascii="Times New Roman" w:cs="Times New Roman" w:eastAsia="Times New Roman" w:hAnsi="Times New Roman"/>
          <w:sz w:val="17"/>
          <w:szCs w:val="17"/>
          <w:color w:val="auto"/>
        </w:rPr>
        <w:t>We participate in the Medicaid Drug Rebate Program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44" w:lineRule="auto"/>
        <w:rPr>
          <w:sz w:val="20"/>
          <w:szCs w:val="20"/>
          <w:color w:val="auto"/>
        </w:rPr>
      </w:pPr>
      <w:r>
        <w:rPr>
          <w:rFonts w:ascii="Times New Roman" w:cs="Times New Roman" w:eastAsia="Times New Roman" w:hAnsi="Times New Roman"/>
          <w:sz w:val="18"/>
          <w:szCs w:val="18"/>
          <w:color w:val="auto"/>
        </w:rPr>
        <w:t>drugs that are dispensed to beneficiaries of these programs. As a condition of having federal funds being made available for covered outpatient drugs under Medicaid and Medicare Part B, a manufacturer must enroll in the MDRP. Under this program, we must pay a rebate to state Medicaid programs for each unit of our covered outpatient drug dispensed to a Medicaid beneficiary and paid for by a state Medicaid program. Medicaid drug rebates are based on pricing data that we must report on a monthly and quarterly basis to CMS. For the MDRP, this data includes the average manufacturer price (“AMP”) for each drug and, in the case of an innovator product, like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best price. If we become aware that our MDRP price reporting submission for a prior period was incorrect or has changed as a result of recalculation of the pricing data, we must resubmit the corrected data for up to three years after the data originally was due. Further, under the IRA, AMP figures we report will also be used to calculate a rebate on Medicare Part D utilization, triggered by price increases that outpace inflation.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outpatient drugs under Medicaid or, if applicable, Medicare Part B. Failure to make necessary disclosures and/or to identify overpayments additionally could result in allegations against us under the Federal False Claims Act and other laws and regulations.</w:t>
      </w:r>
    </w:p>
    <w:p>
      <w:pPr>
        <w:spacing w:after="0" w:line="173"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Federal law requires that a manufacturer that participates in the MDRP also participate in the 340B program in order for federal funds to be available for the manufacturer’s drugs under Medicaid and Medicare Part B, and we participate in the 340B program. The 340B program is administered by the Health Resources and Services Administration (“HRSA”) and requires us to charge statutorily defined covered entities no more than the 340B “ceiling price” for our covered outpatient drugs used in an outpatient setting. These 340B program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outpatient drug as calculated under the MDRP. In general, products subject to Medicaid price reporting and rebate liability are also subject to the 340B ceiling price calculation and discount requirement. We must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 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In addition, legislation may be introduced that, if passed, would further expand the 340B program, such as adding further covered entities or requiring participating manufacturers to agree to provide 340B program discounted pricing on drugs used in an inpatient setting.</w:t>
      </w:r>
    </w:p>
    <w:p>
      <w:pPr>
        <w:spacing w:after="0" w:line="151"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In order to be eligible to have drug products paid for with federal funds under Medicaid and Medicare Part B and purchased by certain federal agencies and grantees, we also must participate in the U.S. Department of Veterans Affairs (“VA”) Federal Supply Schedule (“FSS”) pricing program. Under the VA/FSS program, we must report the Non-Federal Average Manufacturer Price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must also pay rebates on products purchased by military personnel and dependents through the TRICARE retail pharmacy program. If we fail to provide timely information or are found to have knowingly submitted false information, we may be subject to civil monetary penalties.</w:t>
      </w:r>
    </w:p>
    <w:p>
      <w:pPr>
        <w:spacing w:after="0" w:line="148"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Individual states continue to consider and have enacted legislation to limit the growth of health 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39"/>
        <w:spacing w:after="0" w:line="282" w:lineRule="auto"/>
        <w:rPr>
          <w:sz w:val="20"/>
          <w:szCs w:val="20"/>
          <w:color w:val="auto"/>
        </w:rPr>
      </w:pPr>
      <w:r>
        <w:rPr>
          <w:rFonts w:ascii="Times New Roman" w:cs="Times New Roman" w:eastAsia="Times New Roman" w:hAnsi="Times New Roman"/>
          <w:sz w:val="18"/>
          <w:szCs w:val="18"/>
          <w:color w:val="auto"/>
        </w:rPr>
        <w:t>we are found to have violated state law requirements, we may become subject to penalties or other enforcement mechanisms, which could have a material adverse effect on our business.</w:t>
      </w:r>
    </w:p>
    <w:p>
      <w:pPr>
        <w:spacing w:after="0" w:line="135" w:lineRule="exact"/>
        <w:rPr>
          <w:sz w:val="20"/>
          <w:szCs w:val="20"/>
          <w:color w:val="auto"/>
        </w:rPr>
      </w:pPr>
    </w:p>
    <w:p>
      <w:pPr>
        <w:ind w:left="60" w:right="179" w:firstLine="324"/>
        <w:spacing w:after="0" w:line="269" w:lineRule="auto"/>
        <w:rPr>
          <w:sz w:val="20"/>
          <w:szCs w:val="20"/>
          <w:color w:val="auto"/>
        </w:rPr>
      </w:pPr>
      <w:r>
        <w:rPr>
          <w:rFonts w:ascii="Times New Roman" w:cs="Times New Roman" w:eastAsia="Times New Roman" w:hAnsi="Times New Roman"/>
          <w:sz w:val="17"/>
          <w:szCs w:val="17"/>
          <w:color w:val="auto"/>
        </w:rPr>
        <w:t>Pricing and rebate calculations are complex, vary among products and programs, and are often subject to interpretation by manufacturers,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may be required to offer products under the 340B program. Civil monetary penalties can be applied if we are found to have knowingly submitted any false price or product information to the government, if we fail to submit required price data on a timely basis, or if we are found to have charged 340B program covered entities more than the statutorily mandated ceiling price. In the event that CMS were to terminate our Medicaid rebate agreement, pursuant to which we participate in the MDRP, no federal payments would be available under Medicaid or Medicare for our covered outpatient drugs. We cannot assure you that price data submissions we make will not be found to be incomplete or incorrect.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Relationship with BioXcel LLC</w:t>
      </w:r>
    </w:p>
    <w:p>
      <w:pPr>
        <w:spacing w:after="0" w:line="185" w:lineRule="exact"/>
        <w:rPr>
          <w:sz w:val="20"/>
          <w:szCs w:val="20"/>
          <w:color w:val="auto"/>
        </w:rPr>
      </w:pPr>
    </w:p>
    <w:p>
      <w:pPr>
        <w:jc w:val="both"/>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Approval of commercial terms between us and BioXcel LLC does not preclude the possibility of stockholder litigation, including but not limited to derivative litigation nominally against BioXcel LLC and against its directors and officers and also against us and our directors and officers.</w:t>
      </w:r>
    </w:p>
    <w:p>
      <w:pPr>
        <w:spacing w:after="0" w:line="148" w:lineRule="exact"/>
        <w:rPr>
          <w:sz w:val="20"/>
          <w:szCs w:val="20"/>
          <w:color w:val="auto"/>
        </w:rPr>
      </w:pPr>
    </w:p>
    <w:p>
      <w:pPr>
        <w:jc w:val="both"/>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The commercial terms of the Separation and Shared Services Agreement (as amended and/or restated and in effect as of the date hereof, the “Services Agreement”), and the Amended and Restated Asset Contribution Agreement (as amended and/or restated and in effect as of the date hereof, the “Contribution Agreement”), that we entered into with BioXcel LLC have not been negotiated by persons consisting solely of disinterested directors.</w:t>
      </w:r>
    </w:p>
    <w:p>
      <w:pPr>
        <w:spacing w:after="0" w:line="13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No assurance can be given that any equity or debt holder of BioXcel LLC or the Company will not claim in a lawsuit that such terms in fact are not in the best interests of BioXcel LLC or the Company and its applicable equity holders, that the directors and officers of BioXcel LLC or the Company breached their fiduciary duties in connection with such agreements and that any disclosures by the Company to its stockholders regarding these agreements and the relationship between BioXcel LLC and us did not satisfy applicable requirements. In any such instance, we and our directors and officers may also be named as defendants and we would have to defend ourselves and our directors and officers. While we would seek indemnification from BioXcel LLC under the terms of these agreements against any damages or other costs, which could be substantial, no such indemnification has yet been agreed to or may be agreed to and be in effect. Further, any such litigation would be time-consuming and would divert focus and resources from the development of our product candidates and our business, including but not limited to possibly delaying our clinical trials due to our management having to spend time and attention on such litigation.</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continue to depend on BioXcel LLC to provide us with certain services for our business.</w:t>
      </w:r>
    </w:p>
    <w:p>
      <w:pPr>
        <w:spacing w:after="0" w:line="202"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We rely, in part, on BioXcel LLC and access to its EvolverAI, to complement our in-house, uniquely integrated AI-to-drug-development capability. EvolverAI is a research and development engine created and owned by BioXcel LLC, to identify, research and develop potential product candidates in neuroscience and immuno-oncology. We negotiated the Services Agreement with BioXcel LLC pursuant to which BioXcel LLC agreed to perform certain intellectual property prosecution and management and research and development activities for us utilizing its EvolverAI.</w:t>
      </w:r>
    </w:p>
    <w:p>
      <w:pPr>
        <w:spacing w:after="0" w:line="143" w:lineRule="exact"/>
        <w:rPr>
          <w:sz w:val="20"/>
          <w:szCs w:val="20"/>
          <w:color w:val="auto"/>
        </w:rPr>
      </w:pPr>
    </w:p>
    <w:p>
      <w:pPr>
        <w:jc w:val="both"/>
        <w:ind w:left="60" w:right="459" w:firstLine="324"/>
        <w:spacing w:after="0" w:line="277" w:lineRule="auto"/>
        <w:rPr>
          <w:sz w:val="20"/>
          <w:szCs w:val="20"/>
          <w:color w:val="auto"/>
        </w:rPr>
      </w:pPr>
      <w:r>
        <w:rPr>
          <w:rFonts w:ascii="Times New Roman" w:cs="Times New Roman" w:eastAsia="Times New Roman" w:hAnsi="Times New Roman"/>
          <w:sz w:val="17"/>
          <w:szCs w:val="17"/>
          <w:color w:val="auto"/>
        </w:rPr>
        <w:t>In addition, at the time of our initial public offering (“IPO”), BioXcel LLC granted us (i) a first right to negotiate exclusive rights to any additional product candidates in the fields of neuroscience and immuno-oncology that BioXcel LLC may identify on its own and not in connection with BioXcel LLC’s provision of services to us under the Services Agreement and (ii) an exclusivity agreement in the neuroscience and immuno-oncology fields whereby BioXcel LLC agreed not develop drugs, or engage in preclinical discovery for the purpose of developing drugs, in the neuroscience</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and immuno-oncology fields for or on behalf of a third party, utilizing EvolverAI or otherwise. This first right to negotiate and exclusivity period expired on March 12, 2023, and there is no assurance that we will extend the terms of the agreement. We are continuing to assess our ongoing business needs.</w:t>
      </w:r>
    </w:p>
    <w:p>
      <w:pPr>
        <w:spacing w:after="0" w:line="149" w:lineRule="exact"/>
        <w:rPr>
          <w:sz w:val="20"/>
          <w:szCs w:val="20"/>
          <w:color w:val="auto"/>
        </w:rPr>
      </w:pPr>
    </w:p>
    <w:p>
      <w:pPr>
        <w:ind w:left="60" w:right="379" w:firstLine="324"/>
        <w:spacing w:after="0" w:line="256" w:lineRule="auto"/>
        <w:rPr>
          <w:sz w:val="20"/>
          <w:szCs w:val="20"/>
          <w:color w:val="auto"/>
        </w:rPr>
      </w:pPr>
      <w:r>
        <w:rPr>
          <w:rFonts w:ascii="Times New Roman" w:cs="Times New Roman" w:eastAsia="Times New Roman" w:hAnsi="Times New Roman"/>
          <w:sz w:val="18"/>
          <w:szCs w:val="18"/>
          <w:color w:val="auto"/>
        </w:rPr>
        <w:t>On September 19, 2023, the Company, Krishnan Nandabalan, Ph.D., InveniAI LLC (“Inveni”) and Invea Therapeutics, Inc. (“Invea”) and the other parties thereto entered into a non-compete agreement pursuant to which Dr. Nandabalan, Inveni and Invea agreed not to compete with the Company and its controlled affiliates in the fields of neuroscience and immuno-oncology for a period of five years from September 19, 2023 and not to solicit employees of the Company or its controlled affiliates for a period of two years from September 19, 2023. Inveni and Invea are subsidiaries of BioXcel LLC.</w:t>
      </w:r>
    </w:p>
    <w:p>
      <w:pPr>
        <w:spacing w:after="0" w:line="147"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If our rights under the Services Agreement were to become limited or if we are otherwise precluded from conducting research and development using EvolverAI, or if BioXcel LLC, Inveni or Invea do not fulfill their obligations under the agreements, such development could materially adversely affect our future operating results, financial condition, and prospects. Furthermore, certain individuals conducting services on our behalf are not our employees, and we cannot control whether they devote sufficient time, skill and resources to our ongoing development programs. We also cannot ensure that BioXcel LLC retains sufficient resources or personnel or otherwise to conduct its operations. BioXcel LLC may also have relationships with other commercial entities, including our competitors, for whom they may also be conducting research and development activities, which could impede their ability to devote appropriate time to our research and development programs. BioXcel LLC is not currently restricted from using EvolverAI to perform drug discovery services for our direct competitors, and if we do not extend the exclusivity period in the neuroscience and immuno-oncology fields, this could harm our competitive position and adversely affect our future operating results and financial condition.</w:t>
      </w:r>
    </w:p>
    <w:p>
      <w:pPr>
        <w:spacing w:after="0" w:line="145"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management of and beneficial ownership in BioXcel LLC may create, or may create the appearance of, conflicts of interest.</w:t>
      </w:r>
    </w:p>
    <w:p>
      <w:pPr>
        <w:spacing w:after="0" w:line="132" w:lineRule="exact"/>
        <w:rPr>
          <w:sz w:val="20"/>
          <w:szCs w:val="20"/>
          <w:color w:val="auto"/>
        </w:rPr>
      </w:pPr>
    </w:p>
    <w:p>
      <w:pPr>
        <w:ind w:left="60" w:right="179" w:firstLine="324"/>
        <w:spacing w:after="0" w:line="270" w:lineRule="auto"/>
        <w:rPr>
          <w:sz w:val="20"/>
          <w:szCs w:val="20"/>
          <w:color w:val="auto"/>
        </w:rPr>
      </w:pPr>
      <w:r>
        <w:rPr>
          <w:rFonts w:ascii="Times New Roman" w:cs="Times New Roman" w:eastAsia="Times New Roman" w:hAnsi="Times New Roman"/>
          <w:sz w:val="17"/>
          <w:szCs w:val="17"/>
          <w:color w:val="auto"/>
        </w:rPr>
        <w:t>Our Chief Executive Officer and member of our board of directors, Vimal Mehta, Ph.D., is the Chief Executive Officer, President, Treasurer and Secretary and a member of the board of managers of BioXcel LLC and Chief Executive Officer, President, Treasurer and Secretary and the sole member of the board of directors of BioXcel Holdings, Inc. Additionally, as of March 31, 2026, Dr. Mehta, through his beneficial ownership of BioXcel LLC, beneficially owned approximately 1.8% of the Company. The management and ownership of BioXcel LLC by Dr. Mehta may create the appearance of conflicts of interest when Dr. Mehta is faced with decisions that could have different implications for BioXcel LLC than the decisions have for us, including decisions that relate to our Services Agreement and Contribution Agreement, as well as potential agreements relating to future product candidates and AI-related services or collaborations. Any perceived conflicts of interest resulting from investors questioning the independence of our management or the integrity of corporate governance procedures may materially affect our stock price and expose us to litigation risk.</w:t>
      </w:r>
    </w:p>
    <w:p>
      <w:pPr>
        <w:spacing w:after="0" w:line="173"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disputes that arise between us and BioXcel LLC with respect to our past and ongoing relationships could harm our business operations.</w:t>
      </w:r>
    </w:p>
    <w:p>
      <w:pPr>
        <w:spacing w:after="0" w:line="118"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Disputes may arise between BioXcel LLC and us in a number of areas relating to our past and ongoing relationships, including:</w:t>
      </w:r>
    </w:p>
    <w:p>
      <w:pPr>
        <w:spacing w:after="0" w:line="121" w:lineRule="exact"/>
        <w:rPr>
          <w:sz w:val="20"/>
          <w:szCs w:val="20"/>
          <w:color w:val="auto"/>
        </w:rPr>
      </w:pPr>
    </w:p>
    <w:p>
      <w:pPr>
        <w:ind w:left="720" w:right="37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technology and business matters, including failure to make required technology transfers and failure to comply with contractual provisions applicable to BioXcel LLC and us;</w:t>
      </w:r>
    </w:p>
    <w:p>
      <w:pPr>
        <w:spacing w:after="0" w:line="134"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tax, employee benefit, indemnification and other matters arising from the separation of BTI from BioXcel LLC;</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supply obligations;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recruiting;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involving us;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distributions by BioXcel LLC of all or any portion of its ownership interest in us;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quality and pricing of services BioXcel LLC has agreed to provide us;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opportunities that may be attractive to both BioXcel LLC and us.</w:t>
      </w:r>
    </w:p>
    <w:p>
      <w:pPr>
        <w:spacing w:after="0" w:line="198"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We entered into the Services Agreement with BioXcel LLC related to the separation of our business operations from those of BioXcel LLC that contains certain limitations on BioXcel LLC’s ability to control various aspects of our business and operations, notwithstanding BioXcel LLC’s substantial ownership position. This agreement may be amended upon agreement between us and BioXcel LLC.</w:t>
      </w:r>
    </w:p>
    <w:p>
      <w:pPr>
        <w:spacing w:after="0" w:line="135"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BioXcel LLC may experience challenges with the acquisition, development, enhancement, or deployment of technology necessary for EvolverAI. We may face similar challenges with other AI platforms that we may utilize, including our own in-house proprietary platform.</w:t>
      </w:r>
    </w:p>
    <w:p>
      <w:pPr>
        <w:spacing w:after="0" w:line="134"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BioXcel LLC operates in businesses that require sophisticated computer systems and software for data collection, data processing, cloud-based platforms, analytics, statistical projections and forecasting, mobile computing, social media analytics and other applications and technologies. BioXcel LLC seeks to address its technology risks by increasing its reliance on the use of innovations by cross-industry technology leaders and adapt these for their pharmaceutical, biotechnology, biopharmaceutical, diagnostic, medical device and contract research and manufacturing clients. Some of the technologies supporting the industries they serve are changing rapidly and we must continue to adapt to these changes in a timely and effective manner at an acceptable cost. They also must continue to deliver data to their clients in forms that are easy to use while simultaneously providing clear answers to complex questions. We also utilize our own in-house AI platform.</w:t>
      </w:r>
    </w:p>
    <w:p>
      <w:pPr>
        <w:spacing w:after="0" w:line="161" w:lineRule="exact"/>
        <w:rPr>
          <w:sz w:val="20"/>
          <w:szCs w:val="20"/>
          <w:color w:val="auto"/>
        </w:rPr>
      </w:pPr>
    </w:p>
    <w:p>
      <w:pPr>
        <w:ind w:left="60" w:right="159" w:firstLine="324"/>
        <w:spacing w:after="0" w:line="268" w:lineRule="auto"/>
        <w:rPr>
          <w:sz w:val="20"/>
          <w:szCs w:val="20"/>
          <w:color w:val="auto"/>
        </w:rPr>
      </w:pPr>
      <w:r>
        <w:rPr>
          <w:rFonts w:ascii="Times New Roman" w:cs="Times New Roman" w:eastAsia="Times New Roman" w:hAnsi="Times New Roman"/>
          <w:sz w:val="17"/>
          <w:szCs w:val="17"/>
          <w:color w:val="auto"/>
        </w:rPr>
        <w:t>There can be no guarantee that we or BioXcel LLC will be able to develop, acquire or integrate new technologies, that these new technologies will meet our and BioXcel LLC’s needs or achieve our expected goals, or that we will be able to do so as quickly or cost-effectively as our competitors. Significant technological change could render BioXcel LLC’s EvolverAI or other AI platforms that we may utilize obsolete. BioXcel LLC’s and our continued success will depend on the ability to adapt to changing technologies, manage and process ever-increasing amounts of data and information and improve the performance, features and reliability of these services in response to changing client and industry demands. If EvolverAI or other AI and machine learning models that we use are incorrectly designed, do not operate properly, the data we use to train them is incomplete, inadequate or biased in some way, or if we do not have sufficient rights to use the data on which our AI and machine learning models rely, the performance of our products, services and businesses, as well as our reputation, could suffer or we could incur liability through the violation of laws, third-party privacy rights or contracts to which we are a party. BioXcel LLC or we may experience difficulties that could delay or prevent the successful design, development, testing, and introduction of advanced versions of EvolverAI, limiting our ability to identify new product candidates. New services, or enhancements to existing EvolverAI services, may not adequately meet our requirements. Any of these failures could have a material adverse effect on our operating results and financial condition.</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85" w:lineRule="exact"/>
        <w:rPr>
          <w:sz w:val="20"/>
          <w:szCs w:val="20"/>
          <w:color w:val="auto"/>
        </w:rPr>
      </w:pPr>
    </w:p>
    <w:p>
      <w:pPr>
        <w:ind w:left="60" w:right="199"/>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third parties for the manufacture of our clinical supplies of our product candidates, and our commercial supplies of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and we intend to rely on third parties to produce commercial supplies of any other approved product candidate. Therefore, our development of our products could be stopped or delayed, and our commercialization of any future product could be stopped, delayed or made less profitable if third-party manufacturers fail to obtain approval of the FDA or comparable regulatory authorities or fail to provide us with drug product in sufficient quantities or at acceptable prices.</w:t>
      </w:r>
    </w:p>
    <w:p>
      <w:pPr>
        <w:spacing w:after="0" w:line="172" w:lineRule="exact"/>
        <w:rPr>
          <w:sz w:val="20"/>
          <w:szCs w:val="20"/>
          <w:color w:val="auto"/>
        </w:rPr>
      </w:pPr>
    </w:p>
    <w:p>
      <w:pPr>
        <w:ind w:left="60" w:right="399" w:firstLine="324"/>
        <w:spacing w:after="0" w:line="289" w:lineRule="auto"/>
        <w:rPr>
          <w:sz w:val="20"/>
          <w:szCs w:val="20"/>
          <w:color w:val="auto"/>
        </w:rPr>
      </w:pPr>
      <w:r>
        <w:rPr>
          <w:rFonts w:ascii="Times New Roman" w:cs="Times New Roman" w:eastAsia="Times New Roman" w:hAnsi="Times New Roman"/>
          <w:sz w:val="17"/>
          <w:szCs w:val="17"/>
          <w:color w:val="auto"/>
        </w:rPr>
        <w:t>We entered into a commercial supply agreement with ARx, LLC (“ARx”) pursuant to which ARx has agreed to exclusively manufacture and supply us with all of our worldwide demand of film formulation of Dex to be used for the commercial supply of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for ongoing clinical trials of our product candidate BXCL501, subject to certain</w:t>
      </w:r>
    </w:p>
    <w:p>
      <w:pPr>
        <w:sectPr>
          <w:pgSz w:w="11900" w:h="16838" w:orient="portrait"/>
          <w:cols w:equalWidth="0" w:num="1">
            <w:col w:w="9019"/>
          </w:cols>
          <w:pgMar w:left="1440" w:top="513" w:right="1440" w:bottom="1440" w:gutter="0" w:footer="0" w:header="0"/>
        </w:sectPr>
      </w:pPr>
    </w:p>
    <w:p>
      <w:pPr>
        <w:spacing w:after="0" w:line="2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alternative supply provisions. If ARx is unable or ceases to produce our supply of Dex in sufficient quantities as and when needed or if the ARx agreement becomes too costly, our business would be harmed because there can be no assurance that we will be able to identify or enter into agreements with alternative suppliers on a timely basis on acceptable terms, if at all. An interruption in our ability to sell our products to customers could occur if we encounter delays or difficulties in securing Dex, or if the quantity or quality supplied does not meet our specifications, or if we cannot then obtain an acceptable substitute. If any of these events occur, our business and operating results could be harmed. Our specified minimum annual payment could adversely affect our cash flows in the future, such as in times when we have sufficient inventory and would otherwise be able to use our cash for other purposes.</w:t>
      </w:r>
    </w:p>
    <w:p>
      <w:pPr>
        <w:spacing w:after="0" w:line="165"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improving costs and yields, establishing and maintaining quality controls and stability requirements, eliminating contaminations and operator errors, and maintaining compliance with regulatory requirements. We do not currently have nor do we plan to acquire the infrastructure or capability internally to produce an adequate supply of compounds to meet future requirements for clinical trials and commercialization of our products or to produce our products in accordance with cGMP prescribed by the FDA or similar foreign requirements. Drug manufacturing facilities are subject to inspection before the FDA or foreign regulatory authorities will issue an approval to market a new drug product, and ARx, the Patheon pharma services division of Thermo Fisher Scientific Inc., and any other manufacturers that we may use must adhere to the cGMP or similar foreign regulations prescribed by the FDA or foreign regulatory authorities.</w:t>
      </w:r>
    </w:p>
    <w:p>
      <w:pPr>
        <w:spacing w:after="0" w:line="14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As such, these third-party manufacturers will be required to comply with cGMPs, and other applicable laws and regulations. We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Any of these factors would significantly impact our ability to develop, obtain regulatory approval for or market our product candidates and adversely affect our business.</w:t>
      </w:r>
    </w:p>
    <w:p>
      <w:pPr>
        <w:spacing w:after="0" w:line="148"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We, ARx, the Patheon pharma services division of Thermo Fisher Scientific Inc., and/or our other third-party manufacturers may be adversely affected by developments outside of our control, and these developments may delay or 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we, ARx, the Patheon pharma services division of Thermo Fisher Scientific Inc., or our other third-party manufacturers were to 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 production. Further, production disruptions may cause us to terminate ongoing clinical trials and/or commence new clinical trials at additional expense. We may also have to take inventory write-offs and incur other charges and expenses for products that fail to meet specifications or pass safety inspections.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spacing w:after="0" w:line="165"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 third-party manufacturers on whom we rely, including ARx, may be unable to successfully scale-up manufacturing of our product and product candidates in sufficient quality and quantity, which would delay or prevent us from developing our product candidates and commercializing any approved products.</w:t>
      </w:r>
    </w:p>
    <w:p>
      <w:pPr>
        <w:spacing w:after="0" w:line="134"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In order to conduct clinical trials of our product candidates and commercialize any approved product candidates, we, or our manufacturers, including ARx, and the Patheon pharma services division of Thermo Fisher Scientific Inc.,</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4" w:lineRule="auto"/>
        <w:rPr>
          <w:sz w:val="20"/>
          <w:szCs w:val="20"/>
          <w:color w:val="auto"/>
        </w:rPr>
      </w:pPr>
      <w:r>
        <w:rPr>
          <w:rFonts w:ascii="Times New Roman" w:cs="Times New Roman" w:eastAsia="Times New Roman" w:hAnsi="Times New Roman"/>
          <w:sz w:val="18"/>
          <w:szCs w:val="18"/>
          <w:color w:val="auto"/>
        </w:rPr>
        <w:t>will need to manufacture them in large quantities. We, or our manufacturers, may be unable to successfully increase the manufacturing capacity for any of our approved products or product candidates in a timely or cost-effective manner, or at all. In addition, quality issues may arise during scale-up activities. If we, or any of our manufacturers, are unable to successfully scale up the manufacture of our approved products or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approved products, or to do so on commercially reasonable terms, we may not be able to develop and commercialize our approved products or product candidates successfully.</w:t>
      </w:r>
    </w:p>
    <w:p>
      <w:pPr>
        <w:spacing w:after="0" w:line="157"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find third-party collaborators to assist or share in the costs of product development could materially harm our business, financial condition, and results of operations.</w:t>
      </w:r>
    </w:p>
    <w:p>
      <w:pPr>
        <w:spacing w:after="0" w:line="118"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Our strategy for the development and commercialization of our proprietary products and product candidates may include the formation of collaborative arrangements with third parties. Collaborators have significant discretion in determining the efforts and resources they apply and may not perform their obligations as expected. Potential third-party collaborators include biopharmaceutical, pharmaceutical and biotechnology companies, academic institutions and other entities. Third-party collaborators may assist us in:</w:t>
      </w:r>
    </w:p>
    <w:p>
      <w:pPr>
        <w:spacing w:after="0" w:line="143" w:lineRule="exact"/>
        <w:rPr>
          <w:sz w:val="20"/>
          <w:szCs w:val="20"/>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research, preclinical development, clinical trials and manufacturing;</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regulatory approvals; and</w:t>
      </w:r>
    </w:p>
    <w:p>
      <w:pPr>
        <w:spacing w:after="0" w:line="17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commercializing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product candidates.</w:t>
      </w:r>
    </w:p>
    <w:p>
      <w:pPr>
        <w:spacing w:after="0" w:line="100" w:lineRule="exact"/>
        <w:rPr>
          <w:sz w:val="20"/>
          <w:szCs w:val="20"/>
          <w:color w:val="auto"/>
        </w:rPr>
      </w:pPr>
    </w:p>
    <w:p>
      <w:pPr>
        <w:jc w:val="both"/>
        <w:ind w:left="60" w:right="319" w:firstLine="324"/>
        <w:spacing w:after="0" w:line="281" w:lineRule="auto"/>
        <w:rPr>
          <w:sz w:val="20"/>
          <w:szCs w:val="20"/>
          <w:color w:val="auto"/>
        </w:rPr>
      </w:pPr>
      <w:r>
        <w:rPr>
          <w:rFonts w:ascii="Times New Roman" w:cs="Times New Roman" w:eastAsia="Times New Roman" w:hAnsi="Times New Roman"/>
          <w:sz w:val="17"/>
          <w:szCs w:val="17"/>
          <w:color w:val="auto"/>
        </w:rPr>
        <w:t>If we are not able to establish collaboration agreements, we may be required to undertake product development and commercialization at our own expense. Such an undertaking may limit the number of product candidates that we will be able to develop, significantly increase our capital requirements and place additional strain on our internal resources. Our failure to enter into collaborations could materially harm our business, financial condition and results of operations.</w:t>
      </w:r>
    </w:p>
    <w:p>
      <w:pPr>
        <w:spacing w:after="0" w:line="137"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 addition, our dependence on licensing, collaboration and other agreements with third parties may subject us to a number of risks. These agreements may not be on terms that prove favorable to us and may require us to relinquish 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by our collaborators to pursue alternative technologies or the failure of our collaborators to develop or commercialize successfully any product candidate to which they have obtained rights from us could materially harm our business, financial condition and results of operations.</w:t>
      </w:r>
    </w:p>
    <w:p>
      <w:pPr>
        <w:spacing w:after="0" w:line="147"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34" w:lineRule="exact"/>
        <w:rPr>
          <w:sz w:val="20"/>
          <w:szCs w:val="20"/>
          <w:color w:val="auto"/>
        </w:rPr>
      </w:pPr>
    </w:p>
    <w:p>
      <w:pPr>
        <w:jc w:val="both"/>
        <w:ind w:left="60" w:right="139" w:firstLine="324"/>
        <w:spacing w:after="0" w:line="272" w:lineRule="auto"/>
        <w:rPr>
          <w:sz w:val="20"/>
          <w:szCs w:val="20"/>
          <w:color w:val="auto"/>
        </w:rPr>
      </w:pPr>
      <w:r>
        <w:rPr>
          <w:rFonts w:ascii="Times New Roman" w:cs="Times New Roman" w:eastAsia="Times New Roman" w:hAnsi="Times New Roman"/>
          <w:sz w:val="17"/>
          <w:szCs w:val="17"/>
          <w:color w:val="auto"/>
        </w:rPr>
        <w:t>We have relied upon and plan to continue to rely upon third-party medical institutions, clinical investigators, contract laboratories and other third-party CROs to monitor and manage data for our ongoing preclinical and clinical programs. We rely on these parties for execution of our preclinical and clinical trials, and control only certain aspects of their activities.</w:t>
      </w:r>
    </w:p>
    <w:p>
      <w:pPr>
        <w:spacing w:after="0" w:line="2"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Nevertheless, we are responsible for ensuring that each of our studies is conducted in accordance with the applicable protocol, legal, regulatory and scientific standards, and our reliance on the CROs does not relieve us of our regulatory responsibilities. We and our CROs are required to comply with GCPs, which are regulations and guidelines enforced by the FDA, the competent authorities of the European Economic Area (“EEA”) countries and comparable foreign regulatory authorities for all of our products in clinical development.</w:t>
      </w:r>
    </w:p>
    <w:p>
      <w:pPr>
        <w:spacing w:after="0" w:line="160"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Regulatory authorities enforce these GCPs through periodic inspections of trial sponsors, principal investigators and trial sites. If regulatory authorities determine that we or any of our CROs failed to comply with applicable GCPs, the clinical data generated in our clinical trials may be deemed unreliable and the FDA, the EMA or comparable foreign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and similar foreign regulations. Any failure, whether by us or our CROs, to comply with these regulations may require us to repeat clinical trials, which would delay the regulatory approval process.</w:t>
      </w:r>
    </w:p>
    <w:p>
      <w:pPr>
        <w:spacing w:after="0" w:line="156" w:lineRule="exact"/>
        <w:rPr>
          <w:sz w:val="20"/>
          <w:szCs w:val="20"/>
          <w:color w:val="auto"/>
        </w:rPr>
      </w:pPr>
    </w:p>
    <w:p>
      <w:pPr>
        <w:ind w:left="60" w:right="239" w:firstLine="324"/>
        <w:spacing w:after="0" w:line="268" w:lineRule="auto"/>
        <w:rPr>
          <w:sz w:val="20"/>
          <w:szCs w:val="20"/>
          <w:color w:val="auto"/>
        </w:rPr>
      </w:pPr>
      <w:r>
        <w:rPr>
          <w:rFonts w:ascii="Times New Roman" w:cs="Times New Roman" w:eastAsia="Times New Roman" w:hAnsi="Times New Roman"/>
          <w:sz w:val="17"/>
          <w:szCs w:val="17"/>
          <w:color w:val="auto"/>
        </w:rPr>
        <w:t>In addition, if any of our relationships with our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they 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For example, investigator misconduct during our TRANQUILITY II trial evaluating BXCL501 in patients with probable Alzheimer’s disease could require us to conduct additional clinical trials before we are able to seek or obtain approval for BXCL501 for use in this patient population, as described more fully in the risk factor above entitled: “</w:t>
      </w:r>
      <w:r>
        <w:rPr>
          <w:rFonts w:ascii="Times New Roman" w:cs="Times New Roman" w:eastAsia="Times New Roman" w:hAnsi="Times New Roman"/>
          <w:sz w:val="17"/>
          <w:szCs w:val="17"/>
          <w:i w:val="1"/>
          <w:iCs w:val="1"/>
          <w:color w:val="auto"/>
        </w:rPr>
        <w:t>Developments relating to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TRANQUILITY II Phase 3 trial may impact the timing of our development 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7"/>
          <w:szCs w:val="17"/>
          <w:color w:val="auto"/>
        </w:rPr>
        <w:t>.” As a result, our results of operations and the commercial prospects for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 candidates would be harmed, our costs could increase and our ability to generate revenues could be delayed.</w:t>
      </w:r>
    </w:p>
    <w:p>
      <w:pPr>
        <w:spacing w:after="0" w:line="141"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GCP preclinical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98"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political or economic events and conditions could adversely affect our business, financial condition or results of operations.</w:t>
      </w:r>
    </w:p>
    <w:p>
      <w:pPr>
        <w:spacing w:after="0" w:line="118"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Our business could be adversely affected by unstable economic and political conditions within the United States and foreign jurisdictions, including as a result of an economic downturn and geopolitical events, such as changes in U.S. federal policy that affect the geopolitical landscape. In addition,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In addition, events such as pandemics, epidemics, or outbreaks of an infectious disease may materially and adversely impact our business if we or any of the third parties with whom we engage were to experience shutdowns or other business disruptions. Furthermore, geopolitical conflicts and war, such as the current military conflict between Russia and Ukraine and the war between Israel and Hamas, and other conflicts in the Middle East, could disrupt or otherwise adversely impact our operations and those of third parties upon which we rely. Related sanctions, export controls or other actions have and may in the future be initiated by nations including the U.S., the EU or Russia (e.g., potential cyberattacks, disruption of energy flows, etc.), which could adversely affect our business and/or our supply chain, our CROs, CMOs and other third parties with which we conduct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business. Any of the foregoing could harm our business and we cannot anticipate all of the ways in which the current economic climate and financial market conditions could adversely impact our business.</w:t>
      </w:r>
    </w:p>
    <w:p>
      <w:pPr>
        <w:spacing w:after="0" w:line="135"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Additionally, trade policies and geopolitical disputes and other international conflicts can result in tariffs, sanctions and other measures that restrict international trade, and can materially adversely affect our business, particularly if these measures affect regions where raw materials are sourced. For example, tensions between the United States and China have led to a series of tariffs being imposed by the United States on imports from China, as well as other business restrictions. Countries may also adopt other measures, such as controls on imports or exports of goods, technology or data, that could adversely impact our operations and supply chain. As these tensions continue to rise, more targeted approaches on certain products, industries or companies could significantly impact our development and commercialization efforts. The U.S. government has recently imposed tariffs on certain foreign goods, and some foreign governments have threatened or instituted retaliatory tariffs on certain U.S. goods and have indicated a willingness to impose additional tariffs on U.S. products, which could increase the cost of goods needed to commercialize our products and continue development of our product candidates. Further, such actions by the U.S. could result in other retaliatory actions by those countries which could impact our ability to profitably commercialize our products in those jurisdictions. As a result, our business, operations, and financial condition could be materially harmed.</w:t>
      </w:r>
    </w:p>
    <w:p>
      <w:pPr>
        <w:spacing w:after="0" w:line="147"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A severe or prolonged economic downturn, or additional global financial or political crises, could result in a variety of risks to our business, including delayed clinical studies or preclinical studies, delayed approval of our product candidates, delayed ability to obtain patents and other intellectual property protection, weakened demand for our product candidates, if approved, or our ability to raise additional capital when needed on acceptable terms, if at all. The extent of the impact of these conditions on our operational and financial performance, including our ability to execute our business strategies and initiatives in the expected timeframe, as well as that of third parties upon whom we rely, will depend on future developments which are uncertain and cannot be predicted. A weak or declining economy also could strain our suppliers, possibly resulting in supply disruption.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the general economic downturn.</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may depend on our ability to attract and retain qualified personnel, including consultants.</w:t>
      </w:r>
    </w:p>
    <w:p>
      <w:pPr>
        <w:spacing w:after="0" w:line="202"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We are dependent on the principal members of our management and scientific teams. Our success and the execution of our operating strategy, to the extent we continue operations, depend largely on the continued service of our employees. In addition to our employees, we have access to certain of BioXcel LLC’s employees and resources through the various agreements we have with BioXcel LLC. We have expanded our management team to include an operational ramp-up of additional technical staff required to achieve our business objectives. We will need to retain such employees, and may need to continue to expand our managerial, commercial, operational, technical, and scientific, financial, and other resources to manage our operations and clinical trials, continue our research and development activities, and any approved product candidates. Our management and scientific personnel, systems and facilities currently in place may not be adequate to support our future growth.</w:t>
      </w:r>
    </w:p>
    <w:p>
      <w:pPr>
        <w:spacing w:after="0" w:line="148"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We may utilize the services of third-party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Because we rely on numerous consultants to outsource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recruit and retain qualified personnel, we may be unable to successfully implement the tasks necessary to further develop and commercialize our product candidate and, accordingly, may not achieve our research, development and commercialization goals.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of our executive officers or key employees or an inability to attract and retain highly skilled employees could adversely affect our business.</w:t>
      </w:r>
    </w:p>
    <w:p>
      <w:pPr>
        <w:spacing w:after="0" w:line="132"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key executive officers, including Vimal Mehta, our Chief Executive Officer, President and a member of our Board, as well as the other principal members of our management, scientific, clinical teams and commercial readiness teams. We do not maintain “key person” insurance for any of these executive officers or any of our other key employees. We also rely on our leadership team in the areas of research and development, marketing, services and selling, general and administrative functions. From time to time, there may be changes in our executive management and leadership teams resulting from the hiring or departure of executives or other key employees, which could disrupt our business. The replacement of one or more of our executive officers or other key employees would likely involve significant time and costs and may significantly delay or prevent the achievement of our business objectives.</w:t>
      </w:r>
    </w:p>
    <w:p>
      <w:pPr>
        <w:spacing w:after="0" w:line="148" w:lineRule="exact"/>
        <w:rPr>
          <w:sz w:val="20"/>
          <w:szCs w:val="20"/>
          <w:color w:val="auto"/>
        </w:rPr>
      </w:pPr>
    </w:p>
    <w:p>
      <w:pPr>
        <w:ind w:left="60" w:right="179" w:firstLine="324"/>
        <w:spacing w:after="0" w:line="273" w:lineRule="auto"/>
        <w:rPr>
          <w:sz w:val="20"/>
          <w:szCs w:val="20"/>
          <w:color w:val="auto"/>
        </w:rPr>
      </w:pPr>
      <w:r>
        <w:rPr>
          <w:rFonts w:ascii="Times New Roman" w:cs="Times New Roman" w:eastAsia="Times New Roman" w:hAnsi="Times New Roman"/>
          <w:sz w:val="17"/>
          <w:szCs w:val="17"/>
          <w:color w:val="auto"/>
        </w:rPr>
        <w:t>To continue to execute our business strategy, we also must attract and retain highly skilled personnel. We might not be successful in maintaining our unique culture and continuing to attract and retain qualified personnel. We have, from time to time, had difficulty hiring and retaining highly skilled personnel with appropriate qualifications, including as a result of the Clinical Reprioritization and related consequences for our reputation. We may experience such difficulties in the future, and any further restructuring or related reduction in force could exacerbate such difficulties. The pool of qualified personnel with experience working within the biopharmaceutical and biotechnology market is limited overall. In addition, many of the companies with which we compete for experienced personnel have greater resources than we have.</w:t>
      </w:r>
    </w:p>
    <w:p>
      <w:pPr>
        <w:spacing w:after="0" w:line="131"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Furthermore, prior workforce reductions and any future similar cost-saving initiatives may make it difficult for us to maintain valuable aspects of our culture, retain institutional knowledge and expertise, to prevent a negative effect on employee morale or attrition beyond our planned reduction in headcount, and to attract competent personnel who are willing to embrace our culture in the future. Our executive officers and other employees are at-will employees, which means they may terminate their employment relationship with us at any time, and their knowledge of our business and industry would be extremely difficult to replace. We may not be able to retain the services of any members of our senior management or other key employees. If we do not succeed in retaining and motivating existing employees or attracting well-qualified employees in the future, our business, financial condition and results of operations could be materially and adversely affected.</w:t>
      </w:r>
    </w:p>
    <w:p>
      <w:pPr>
        <w:spacing w:after="0" w:line="161"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In addition, in making employment decisions, particularly in the biotechnology and high-technology industries, job candidates often consider the value of the stock options or other equity instruments they are to receive in connection with their employment. Volatility in the price of our stock might, therefore, adversely affect our ability to attract or retain highly skilled personnel. Furthermore, the requirement to expense the fair value of stock options and other equity instruments might discourage us from granting the size or type of stock option or equity awards that job candidates require to join our Company. If we fail to attract new personnel or fail to retain and motivate our current personnel, our business and future growth prospects could be severely harmed.</w:t>
      </w:r>
    </w:p>
    <w:p>
      <w:pPr>
        <w:spacing w:after="0" w:line="144"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dilution to our stockholders and otherwise disrupt our operations and adversely affect our operating results.</w:t>
      </w:r>
    </w:p>
    <w:p>
      <w:pPr>
        <w:spacing w:after="0" w:line="118"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applications and services or technologies that we believe could complement or expand our services,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153"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addition, we do not have any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39" w:lineRule="exact"/>
        <w:rPr>
          <w:sz w:val="20"/>
          <w:szCs w:val="20"/>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integrate or benefit from acquired technologies or services in a profitable manner;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accounting systems, operations and personnel of the acquired business;</w:t>
      </w:r>
    </w:p>
    <w:p>
      <w:pPr>
        <w:spacing w:after="0" w:line="184"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additional expenses associated with supporting legacy products and hosting infrastructure of the acquired business;</w:t>
      </w:r>
    </w:p>
    <w:p>
      <w:pPr>
        <w:spacing w:after="0" w:line="121" w:lineRule="exact"/>
        <w:rPr>
          <w:rFonts w:ascii="Times New Roman" w:cs="Times New Roman" w:eastAsia="Times New Roman" w:hAnsi="Times New Roman"/>
          <w:sz w:val="18"/>
          <w:szCs w:val="18"/>
          <w:color w:val="auto"/>
        </w:rPr>
      </w:pPr>
    </w:p>
    <w:p>
      <w:pPr>
        <w:ind w:left="720" w:right="539" w:hanging="319"/>
        <w:spacing w:after="0" w:line="312" w:lineRule="auto"/>
        <w:tabs>
          <w:tab w:leader="none" w:pos="7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converting the customers of the acquired business onto our platform and contract terms, including disparities in the revenue, licensing, support or professional services model of the acquired company;</w:t>
      </w:r>
    </w:p>
    <w:p>
      <w:pPr>
        <w:spacing w:after="0" w:line="112"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184"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existing business relationships with business partners and customers as a result of the acquisition;</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to consummate the acquisition.</w:t>
      </w:r>
    </w:p>
    <w:p>
      <w:pPr>
        <w:spacing w:after="0" w:line="185" w:lineRule="exact"/>
        <w:rPr>
          <w:sz w:val="20"/>
          <w:szCs w:val="20"/>
          <w:color w:val="auto"/>
        </w:rPr>
      </w:pPr>
    </w:p>
    <w:p>
      <w:pPr>
        <w:ind w:left="60" w:right="639" w:firstLine="324"/>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53"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31"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18"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 comply with any regulations applicable to us, to provide accurate information to regulatory authorities, to comply with manufacturing standards we have established, to comply with federal and state health care fraud and abuse laws and regulations, or to report financial information or data accurately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during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w:t>
      </w:r>
    </w:p>
    <w:p>
      <w:pPr>
        <w:spacing w:after="0" w:line="159"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interruptions could adversely affect future operations, revenues, and financial conditions, and may increase our costs and expenses.</w:t>
      </w:r>
    </w:p>
    <w:p>
      <w:pPr>
        <w:spacing w:after="0" w:line="118"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 made disasters. Several of our employees conduct business outside of our headquarters and leased or owned facilities. These locations may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subject to additional security and other risk factors due to the limited control of our employees. If such an event as 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spacing w:after="0" w:line="152" w:lineRule="exact"/>
        <w:rPr>
          <w:sz w:val="20"/>
          <w:szCs w:val="20"/>
          <w:color w:val="auto"/>
        </w:rPr>
      </w:pPr>
    </w:p>
    <w:p>
      <w:pPr>
        <w:ind w:left="60" w:right="159" w:firstLine="324"/>
        <w:spacing w:after="0" w:line="237" w:lineRule="auto"/>
        <w:rPr>
          <w:sz w:val="20"/>
          <w:szCs w:val="20"/>
          <w:color w:val="auto"/>
        </w:rPr>
      </w:pPr>
      <w:r>
        <w:rPr>
          <w:rFonts w:ascii="Times New Roman" w:cs="Times New Roman" w:eastAsia="Times New Roman" w:hAnsi="Times New Roman"/>
          <w:sz w:val="18"/>
          <w:szCs w:val="18"/>
          <w:color w:val="auto"/>
        </w:rPr>
        <w:t>Likewise, we will rely on third parties, including ARx, to manufacture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our product candidates and to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 or altogether terminated.</w:t>
      </w:r>
    </w:p>
    <w:p>
      <w:pPr>
        <w:spacing w:after="0" w:line="158"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Data breaches or cyber-attacks could disrupt our business operations, information technology systems, and financial results, or result in the loss or exposure of confidential or sensitive Company information.</w:t>
      </w:r>
    </w:p>
    <w:p>
      <w:pPr>
        <w:spacing w:after="0" w:line="118"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information technology systems and infrastructure to operate our business, including our mobile and web-based applications, our e-commerce platform and our enterprise software. In the ordinary course of our business, we collect, store and transmit large amounts of confidential information, including intellectual property, proprietary business information, clinical trial data, and personal information (collectively, “Confidential Information”) of customers and our employees and contractors. It is critical that we do so in a secure manner to maintain the confidentiality and integrity of such Confidential Information.</w:t>
      </w:r>
    </w:p>
    <w:p>
      <w:pPr>
        <w:spacing w:after="0" w:line="162"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Our information technology systems and those of third parties on which we rely have been and may in the future be attacked or breached by individuals or organizations intending to obtain our Confidential Information; harm or disrupt our business operations; or otherwise misappropriate information or Company funds. A security compromise of our information technology systems or business operations, or those of third parties on which we rely, could occur through a variety of methods such as from cyber-attacks and cyber-intrusions over the Internet, misconfigurations, “bugs” or other vulnerabilities, malware, computer viruses, email spoofing, attachments to e-mails, persons inside or outside our organization or persons with access to systems inside our organization. The risk of such intrusions, threats to data and information technology systems and breaches has generally increased as the number, intensity and sophistication of attempted attacks and intrusions from around the world have increased.</w:t>
      </w:r>
    </w:p>
    <w:p>
      <w:pPr>
        <w:spacing w:after="0" w:line="148"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While we maintain some of our own critical information technology systems, we also depend on third parties to provide important information technology services relating to several key business functions. Our measures to prevent, detect and mitigate these threats, including password protection, firewalls, backup servers, threat monitoring and periodic penetration testing, may not be successful in preventing a data breach or limiting the effects of a breach.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54"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Furthermore, the security measures employed by third-party service providers may prove to be ineffective at preventing breaches of their systems. Any attack that results in disruptions to our operations, or the unauthorized release or loss of Confidential Information, could have a material adverse effect on our business reputation, increase our costs and expose us to material legal claims and liability (such as class actions) and result in regulatory investigations and enforcement actions, fines and penalties, negative reputational impacts that cause us to lose existing or future customers, and/or significant incident response, system restoration or remediation and future compliance costs. If the unauthorized release or loss of Confidential Information were to occur, our operations and financial results and our share price could be adversely affected. Although we maintain insurance for our business, the coverage under our policies may not be adequate to compensate us for all losses that may occur.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09"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w:t>
      </w:r>
    </w:p>
    <w:p>
      <w:pPr>
        <w:spacing w:after="0" w:line="135"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If we are determined to act as a covered entity or business associate under HIPAA and be directly regulated under HIPAA, any person acting on our behalf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154" w:lineRule="exact"/>
        <w:rPr>
          <w:sz w:val="20"/>
          <w:szCs w:val="20"/>
          <w:color w:val="auto"/>
        </w:rPr>
      </w:pPr>
    </w:p>
    <w:p>
      <w:pPr>
        <w:ind w:left="60" w:right="199" w:firstLine="324"/>
        <w:spacing w:after="0" w:line="269" w:lineRule="auto"/>
        <w:rPr>
          <w:sz w:val="20"/>
          <w:szCs w:val="20"/>
          <w:color w:val="auto"/>
        </w:rPr>
      </w:pPr>
      <w:r>
        <w:rPr>
          <w:rFonts w:ascii="Times New Roman" w:cs="Times New Roman" w:eastAsia="Times New Roman" w:hAnsi="Times New Roman"/>
          <w:sz w:val="17"/>
          <w:szCs w:val="17"/>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(collectively, the “CCPA”), requires covered businesses that process the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 out of certain disclosures of their personal information, and enter into specific contractual provisions with service providers that process California resident personal information on the business’s behalf. If we are subject to or affected by HIPAA, the CCPA, or other domestic privacy and data protection laws, any liability from failure to comply with the requirements of these laws could adversely affect our financial condition.</w:t>
      </w:r>
    </w:p>
    <w:p>
      <w:pPr>
        <w:spacing w:after="0" w:line="155"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In Europe, the General Data Protection Regulation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EEA, and the United States remains uncertain. On July 10, 2023, the European Commission adopted its Adequacy Decision in relation to the new EU-US Data Privacy Framework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51" w:lineRule="exact"/>
        <w:rPr>
          <w:sz w:val="20"/>
          <w:szCs w:val="20"/>
          <w:color w:val="auto"/>
        </w:rPr>
      </w:pPr>
    </w:p>
    <w:p>
      <w:pPr>
        <w:ind w:left="60" w:right="339" w:firstLine="324"/>
        <w:spacing w:after="0" w:line="289" w:lineRule="auto"/>
        <w:rPr>
          <w:sz w:val="20"/>
          <w:szCs w:val="20"/>
          <w:color w:val="auto"/>
        </w:rPr>
      </w:pPr>
      <w:r>
        <w:rPr>
          <w:rFonts w:ascii="Times New Roman" w:cs="Times New Roman" w:eastAsia="Times New Roman" w:hAnsi="Times New Roman"/>
          <w:sz w:val="17"/>
          <w:szCs w:val="17"/>
          <w:color w:val="auto"/>
        </w:rPr>
        <w:t>Further, since January 1, 2021, companies have had to comply with the GDPR and also the UK GDPR, which, together with the amended UK Data Protection Act 2018, retains the GDPR in UK national law. The UK GDPR mirrors the fines under the GDPR (i.e., fines up to the greater of £17.5 million or 4% of global turnover). On October 12, 2023,</w:t>
      </w: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UK Extension to the DPF came into effect (as approved by the UK Government), as a data transfer mechanism from the UK to U.S. entities self-certified under the DPF.</w:t>
      </w:r>
    </w:p>
    <w:p>
      <w:pPr>
        <w:spacing w:after="0" w:line="135"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44"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of and evolving expectations for environmental, social and governance (“ESG”) initiatives may impose additional costs or otherwise adversely impact our business.</w:t>
      </w:r>
    </w:p>
    <w:p>
      <w:pPr>
        <w:spacing w:after="0" w:line="118"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There has been an increased focus from investors, capital providers, shareholder advocacy groups, other market participants, customers, and other stakeholder groups regarding companies’ ESG initiatives. While we may at times engage in voluntary initiatives (such as voluntary disclosures, certifications, or goals, among others) or commitments to improve the ESG profile of our Company and/or offerings, such initiatives or achievements of such commitments may be costly and may not have the desired effect. Additionally, some investors may use third-party or proprietary ESG ratings to guide their investment strategies and, in some cases, may choose not to invest in us if they believe our ESG practices are inadequate. The criteria by which companies’ ESG practices are assessed are evolving, which could result in greater expectations of us and cause us to undertake costly initiatives to satisfy such new criteria. Alternatively, if we elect not to or are unable to satisfy new criteria or do not meet the criteria, some investors may conclude that our policies with respect to ESG are inadequate and choose not to invest in us.</w:t>
      </w:r>
    </w:p>
    <w:p>
      <w:pPr>
        <w:spacing w:after="0" w:line="167"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If our ESG practices do not meet evolving investor or other stakeholder expectations and our standards, reputation, ability to attract or retain employees and desirability as an investment or business partner could be negatively impacted. Similarly, our failure or perceived failure to adequately pursue or fulfill any ESG goals and objectives or to satisfy various reporting standards, if any, could expose us to additional regulatory, social or other scrutiny, the imposition of unexpected costs, or damage to our reputation, which in turn could have a material adverse effect on our business and could cause the market value of our common stock to decline.</w:t>
      </w:r>
    </w:p>
    <w:p>
      <w:pPr>
        <w:spacing w:after="0" w:line="143"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successfully acquire, develop and market additional product candidates or approved drug products could impair our ability to grow.</w:t>
      </w:r>
    </w:p>
    <w:p>
      <w:pPr>
        <w:spacing w:after="0" w:line="118"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As part of our growth strategy, we may evaluate, acquire, license, develop and/or market third-party products or product candidates and technologies. Our internal research capabilities are limited and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future acquisitions may entail numerous operational and financial risks, including:</w:t>
      </w:r>
    </w:p>
    <w:p>
      <w:pPr>
        <w:spacing w:after="0" w:line="185" w:lineRule="exact"/>
        <w:rPr>
          <w:sz w:val="20"/>
          <w:szCs w:val="20"/>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84"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and technical personnel’s time and attention to develop acquired products or technologies;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securities to pay for acquisitions;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84"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w:t>
      </w:r>
    </w:p>
    <w:p>
      <w:pPr>
        <w:spacing w:after="0" w:line="134"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185" w:lineRule="exact"/>
        <w:rPr>
          <w:sz w:val="20"/>
          <w:szCs w:val="20"/>
          <w:color w:val="auto"/>
        </w:rPr>
      </w:pPr>
    </w:p>
    <w:p>
      <w:pPr>
        <w:ind w:left="60" w:right="439" w:firstLine="324"/>
        <w:spacing w:after="0" w:line="256" w:lineRule="auto"/>
        <w:rPr>
          <w:sz w:val="20"/>
          <w:szCs w:val="20"/>
          <w:color w:val="auto"/>
        </w:rPr>
      </w:pPr>
      <w:r>
        <w:rPr>
          <w:rFonts w:ascii="Times New Roman" w:cs="Times New Roman" w:eastAsia="Times New Roman" w:hAnsi="Times New Roman"/>
          <w:sz w:val="18"/>
          <w:szCs w:val="18"/>
          <w:color w:val="auto"/>
        </w:rPr>
        <w:t>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156"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tax credits to offset future taxable income and income tax liabilities may be limited.</w:t>
      </w:r>
    </w:p>
    <w:p>
      <w:pPr>
        <w:spacing w:after="0" w:line="118"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At December 31, 2025 the Company had approximately $510.3 million of gross federal and $530.6 million of gross state net operating loss carry-forwards. The Tax Cuts and Jobs Act (“TCJA”) in December 2017 amended the net operating losses carryforward rules. Net operating losses generated after December 31, 2017, may be carried forward indefinitely, subject to certain limitations on their use. Net operating losses generated prior to 2018 may be carried forward for twenty years. If not utilized, these net operating losses will expire by 2037. State net operating losses have varying carryforward and applicable expiration periods. $507.7 million of the federal net operating losses were incurred after December 31, 2017, and will be carried forward indefinitely; the balance of the federal net operating losses are subject to expiration no later than 2037. The utilization of such net operating loss carry-forwards and realization of tax benefits in future years depends predominantly upon having taxable income. The Company has approximately $17.7 million of federal orphan drug credits and research and development credits which will begin to expire in 2037 if not utilized. The Company also has approximately $1.6 million of state research and development credits which will begin to expire in 2040 if not utilized.</w:t>
      </w:r>
    </w:p>
    <w:p>
      <w:pPr>
        <w:spacing w:after="0" w:line="149"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In addition, under sections 382 and 383 of the Code, our federal net operating losses and tax credit carryforwards, such as research/development credits and orphan drug credits, may become subject to an annual limitation in the event of certain cumulative changes in the ownership interest of significant stockholders (or groups of stockholders) in excess of 50% over a rolling three-year period. Similar state provisions may also exist. These ownership changes may limit the amount of the net operating losses and tax credit carryforwards that can be utilized annually to offset future taxable income and income tax, respectively.</w:t>
      </w:r>
    </w:p>
    <w:p>
      <w:pPr>
        <w:spacing w:after="0" w:line="160"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Entities are also required to evaluate, measure, recognize and disclose any uncertain federal or state income tax provisions taken on their income tax returns. The Company has analyzed its tax positions and has concluded that as of December 31, 2025, there were no uncertain tax positions. The Company's U.S. federal and state net operating losses have occurred since its inception in 2017 and as such, tax years subject to potential tax examination could apply from that date because the utilization of net operating losses from prior years opens the relevant tax year to audit by The U.S. Internal Revenue Service (“IRS”) and/or state taxing authorities. The Company did not have any unrecognized tax benefits and has not accrued any interest or penalties for the 12 months ended December 31, 2025 and 2024.</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98" w:lineRule="exact"/>
        <w:rPr>
          <w:sz w:val="20"/>
          <w:szCs w:val="20"/>
          <w:color w:val="auto"/>
        </w:rPr>
      </w:pPr>
    </w:p>
    <w:p>
      <w:pPr>
        <w:jc w:val="both"/>
        <w:ind w:left="6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34" w:lineRule="exact"/>
        <w:rPr>
          <w:sz w:val="20"/>
          <w:szCs w:val="20"/>
          <w:color w:val="auto"/>
        </w:rPr>
      </w:pPr>
    </w:p>
    <w:p>
      <w:pPr>
        <w:ind w:left="60" w:right="179" w:firstLine="324"/>
        <w:spacing w:after="0" w:line="272" w:lineRule="auto"/>
        <w:rPr>
          <w:sz w:val="20"/>
          <w:szCs w:val="20"/>
          <w:color w:val="auto"/>
        </w:rPr>
      </w:pPr>
      <w:r>
        <w:rPr>
          <w:rFonts w:ascii="Times New Roman" w:cs="Times New Roman" w:eastAsia="Times New Roman" w:hAnsi="Times New Roman"/>
          <w:sz w:val="17"/>
          <w:szCs w:val="17"/>
          <w:color w:val="auto"/>
        </w:rPr>
        <w:t>Our commercial success will depend in part on obtaining, maintaining enforcing and defending our patents, trademarks, trade secrets and other intellectual property rights and proprietary technology for our current and future approved products and product candidates, the processes used to manufacture them and the methods for using them, as well as successfully defending these patents against third-party challenges. We are the owner of record of certain patents and patent applications pending in the U.S. and in certain foreign jurisdictions. Patents issued from non-provisional applications, which are typically filed from provisional patent applications or from PCT applications that enter the national phase. Neither provisional patent applications nor PCT applications issue directly as patents. We own PCT patent applications relating to our platform technologies covering methods of use and applications of the platform technologies.</w:t>
      </w:r>
    </w:p>
    <w:p>
      <w:pPr>
        <w:spacing w:after="0" w:line="131"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We cannot be certain that any future patents will issue with claims that cover our product candidates. Our ability to stop third parties from making, using, selling, offering to sell or importing our product candidates is dependent upon the extent to which we have rights under valid and enforceable patents, trademarks, trade secrets and other intellectual property rights and proprietary technology that cover these activities.</w:t>
      </w:r>
    </w:p>
    <w:p>
      <w:pPr>
        <w:spacing w:after="0" w:line="153" w:lineRule="exact"/>
        <w:rPr>
          <w:sz w:val="20"/>
          <w:szCs w:val="20"/>
          <w:color w:val="auto"/>
        </w:rPr>
      </w:pPr>
    </w:p>
    <w:p>
      <w:pPr>
        <w:ind w:left="60" w:right="159" w:firstLine="324"/>
        <w:spacing w:after="0" w:line="269" w:lineRule="auto"/>
        <w:rPr>
          <w:sz w:val="20"/>
          <w:szCs w:val="20"/>
          <w:color w:val="auto"/>
        </w:rPr>
      </w:pPr>
      <w:r>
        <w:rPr>
          <w:rFonts w:ascii="Times New Roman" w:cs="Times New Roman" w:eastAsia="Times New Roman" w:hAnsi="Times New Roman"/>
          <w:sz w:val="17"/>
          <w:szCs w:val="17"/>
          <w:color w:val="auto"/>
        </w:rPr>
        <w:t>The patent positions of biotechnology and pharmaceutical companies can be highly uncertain and involve complex legal and factual questions that have been the subject of much litigation in recent years and for which important legal principles remain unresolved. Therefore, the scope of any patent claims that we have or may obtain cannot be predicted with certainty. No consistent policy regarding the breadth of claims allowed in pharmaceutical patents has emerged to date in the U.S. or in foreign jurisdictions outside of the U.S. Changes in either the patent laws or interpretations of patent laws in the U.S. and other countries may diminish the value of our intellectual property. Accordingly, we cannot predict which of our patent applications will issue, the breadth of claims that may be enforced in the patents that may be issued from the applications we currently, or may in the future, own or license from third parties,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Further, if any patents we obtain or license are deemed invalid and unenforceable, our ability to commercialize or license our technology could be adversely affected.</w:t>
      </w:r>
    </w:p>
    <w:p>
      <w:pPr>
        <w:spacing w:after="0" w:line="138"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third-party will not have priority over patent applications filed or in-licensed by us, or that we or our licensors will not be involved in interference, opposition, reexamination, review, reissue, post grant review or invalidity proceedings before U.S. or non-U.S. patent offices.</w:t>
      </w:r>
    </w:p>
    <w:p>
      <w:pPr>
        <w:spacing w:after="0" w:line="143" w:lineRule="exact"/>
        <w:rPr>
          <w:sz w:val="20"/>
          <w:szCs w:val="20"/>
          <w:color w:val="auto"/>
        </w:rPr>
      </w:pPr>
    </w:p>
    <w:p>
      <w:pPr>
        <w:ind w:left="60" w:right="159" w:firstLine="324"/>
        <w:spacing w:after="0" w:line="312" w:lineRule="auto"/>
        <w:rPr>
          <w:sz w:val="20"/>
          <w:szCs w:val="20"/>
          <w:color w:val="auto"/>
        </w:rPr>
      </w:pPr>
      <w:r>
        <w:rPr>
          <w:rFonts w:ascii="Times New Roman" w:cs="Times New Roman" w:eastAsia="Times New Roman" w:hAnsi="Times New Roman"/>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13" w:lineRule="exact"/>
        <w:rPr>
          <w:sz w:val="20"/>
          <w:szCs w:val="20"/>
          <w:color w:val="auto"/>
        </w:rPr>
      </w:pPr>
    </w:p>
    <w:p>
      <w:pPr>
        <w:ind w:left="720" w:right="299" w:hanging="319"/>
        <w:spacing w:after="0" w:line="266"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independently develop, make and commercialize compounds that are similar to, or are alternatives or duplicates of any of our product candidates, but that are not covered by the claims of our patents or are not infringing, misappropriating, or otherwise violating our other intellectual property rights;</w:t>
      </w:r>
    </w:p>
    <w:p>
      <w:pPr>
        <w:spacing w:after="0" w:line="135" w:lineRule="exact"/>
        <w:rPr>
          <w:rFonts w:ascii="Times New Roman" w:cs="Times New Roman" w:eastAsia="Times New Roman" w:hAnsi="Times New Roman"/>
          <w:sz w:val="18"/>
          <w:szCs w:val="18"/>
          <w:color w:val="auto"/>
        </w:rPr>
      </w:pPr>
    </w:p>
    <w:p>
      <w:pPr>
        <w:ind w:left="720" w:right="819" w:hanging="319"/>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our issued patents or pending patent applications that we license or may own in the future;</w:t>
      </w:r>
    </w:p>
    <w:p>
      <w:pPr>
        <w:spacing w:after="0" w:line="121"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collaborators, might not have been the first to file patent applications covering certain of our or their inventions;</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pending patent applications or those that we may own in the future may not result in issued patents;</w:t>
      </w:r>
    </w:p>
    <w:p>
      <w:pPr>
        <w:spacing w:after="0" w:line="198"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issued patents or patent applications when issued may not cover our products or product candidates;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that we obtain may not provide us with any competitive advantages;</w:t>
      </w:r>
    </w:p>
    <w:p>
      <w:pPr>
        <w:spacing w:after="0" w:line="184" w:lineRule="exact"/>
        <w:rPr>
          <w:rFonts w:ascii="Times New Roman" w:cs="Times New Roman" w:eastAsia="Times New Roman" w:hAnsi="Times New Roman"/>
          <w:sz w:val="18"/>
          <w:szCs w:val="18"/>
          <w:color w:val="auto"/>
        </w:rPr>
      </w:pPr>
    </w:p>
    <w:p>
      <w:pPr>
        <w:ind w:left="720" w:right="459" w:hanging="319"/>
        <w:spacing w:after="0" w:line="266"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manufacture and commercialize competitive products or product candidates for sale in our major commercial markets;</w:t>
      </w:r>
    </w:p>
    <w:p>
      <w:pPr>
        <w:spacing w:after="0" w:line="14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84" w:lineRule="exact"/>
        <w:rPr>
          <w:rFonts w:ascii="Times New Roman" w:cs="Times New Roman" w:eastAsia="Times New Roman" w:hAnsi="Times New Roman"/>
          <w:sz w:val="18"/>
          <w:szCs w:val="18"/>
          <w:color w:val="auto"/>
        </w:rPr>
      </w:pPr>
    </w:p>
    <w:p>
      <w:pPr>
        <w:ind w:left="720" w:right="239" w:hanging="319"/>
        <w:spacing w:after="0" w:line="266"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seek patent protection for some of our proprietary technology or product candidates to maintain certain trade secrets or know-how, and a third party may subsequently file a patent covering such trade secrets or know-how;</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granted patents may be held invalid or unenforceable as a result of legal challenges by third parties;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85"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117"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8"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In addition, the USPTO and various foreign governmental patent agencies require compliance with various procedural, document submission,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143" w:lineRule="exact"/>
        <w:rPr>
          <w:sz w:val="20"/>
          <w:szCs w:val="20"/>
          <w:color w:val="auto"/>
        </w:rPr>
      </w:pPr>
    </w:p>
    <w:p>
      <w:pPr>
        <w:ind w:left="6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spacing w:after="0" w:line="134"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We may be required to enter into intellectual property license agreements that are important to our business. These license agreements may impose various diligence, payment, and other obligations on us. For example, we may enter into exclusive license agreements with universities, research institutions, or peer industry third parties pursuant to which we may be 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 particular field or territory, in which case our ability to develop or commercialize products covered by the license agreement will be impaired.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disputes may arise regarding intellectual property subject to a license agreement, including:</w:t>
      </w:r>
    </w:p>
    <w:p>
      <w:pPr>
        <w:spacing w:after="0" w:line="198" w:lineRule="exact"/>
        <w:rPr>
          <w:sz w:val="20"/>
          <w:szCs w:val="20"/>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84"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obligations;</w:t>
      </w:r>
    </w:p>
    <w:p>
      <w:pPr>
        <w:spacing w:after="0" w:line="198"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third-party expresses interest in an area under a license that we are not pursuing, under the terms of certain of our license agreements, we may be required to sublicense rights in that area to a third-party, and that sublicense could harm our business; and</w:t>
      </w:r>
    </w:p>
    <w:p>
      <w:pPr>
        <w:spacing w:after="0" w:line="135"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w:t>
      </w:r>
    </w:p>
    <w:p>
      <w:pPr>
        <w:spacing w:after="0" w:line="121"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approved products or product candidates.</w:t>
      </w:r>
    </w:p>
    <w:p>
      <w:pPr>
        <w:spacing w:after="0" w:line="149" w:lineRule="exact"/>
        <w:rPr>
          <w:sz w:val="20"/>
          <w:szCs w:val="20"/>
          <w:color w:val="auto"/>
        </w:rPr>
      </w:pPr>
    </w:p>
    <w:p>
      <w:pPr>
        <w:jc w:val="both"/>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one or more of our product candidates, which could harm our business significantly.</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89"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We or our licensors may be subject to claims that third parties have an interest in our patents, trade secrets, or other intellectual property that we regard as our own or our licensor’s, based on claims that the relevant agreements with employees or consultants obligating them to assign their intellectual property rights to us or our licensor are ineffective or in conflict with prior or competing contractual obligations to assign inventions and intellectual property rights to another employer, to a former employer, or to another person or entity. We may also be subject to claims that our former employees, contractors or collaborators, or other third parties have an ownership interest in our current or future patents, patent applications, or other intellectual property rights, including as an inventor or co-inventor. For example, we or our licensors may have inventorship disputes arise from conflicting obligations of employees, consultants or others who are involved in developing our product candidates. Although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conceives or develops intellectual property rights that we regard as our own, and we cannot be certain that our agreements with such parties will be upheld in the face of a potential challenge, or that they will not be breached, for which we may not have an adequate remedy.</w:t>
      </w:r>
    </w:p>
    <w:p>
      <w:pPr>
        <w:spacing w:after="0" w:line="170" w:lineRule="exact"/>
        <w:rPr>
          <w:sz w:val="20"/>
          <w:szCs w:val="20"/>
          <w:color w:val="auto"/>
        </w:rPr>
      </w:pPr>
    </w:p>
    <w:p>
      <w:pPr>
        <w:ind w:left="60" w:right="299" w:firstLine="324"/>
        <w:spacing w:after="0" w:line="253" w:lineRule="auto"/>
        <w:rPr>
          <w:sz w:val="20"/>
          <w:szCs w:val="20"/>
          <w:color w:val="auto"/>
        </w:rPr>
      </w:pPr>
      <w:r>
        <w:rPr>
          <w:rFonts w:ascii="Times New Roman" w:cs="Times New Roman" w:eastAsia="Times New Roman" w:hAnsi="Times New Roman"/>
          <w:sz w:val="18"/>
          <w:szCs w:val="18"/>
          <w:color w:val="auto"/>
        </w:rPr>
        <w:t>We are not aware of any threatened or pending claims related to these matters, but in the future litigation may be necessary to defend against these and other claims challenging inventorship or our or our licensors’ ownership of our owned or in-licensed patents, trade secrets, or other intellectual property, and it may be necessary or we may desire to obtain a license to a third party’s intellectual property rights to settle any such claim; however, there can be no assurance that we would be able to obtain such license on commercially reasonable terms, if at all. If we or our licensors fail in defending any such claims, in addition to paying monetary damages or a settlement payment, we may lose valuable intellectual property rights, such as exclusive ownership of, or right to use, intellectual property that is important to our product candidates. A court could prohibit us from using technologies, features or other intellectual property rights that are essential to our products or technologies, if such technologies or features are found to incorporate or be derived from the trade secrets or other proprietary information of another person or entity, including another or former employers. An inability to incorporate technologies, features or other intellectual property rights that are important or essential to our products or product candidates could have a material adverse effect on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4" w:lineRule="auto"/>
        <w:rPr>
          <w:sz w:val="20"/>
          <w:szCs w:val="20"/>
          <w:color w:val="auto"/>
        </w:rPr>
      </w:pPr>
      <w:r>
        <w:rPr>
          <w:rFonts w:ascii="Times New Roman" w:cs="Times New Roman" w:eastAsia="Times New Roman" w:hAnsi="Times New Roman"/>
          <w:sz w:val="18"/>
          <w:szCs w:val="18"/>
          <w:color w:val="auto"/>
        </w:rPr>
        <w:t>financial condition, results of operations, and competitive position, and may prevent us from developing, manufacturing and/or commercializing our products or technologies. In addition, we may lose valuable intellectual property rights or personnel. Even if we are successful in defending against such claims, litigation could result in substantial costs and be a distraction to management and other employees. Any litigation or the threat thereof may adversely affect our ability to hire employees or contract with independent sales representatives. A loss of key personnel or their work product could hamper or prevent our ability to develop, manufacture and/or commercialize our products or services, which could materially and adversely affect our business, financial condition and results of operations. Any of the foregoing could have a material adverse effect on our business, financial condition, results of operations and prospects.</w:t>
      </w:r>
    </w:p>
    <w:p>
      <w:pPr>
        <w:spacing w:after="0" w:line="161"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NDA submitted under Section 505(b)(2) subjects us to the risk that we may be subject to a patent infringement lawsuit that would delay or prevent the review or approval of our product candidate.</w:t>
      </w:r>
    </w:p>
    <w:p>
      <w:pPr>
        <w:spacing w:after="0" w:line="118"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Our product candidates have been or will be submitted to the FDA for approval under Section 505(b)(2) of the FDCA. Section 505(b)(2) permits the submission of an NDA where at least some of the information required for approval comes from studies that were not conducted by, or for, the applicant and on which the applicant has not obtained a right of reference. The 505(b)(2) application would enable us to reference published literature and/or the FDA’s previous findings of safety and effectiveness for a branded reference drug with the same active ingredient. For NDAs submitted under Section 505(b)(2) of the FDCA, the patent certification and related provisions of the Hatch-Waxman Act apply. In accordance with the Hatch-Waxman Act, such NDAs may be required to include paragraph IV certifications, that certify that any patents listed in the FDA’s Orange Book, with respect to any product referenced in the 505(b)(2) application, are invalid, unenforceable or will not be infringed by the manufacture, use or sale of the product that is the subject of the 505(b)(2) NDA.</w:t>
      </w:r>
    </w:p>
    <w:p>
      <w:pPr>
        <w:spacing w:after="0" w:line="154"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30-month stay of the FDA’s ability to approve the 505(b)(2) NDA, unless patent litigation is resolved in the favor of the paragraph IV certification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 safety and effectiveness of the drug product for the proposed use and could cause delay and be considerably more expensive and time consuming. These factors, among others, may limit our ability to successfully commercialize our product candidates.</w:t>
      </w:r>
    </w:p>
    <w:p>
      <w:pPr>
        <w:spacing w:after="0" w:line="161" w:lineRule="exact"/>
        <w:rPr>
          <w:sz w:val="20"/>
          <w:szCs w:val="20"/>
          <w:color w:val="auto"/>
        </w:rPr>
      </w:pPr>
    </w:p>
    <w:p>
      <w:pPr>
        <w:ind w:left="60" w:right="199"/>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If our intellectual property related to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BXCL501, BXCL502, BXCL701, BXCL702 or any future product candidates is not adequate or if we are not able to successfully enforce our intellectual property rights, the commercial value of our products or product candidates may be adversely affected and we may not be able to compete effectively in our market.</w:t>
      </w:r>
    </w:p>
    <w:p>
      <w:pPr>
        <w:spacing w:after="0" w:line="158" w:lineRule="exact"/>
        <w:rPr>
          <w:sz w:val="20"/>
          <w:szCs w:val="20"/>
          <w:color w:val="auto"/>
        </w:rPr>
      </w:pPr>
    </w:p>
    <w:p>
      <w:pPr>
        <w:jc w:val="both"/>
        <w:ind w:left="60" w:right="219" w:firstLine="324"/>
        <w:spacing w:after="0" w:line="269" w:lineRule="auto"/>
        <w:rPr>
          <w:sz w:val="20"/>
          <w:szCs w:val="20"/>
          <w:color w:val="auto"/>
        </w:rPr>
      </w:pPr>
      <w:r>
        <w:rPr>
          <w:rFonts w:ascii="Times New Roman" w:cs="Times New Roman" w:eastAsia="Times New Roman" w:hAnsi="Times New Roman"/>
          <w:sz w:val="17"/>
          <w:szCs w:val="17"/>
          <w:color w:val="auto"/>
        </w:rPr>
        <w:t>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We regularly monitor for unauthorized use of our intellectual property rights and, from time to time, analyze whether to seek enforce our rights against potential infringement, misappropriation or violation of our intellectual property rights.</w:t>
      </w:r>
    </w:p>
    <w:p>
      <w:pPr>
        <w:spacing w:after="0" w:line="3"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However, the steps we have taken, and are taking,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or technologies. Moreover, it may be difficult or impossible to obtain evidence of infringement in a competitor’s or potential competitor’s product or technologies. Thus, we may not be able to detect unauthorized use of, or take appropriate steps to enforce, our intellectual property rights. Any inability to meaningfully enforce our intellectual property rights could harm our ability to compete and reduce demand for our products and product candidates.</w:t>
      </w:r>
    </w:p>
    <w:p>
      <w:pPr>
        <w:spacing w:after="0" w:line="162" w:lineRule="exact"/>
        <w:rPr>
          <w:sz w:val="20"/>
          <w:szCs w:val="20"/>
          <w:color w:val="auto"/>
        </w:rPr>
      </w:pPr>
    </w:p>
    <w:p>
      <w:pPr>
        <w:ind w:left="60" w:right="139" w:firstLine="324"/>
        <w:spacing w:after="0" w:line="251" w:lineRule="auto"/>
        <w:rPr>
          <w:sz w:val="20"/>
          <w:szCs w:val="20"/>
          <w:color w:val="auto"/>
        </w:rPr>
      </w:pPr>
      <w:r>
        <w:rPr>
          <w:rFonts w:ascii="Times New Roman" w:cs="Times New Roman" w:eastAsia="Times New Roman" w:hAnsi="Times New Roman"/>
          <w:sz w:val="18"/>
          <w:szCs w:val="18"/>
          <w:color w:val="auto"/>
        </w:rPr>
        <w:t>Even where laws provide protection, costly and time-consuming litigation could be necessary to enforce and determine the scope of our proprietary rights, and the outcome of such litigation would be uncertain. If we choose to commence a proceeding or litigation to prevent another party from infringing our patents, that party could counterclaim that our patents are invalid or should not be enforced against them.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There is a risk that the examiner or court will decide that our patents are invalid or unenforceable, in whole or in part, and that we do not have the right to stop the other party from using the related inventions. There is also the risk that, even if the validity of our patents is upheld, the examiner or court may construe the patent’s claims or other intellectual property narrowly or refuse to stop the other party from using the technology at issue on the grounds that such other party’s activities do not infringe our rights to such patents. In addition, the U.S. Supreme Court has recently modified some tests used by the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If a defendant were to prevail on its legal assertion of invalidity and/or unenforceability against our intellectual property related to a product or a product candidate, we could lose at least part, and perhaps all, of the patent protection on such product or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 An adverse result in any litigation or administrative proceeding could put one or more of our patents or other intellectual property rights at risk of being invalidated or interpreted narrowly, which could adversely affect our competitive business position, financial condition and results of operations.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 Even if we are successful in any litigation, we may incur significant expense in connection with such proceedings, and the amount of any monetary damages may be inadequate to compensate us for damage as a result of the infringement and the proceedings. Further, a court may decide not to grant an injunction against further infringing activity and instead award only monetary damages, which may not be an adequate remedy. Furthermore,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spacing w:after="0" w:line="157"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Further,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and/or third party claims seeking to invalidate our patents, which would be costly, time consuming and, if successfully asserted against us, may prevent or delay our product development efforts and stop us from commercializing or increase the costs of commercializing our product candidates.</w:t>
      </w:r>
    </w:p>
    <w:p>
      <w:pPr>
        <w:spacing w:after="0" w:line="153" w:lineRule="exact"/>
        <w:rPr>
          <w:sz w:val="20"/>
          <w:szCs w:val="20"/>
          <w:color w:val="auto"/>
        </w:rPr>
      </w:pPr>
    </w:p>
    <w:p>
      <w:pPr>
        <w:ind w:left="60" w:right="159" w:firstLine="324"/>
        <w:spacing w:after="0" w:line="267" w:lineRule="auto"/>
        <w:rPr>
          <w:sz w:val="20"/>
          <w:szCs w:val="20"/>
          <w:color w:val="auto"/>
        </w:rPr>
      </w:pPr>
      <w:r>
        <w:rPr>
          <w:rFonts w:ascii="Times New Roman" w:cs="Times New Roman" w:eastAsia="Times New Roman" w:hAnsi="Times New Roman"/>
          <w:sz w:val="17"/>
          <w:szCs w:val="17"/>
          <w:color w:val="auto"/>
        </w:rPr>
        <w:t>Our commercial success will depend in part on our ability to develop, manufacture or commercialize our products and product candidates without infringing, misappropriating or otherwise violating the intellectual property rights of third parties. There is considerable patent and other intellectual property litigation in the pharmaceutical and biotechnology industries, and companies in the industry have used intellectual property litigation to gain a competitive advantage. We may become party to, or threatened with, adversarial proceedings or litigation regarding intellectual property rights with respect to our products, or the manufacture or use of our product candidates. In addition to infringement claims against us, third parties may also raise similar claims before administrative bodies in the United States or abroad. Such mechanisms include interference proceedings, post grant review, inter partes review, and derivation proceedings before the USPTO and similar proceedings in foreign jurisdictions. If third parties prepare and file patent applications in the United States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 Such administrative proceedings could result in revocation of or amendment to our patents in such a way that they no longer cover our products or product candidates.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w:t>
      </w:r>
    </w:p>
    <w:p>
      <w:pPr>
        <w:spacing w:after="0" w:line="363"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The legal threshold for initiating litigation or contested proceedings is low, so that even lawsuits or proceedings with a low probability of success might be initiated and require significant resources to defend. The costs of these lawsuits could affect our results of operations and divert the attention of managerial and scientific personnel. Some of these third parties may be better capitalized and have more resources than us. There is a risk that a court would decide that we are infringing the third-party’s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We also could be ordered to pay substantial damages, including treble damages and attorney’s fees if we are found to be willfully infringing a third party’s patents or other intellectual property rights. In addition, we may be obligated to indemnify our licensors and collaborators against certain intellectual property infringement claims brought by third parties, which could require us to expend additional resources. 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Even if we believe such claims are without merit, a court of competent jurisdiction could hold that these third party patents are valid and enforceable, and infringed by the use of our products and/or technologies, which could have a negative impact on the commercial success of our current and any future products or technologies.</w:t>
      </w:r>
    </w:p>
    <w:p>
      <w:pPr>
        <w:spacing w:after="0" w:line="153"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substantial monetary damages, encounter significant delays in bringing our product candidates to market and be precluded from manufacturing or selling our product candidates.</w:t>
      </w:r>
    </w:p>
    <w:p>
      <w:pPr>
        <w:spacing w:after="0" w:line="135" w:lineRule="exact"/>
        <w:rPr>
          <w:sz w:val="20"/>
          <w:szCs w:val="20"/>
          <w:color w:val="auto"/>
        </w:rPr>
      </w:pPr>
    </w:p>
    <w:p>
      <w:pPr>
        <w:ind w:left="60" w:right="1059" w:firstLine="324"/>
        <w:spacing w:after="0" w:line="282" w:lineRule="auto"/>
        <w:rPr>
          <w:sz w:val="20"/>
          <w:szCs w:val="20"/>
          <w:color w:val="auto"/>
        </w:rPr>
      </w:pPr>
      <w:r>
        <w:rPr>
          <w:rFonts w:ascii="Times New Roman" w:cs="Times New Roman" w:eastAsia="Times New Roman" w:hAnsi="Times New Roman"/>
          <w:sz w:val="18"/>
          <w:szCs w:val="18"/>
          <w:color w:val="auto"/>
        </w:rPr>
        <w:t>We cannot be certain that others have not filed patent applications for technology covered by our pending applications, or that we were the first to invent the technology, because:</w:t>
      </w:r>
    </w:p>
    <w:p>
      <w:pPr>
        <w:spacing w:after="0" w:line="121" w:lineRule="exact"/>
        <w:rPr>
          <w:sz w:val="20"/>
          <w:szCs w:val="20"/>
          <w:color w:val="auto"/>
        </w:rPr>
      </w:pPr>
    </w:p>
    <w:p>
      <w:pPr>
        <w:ind w:left="720" w:hanging="319"/>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patent applications in the U.S. may be maintained in secrecy until the patents are issued;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in the U.S. are typically not published until 18 months after the priority date;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publications in the scientific literature often lag behind actual discoveries.</w:t>
      </w:r>
    </w:p>
    <w:p>
      <w:pPr>
        <w:spacing w:after="0" w:line="185"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similar to ours that claim priority to any applications filed prior to the priority dates of our applications, we may have to participate in an interference proceeding declared by the USPTO to determine priority of invention in the U.S.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 laws that permit secrecy of patent applications and may be entitled to priority over our applications in such jurisdictions.</w:t>
      </w:r>
    </w:p>
    <w:p>
      <w:pPr>
        <w:spacing w:after="0" w:line="148"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189"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148"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162"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Finally, a Unitary Patent and Unified Patent Court (“UPC”) system was implemented in Europe on June 1, 2023. This new regime may present uncertainties for our ability to protect and enforce our patent rights against competitors in Europe. Under the UPC, all European patents, including those issued prior to ratification of the European Patent Package, by default automatically fall under the jurisdiction of the UPC. The UPC provides our competitors with a new forum to centrally revoke our European patents, and allows for the possibility of a competitor to obtain pan-European injunctions. It will be several years before we will understand the scope of patent rights that will be recognized and the strength of patent remedies that will be provided by the UPC. Under the EU Patent Package, we will have the right to opt our patents out of the UPC over the first seven years of the court’s existence, but doing so may preclude us from realizing the benefits of the new unified court.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competitive position may be harmed.</w:t>
      </w:r>
    </w:p>
    <w:p>
      <w:pPr>
        <w:spacing w:after="0" w:line="132"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Our trademarks could be challenged, invalidated, infringed, and circumvented by third parties, and our trademarks could also be diluted, declared generic or found to be infringing on other marks. If any of the foregoing occurs, we could be forced to re-brand our products or technologies, resulting in loss of brand recognition and requiring us to devote resources to advertising and marketing new brands, and suffer other competitive harm. Third parties may also adopt trademarks similar to ours, which could harm our brand identity and lead to market confusion. Further, there can be no assurance that competitors will not infringe on our trademarks or that we will have adequate resources to enforce our trademarks.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Any of the foregoing could have a material adverse effect on our competitive position, business, financial condition, operating results and prospects.</w:t>
      </w:r>
    </w:p>
    <w:p>
      <w:pPr>
        <w:spacing w:after="0" w:line="141" w:lineRule="exact"/>
        <w:rPr>
          <w:sz w:val="20"/>
          <w:szCs w:val="20"/>
          <w:color w:val="auto"/>
        </w:rPr>
      </w:pPr>
    </w:p>
    <w:p>
      <w:pPr>
        <w:ind w:left="60" w:right="179" w:firstLine="324"/>
        <w:spacing w:after="0" w:line="246" w:lineRule="auto"/>
        <w:rPr>
          <w:sz w:val="20"/>
          <w:szCs w:val="20"/>
          <w:color w:val="auto"/>
        </w:rPr>
      </w:pPr>
      <w:r>
        <w:rPr>
          <w:rFonts w:ascii="Times New Roman" w:cs="Times New Roman" w:eastAsia="Times New Roman" w:hAnsi="Times New Roman"/>
          <w:sz w:val="18"/>
          <w:szCs w:val="18"/>
          <w:color w:val="auto"/>
        </w:rPr>
        <w:t>We rely on our trademarks, trade names and brand names, such as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our logo, to distinguish our company and our products from our competitors and the products of our competitors, and have registered or applied to register many of these trademarks in the United States and certain countries outside the United States, however, we have not yet registered all of our trademarks in all of our current and potential markets. There can be no assurance that our trademark applications will be approved for registration.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may also oppose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 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Our trademarks or trade names may be infringed, circumvented, declared generic or determined to be violating or infringing on other marks.</w:t>
      </w:r>
    </w:p>
    <w:p>
      <w:pPr>
        <w:spacing w:after="0" w:line="150"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32"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In addition to patent protection, we also rely on other intellectual property rights, including protection of copyright, trade secrets, know-how and/or other proprietary information to protect our proprietary technologies, especially where we do not believe patent protection is appropriate or obtainable. However, trade secrets are difficult to protect, and some courts are less willing or unwilling to protect trade secrets. To maintain the confidentiality of our trade secrets and proprietary information, we rely in part on confidentiality agreements with our employees, consultants, outside scientific collaborators, sponsored researchers and other advisors to protect our trade secrets and other proprietary information. However, we cannot guarantee that we have entered into such agreements with each party that may have or have had access to our trade secrets or proprietary technology and processes and we may not enter into such agreements with all employees, consultants and third parties who have been involved in the development of our intellectual property rights. Although we generally require all of our employees, consultants, advisors and any third parties who have access to our proprietary know-how, information, or technology to enter into confidentiality agreements, we cannot provide any assurances that all such agreements have been duly executed. In addition, despite the protections we do place on our intellectual property or other proprietary rights, monitoring unauthorized use and disclosure of our intellectual property rights by employees, consultants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or third parties, despite the existence generally of these confidentiality restrictions. These agreements may not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effectively prevent disclosure of confidential information and may not provide an adequate remedy in the event of unauthorized disclosure of confidential information. There can be no assurances that such employees, consultants, advisors or third parties will not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w:t>
      </w:r>
    </w:p>
    <w:p>
      <w:pPr>
        <w:spacing w:after="0" w:line="165" w:lineRule="exact"/>
        <w:rPr>
          <w:sz w:val="20"/>
          <w:szCs w:val="20"/>
          <w:color w:val="auto"/>
        </w:rPr>
      </w:pPr>
    </w:p>
    <w:p>
      <w:pPr>
        <w:ind w:left="60" w:right="239" w:firstLine="324"/>
        <w:spacing w:after="0" w:line="252"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by maintaining physical security of our premises and electronic security of our information technology systems. Such security measures may not, for example, in the case of misappropriation of a trade secret by an employee, consultant or other third party with authorized access, provide adequate protection for our proprietary information. Our security measures may not prevent an employee, consultant or other third party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or services that we consider proprietary. Enforcing a claim that a party illegally disclosed or misappropriated a trade secret can be difficult, expensive and time-consuming, and the outcome is unpredictable. Further, we may not be able to obtain adequate remedies for any breach. While we use commonly accepted security measures, trade secret violations are often a matter of state law in the United States, and the criteria for protection of trade secrets can vary among different jurisdictions. If the steps we have taken to maintain our trade secrets are deemed inadequate, we may have insufficient recourse against third parties for misappropriating the trade secret. In addition, trade secrets may be independently developed by others in a manner that could prevent legal recourse by us. If any of our intellectual property rights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spacing w:after="0" w:line="153"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 Further, it is possible that others will independently develop the same or similar technology, products or services or otherwise obtain access to our unpatented technology, and in such cases, we could not assert any trade secret rights against such parties. If we fail to obtain or maintain trade secret protection, or if our competitors obtain our trade secrets or independently develop technology or products similar to ours,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spacing w:after="0" w:line="150"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misappropriated the intellectual property rights, including know-how or trade secrets of a third party.</w:t>
      </w:r>
    </w:p>
    <w:p>
      <w:pPr>
        <w:spacing w:after="0" w:line="132"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We may be subject to claims that our employees or consultants have wrongfully used for our benefit or disclosed to us confidential information of third parties. As is common in the biotechnology and pharmaceutical industries, we employ individuals who were previously employed at other biotechnology or pharmaceutical companies, including our competitors or potential competitors. Some of these employees, consultants and contractors may have executed proprietary rights, non-disclosure and non-competition agreements in connection with such previous employment or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engagement. Although we try to ensure that our employees, consultants and independent contractors do not use the intellectual property rights, proprietary information, know-how, or trade secrets of others in their work for us, and do not perform work for us that is in conflict with their obligations to another employer or any other entity, we may be subject to claims that we or our employees, consultants or independent contractors have, inadvertently or otherwise misappropriated the intellectual property, including know-how, trade secrets or other proprietary information of their former employers or clients. To the extent that our employees, consultants or contractors use intellectual property rights or proprietary information owned by others in their work for us, disputes may arise as to the rights in any related or resulting know-how and inventions. Litigation may be necessary to defend against these claims. If we fail in defending any such claims, in addition to paying monetary damages, we could lose valuable intellectual property rights or personnel, which could adversely impact our business. There is no guarantee of success in defending these claims, and even if we are successful, litigation could result in substantial costs and be a distraction to management.</w:t>
      </w:r>
    </w:p>
    <w:p>
      <w:pPr>
        <w:spacing w:after="0" w:line="161"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may not be sufficient to protect our products from competition, which may negatively affect our business as well as limit our partnership or acquisition appeal.</w:t>
      </w:r>
    </w:p>
    <w:p>
      <w:pPr>
        <w:spacing w:after="0" w:line="118"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 condition.</w:t>
      </w:r>
    </w:p>
    <w:p>
      <w:pPr>
        <w:spacing w:after="0" w:line="13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spacing w:after="0" w:line="149" w:lineRule="exact"/>
        <w:rPr>
          <w:sz w:val="20"/>
          <w:szCs w:val="20"/>
          <w:color w:val="auto"/>
        </w:rPr>
      </w:pPr>
    </w:p>
    <w:p>
      <w:pPr>
        <w:ind w:left="60" w:right="279" w:firstLine="324"/>
        <w:spacing w:after="0" w:line="255" w:lineRule="auto"/>
        <w:rPr>
          <w:sz w:val="20"/>
          <w:szCs w:val="20"/>
          <w:color w:val="auto"/>
        </w:rPr>
      </w:pPr>
      <w:r>
        <w:rPr>
          <w:rFonts w:ascii="Times New Roman" w:cs="Times New Roman" w:eastAsia="Times New Roman" w:hAnsi="Times New Roman"/>
          <w:sz w:val="18"/>
          <w:szCs w:val="18"/>
          <w:color w:val="auto"/>
        </w:rPr>
        <w:t>Our drug re-innovation approach involves the filing of patent applications covering new methods of use and/or new formulations of previously known, studied and/or marketed drugs. Although the protection afforded by our patent and patent applications may be significant with respect to BXCL501, BXCL502, BXCL701 and BXCL702, when looking at our patents’ ability to 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adversely affected.</w:t>
      </w:r>
    </w:p>
    <w:p>
      <w:pPr>
        <w:spacing w:after="0" w:line="148"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We may elect to sue a third party, or otherwise make a claim, alleging infringement or other violation of patents, trademarks, trade dress, copyrights, trade secrets, domain names or other intellectual property rights that we either own or license from BioXcel LLC. If we do not prevail in enforcing our intellectual property rights in this type of litigation, we may be subject to:</w:t>
      </w:r>
    </w:p>
    <w:p>
      <w:pPr>
        <w:spacing w:after="0" w:line="139" w:lineRule="exact"/>
        <w:rPr>
          <w:sz w:val="20"/>
          <w:szCs w:val="20"/>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monetary damages related to the legal expenses of the third party;</w:t>
      </w:r>
    </w:p>
    <w:p>
      <w:pPr>
        <w:spacing w:after="0" w:line="198"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facing additional competition that may have a significant adverse effect on our product pricing, market share, business operations, financial condition, and the commercial viability of our products; and</w:t>
      </w:r>
    </w:p>
    <w:p>
      <w:pPr>
        <w:spacing w:after="0" w:line="121" w:lineRule="exact"/>
        <w:rPr>
          <w:rFonts w:ascii="Times New Roman" w:cs="Times New Roman" w:eastAsia="Times New Roman" w:hAnsi="Times New Roman"/>
          <w:sz w:val="18"/>
          <w:szCs w:val="18"/>
          <w:color w:val="auto"/>
        </w:rPr>
      </w:pPr>
    </w:p>
    <w:p>
      <w:pPr>
        <w:jc w:val="both"/>
        <w:ind w:left="720" w:right="199" w:hanging="319"/>
        <w:spacing w:after="0" w:line="266"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p>
      <w:pPr>
        <w:spacing w:after="0" w:line="135"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A third-party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 patents we own in an action against third parties due to the unpredictability of litigation and the high costs associated with intellectual property litigation, amongst other factors.</w:t>
      </w:r>
    </w:p>
    <w:p>
      <w:pPr>
        <w:spacing w:after="0" w:line="156"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Intellectual property rights and enforcement may be less extensive in jurisdictions outside of the U.S.; thus, we may not be able to protect our intellectual property and third parties may be able to market competitive products that may use some or all of our intellectual property.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324"/>
        <w:spacing w:after="0" w:line="258" w:lineRule="auto"/>
        <w:rPr>
          <w:sz w:val="20"/>
          <w:szCs w:val="20"/>
          <w:color w:val="auto"/>
        </w:rPr>
      </w:pPr>
      <w:r>
        <w:rPr>
          <w:rFonts w:ascii="Times New Roman" w:cs="Times New Roman" w:eastAsia="Times New Roman" w:hAnsi="Times New Roman"/>
          <w:sz w:val="18"/>
          <w:szCs w:val="18"/>
          <w:color w:val="auto"/>
        </w:rPr>
        <w:t>Changes to patent law, including the Leahy-Smith America Invents Act of 2011 and the Patent Reform Act of 2009 and other future article of legislation, may substantially change the regulations and procedures surrounding patent applications, issuance of patents, and prosecution of patents. We can give no assurances that patents we own or license and can be successfully defended or will protect us against future intellectual property challenges, particularly as they pertain to changes in patent law and future patent law interpretations.</w:t>
      </w:r>
    </w:p>
    <w:p>
      <w:pPr>
        <w:spacing w:after="0" w:line="156"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In Europe, a new unitary patent system took effect on June 1, 2023, and may significantly impact European patents, including those granted before the introduction of the new system. Under the new system, Applicants can, upon grant of a patent, opt for that patent to become a Unitary Patent which will be subject to the jurisdiction of a new Unitary Patent Court (UPC). Patents granted before the implementation of the new system can be opted out of UPC jurisdiction, remaining as national patents in the UPC countries. Patents that remain under the jurisdiction of the UPC may be challenged in a single UPC-based revocation proceeding that, if successful, could invalidate the patent in all countries who are signatories to the UPC. Further, because the UPC is a new court system and there is little precedent for the court’s laws, there is increased uncertainty regarding the outcome of any patent litigation. We are unable to predict what impact the new patent regime may have on our ability to exclude competitors in the European market. In addition to changes in patent laws, geopolitical dynamics, including Russia’s incursion into Ukraine, and the imposition of tariffs and responses to tariffs, may impact our ability to obtain and enforce patents in particular jurisdictions. If we are unable to obtain and enforce patents as needed in particular markets, our ability to exclude competitors in those markets may be reduced.</w:t>
      </w:r>
    </w:p>
    <w:p>
      <w:pPr>
        <w:spacing w:after="0" w:line="228" w:lineRule="exact"/>
        <w:rPr>
          <w:sz w:val="20"/>
          <w:szCs w:val="20"/>
          <w:color w:val="auto"/>
        </w:rPr>
      </w:pPr>
    </w:p>
    <w:p>
      <w:pPr>
        <w:ind w:left="60" w:right="519" w:firstLine="324"/>
        <w:spacing w:after="0" w:line="261" w:lineRule="auto"/>
        <w:rPr>
          <w:sz w:val="20"/>
          <w:szCs w:val="20"/>
          <w:color w:val="auto"/>
        </w:rPr>
      </w:pPr>
      <w:r>
        <w:rPr>
          <w:rFonts w:ascii="Times New Roman" w:cs="Times New Roman" w:eastAsia="Times New Roman" w:hAnsi="Times New Roman"/>
          <w:sz w:val="18"/>
          <w:szCs w:val="18"/>
          <w:color w:val="auto"/>
        </w:rPr>
        <w:t>In addition, enforcing and maintaining our intellectual property protection depends on compliance with various procedural, document submission, fee payment and other requirements imposed by the USPTO, courts and foreign government patent agencies, and our patent protection could be reduced or eliminated for non- compliance with these requirements.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fluctuate substantially.</w:t>
      </w:r>
    </w:p>
    <w:p>
      <w:pPr>
        <w:spacing w:after="0" w:line="202"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p>
      <w:pPr>
        <w:spacing w:after="0" w:line="139" w:lineRule="exact"/>
        <w:rPr>
          <w:sz w:val="20"/>
          <w:szCs w:val="20"/>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our common stock by our stockholders, executives, and directors;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limitations in trading volumes of our shares of common stock;</w:t>
      </w:r>
    </w:p>
    <w:p>
      <w:pPr>
        <w:spacing w:after="0" w:line="198"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trading in and short sales of our stock, as well as trading phenomena such as the “short squeeze” and “short and distort” schemes;</w:t>
      </w:r>
    </w:p>
    <w:p>
      <w:pPr>
        <w:spacing w:after="0" w:line="12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financings to conduct and complete research and development activities including, but not limited to, our clinical trials, and other business activities;</w:t>
      </w:r>
    </w:p>
    <w:p>
      <w:pPr>
        <w:spacing w:after="0" w:line="121" w:lineRule="exact"/>
        <w:rPr>
          <w:rFonts w:ascii="Times New Roman" w:cs="Times New Roman" w:eastAsia="Times New Roman" w:hAnsi="Times New Roman"/>
          <w:sz w:val="18"/>
          <w:szCs w:val="18"/>
          <w:color w:val="auto"/>
        </w:rPr>
      </w:pPr>
    </w:p>
    <w:p>
      <w:pPr>
        <w:ind w:left="720" w:right="779" w:hanging="319"/>
        <w:spacing w:after="0" w:line="282"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delays in the expected recognition of revenue due to lengthy and sometimes unpredictable sales timelines;</w:t>
      </w:r>
    </w:p>
    <w:p>
      <w:pPr>
        <w:spacing w:after="0" w:line="134" w:lineRule="exact"/>
        <w:rPr>
          <w:rFonts w:ascii="Times New Roman" w:cs="Times New Roman" w:eastAsia="Times New Roman" w:hAnsi="Times New Roman"/>
          <w:sz w:val="18"/>
          <w:szCs w:val="18"/>
          <w:color w:val="auto"/>
        </w:rPr>
      </w:pPr>
    </w:p>
    <w:p>
      <w:pPr>
        <w:jc w:val="both"/>
        <w:ind w:left="720" w:right="379" w:hanging="319"/>
        <w:spacing w:after="0" w:line="266"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introductions of new applications and services by us or our competitors or any other change in the competitive dynamics of our industry, including consolidation among competitors, customers or strategic partners;</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outages or security breaches;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renewal rates and the timing and terms of customer renewals;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resources and the necessary personnel to conduct clinical trials on our desired schedule;</w:t>
      </w:r>
    </w:p>
    <w:p>
      <w:pPr>
        <w:spacing w:after="0" w:line="184"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enrollment or results of our clinical trials for our product candidates or any future clinical trials we may conduct;</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development status of our product candidates;</w:t>
      </w:r>
    </w:p>
    <w:p>
      <w:pPr>
        <w:spacing w:after="0" w:line="198"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or adverse developments or perceived adverse developments with respect to the FDA’s review of our preclinical and clinical trials;</w:t>
      </w:r>
    </w:p>
    <w:p>
      <w:pPr>
        <w:spacing w:after="0" w:line="121"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submission for studies or product approvals or adverse regulatory decisions, including failure to receive regulatory approval for our product candidates;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safety concerns related to the use of our product candidates;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to meet external expectations or management guidance;</w:t>
      </w:r>
    </w:p>
    <w:p>
      <w:pPr>
        <w:spacing w:after="0" w:line="184" w:lineRule="exact"/>
        <w:rPr>
          <w:rFonts w:ascii="Times New Roman" w:cs="Times New Roman" w:eastAsia="Times New Roman" w:hAnsi="Times New Roman"/>
          <w:sz w:val="18"/>
          <w:szCs w:val="18"/>
          <w:color w:val="auto"/>
        </w:rPr>
      </w:pPr>
    </w:p>
    <w:p>
      <w:pPr>
        <w:ind w:left="720" w:right="779" w:hanging="319"/>
        <w:spacing w:after="0" w:line="282"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or dividend policy, future issuances of securities, sales of large blocks of common stock by our stockholders;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and events surrounding financing efforts, including debt and equity securities;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enter into new markets or develop new products;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issues;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technologies and products or new technologies and products that may emerge;</w:t>
      </w:r>
    </w:p>
    <w:p>
      <w:pPr>
        <w:spacing w:after="0" w:line="184"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acquisitions, partnerships, collaborations, joint ventures, new products, capital commitments, or other events by us or our competitors;</w:t>
      </w:r>
    </w:p>
    <w:p>
      <w:pPr>
        <w:spacing w:after="0" w:line="121"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political and market conditions in or any of the regions in which we conduct our business;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industry conditions or perceptions;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valuations of similar companies or groups of companies;</w:t>
      </w:r>
    </w:p>
    <w:p>
      <w:pPr>
        <w:spacing w:after="0" w:line="184"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analyst research reports, recommendation and changes in recommendations, price targets, and withdrawals of coverage;</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and additions of key personnel;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and litigations related to intellectual properties, proprietary rights, and contractual obligations;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rules, regulations, or accounting practices and other dynamics;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may be out of our control.</w:t>
      </w:r>
    </w:p>
    <w:p>
      <w:pPr>
        <w:spacing w:after="0" w:line="185"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stock price to fall and may expose us to lawsuits that, even if unsuccessful, could be costly to defend and a distraction to management.</w:t>
      </w:r>
    </w:p>
    <w:p>
      <w:pPr>
        <w:spacing w:after="0" w:line="131" w:lineRule="exact"/>
        <w:rPr>
          <w:sz w:val="20"/>
          <w:szCs w:val="20"/>
          <w:color w:val="auto"/>
        </w:rPr>
      </w:pPr>
    </w:p>
    <w:p>
      <w:pPr>
        <w:ind w:left="6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including common stock that may be sold following exercise of outstanding warrants, would result in additional dilution of the percentage ownership of our stockholders and could adversely impact the share price of our common stock.</w:t>
      </w:r>
    </w:p>
    <w:p>
      <w:pPr>
        <w:spacing w:after="0" w:line="134"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including, without limitation, funding our trials and studies, marketing and commercializing our products and funding our operations. Accordingly, we have sold, and in the future may sell, common stock, convertible securities or other equity securities in one or more transactions at prices and in a manner we determine from time to time. To the extent we raise additional capital by issuing additional shares of common stock or securities convertible or exchangeable for our common stock, our stockholders may experience substantial dilution, and new investors could gain rights superior to our existing stockholders.</w:t>
      </w:r>
    </w:p>
    <w:p>
      <w:pPr>
        <w:spacing w:after="0" w:line="148"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March 2024, we issued and sold in a registered direct offering 190,913 shares of our common stock, accompanying warrants to purchase up to 538,728 shares of our common stock and pre-funded warrants to purchase up to 347,814 shares of our common stock. In November 2024, we issued and sold in a registered direct offering 350,000 shares of our common stock, accompanying warrants to purchase up to 912,500 shares of our common stock and pre-funded warrants to purchase up to 562,500 shares of our common stock, (for additional information see Note 11, </w:t>
      </w:r>
      <w:r>
        <w:rPr>
          <w:rFonts w:ascii="Times New Roman" w:cs="Times New Roman" w:eastAsia="Times New Roman" w:hAnsi="Times New Roman"/>
          <w:sz w:val="18"/>
          <w:szCs w:val="18"/>
          <w:i w:val="1"/>
          <w:iCs w:val="1"/>
          <w:color w:val="auto"/>
        </w:rPr>
        <w:t>Common Stock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Activities </w:t>
      </w:r>
      <w:r>
        <w:rPr>
          <w:rFonts w:ascii="Times New Roman" w:cs="Times New Roman" w:eastAsia="Times New Roman" w:hAnsi="Times New Roman"/>
          <w:sz w:val="18"/>
          <w:szCs w:val="18"/>
          <w:color w:val="auto"/>
        </w:rPr>
        <w:t>in our Annual Report on Form 10-K for the fiscal year ended December 31, 2025). In addition, we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additional warrants to purchase up to 312,506 shares of common stock in connection with the Fifth Amendment of our Credit Agreement (see Note 9, </w:t>
      </w:r>
      <w:r>
        <w:rPr>
          <w:rFonts w:ascii="Times New Roman" w:cs="Times New Roman" w:eastAsia="Times New Roman" w:hAnsi="Times New Roman"/>
          <w:sz w:val="18"/>
          <w:szCs w:val="18"/>
          <w:i w:val="1"/>
          <w:iCs w:val="1"/>
          <w:color w:val="auto"/>
        </w:rPr>
        <w:t>Debt and Credit Facilities</w:t>
      </w:r>
      <w:r>
        <w:rPr>
          <w:rFonts w:ascii="Times New Roman" w:cs="Times New Roman" w:eastAsia="Times New Roman" w:hAnsi="Times New Roman"/>
          <w:sz w:val="18"/>
          <w:szCs w:val="18"/>
          <w:color w:val="auto"/>
        </w:rPr>
        <w:t xml:space="preserve"> in this Annual Report on Form 10-K for additional information). In March 2025, we issued and sold in a registered direct offering 188,383 shares of common stock, pre-funded warrants to purchase up to 3,811,617 shares of our common stock, accompanying warrants to purchase up to 4 million shares, and option warrants to purchase an additional 4 million shares of common stock (or pre-funded warrants in lieu thereof) and 4 million warrants. The option warrants expired on March 18, 2025 without being exercised.</w:t>
      </w:r>
    </w:p>
    <w:p>
      <w:pPr>
        <w:spacing w:after="0" w:line="163"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In addition, in April 2025, we entered into an Equity Distribution Agreement with Canaccord Genuity LLC establishing an “at-the-market” equity offering program under which Canaccord acts as sales agent (the “Company ATM Program”). On August 18, 2025, following an increase in the Company's public float above $75 million, we amended the program to permit sales of shares having an aggregate offering price of up to $80,000,000. Any sales under the Company ATM Program will be dilutive to existing stockholders and could adversely affect our stock price. From the inception of the Company ATM Program in April 2025 through March 31, 2026, we sold 12,331,743 shares of our common stock under the Equity Distribution Agreement for aggregate gross proceeds of approximately $35.0 million.</w:t>
      </w:r>
    </w:p>
    <w:p>
      <w:pPr>
        <w:spacing w:after="0" w:line="18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number of shares of common stock underlying our outstanding warrants is significant in relation to our outstanding common stock (26% as of May 14, 2026), which could have a negative effect on the market price of our common stock and make it more difficult for us to raise funds through future equity offerings. In the event these warrants are exercised, our stockholders will experience additional dilution. To the extent outstanding stock options or warrants are exercised, there would be further dilution to our existing stockholders, which could impact the price of our common stock. Any future issuances of equity securities, including under our existing “at-the-market” program or in connection with potential strategic transactions, would further dilute existing stockholders and could materially and adversely affect the market price of our common stock and our ability to raise additional capital on favorable terms.</w:t>
      </w:r>
    </w:p>
    <w:p>
      <w:pPr>
        <w:spacing w:after="0" w:line="147"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maintain compliance with the continued listing standards of the Nasdaq Capital Market, Nasdaq may delist our common stock from trading on its exchange, which could limit investors' ability to make transactions in our securities and subject us to additional trading restrictions.</w:t>
      </w:r>
    </w:p>
    <w:p>
      <w:pPr>
        <w:spacing w:after="0" w:line="175"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Our common stock is currently listed for trading on Nasdaq and we are currently in compliance with all Nasdaq listing requirements. However, while the Company currently meets all Nasdaq Capital Market listing requirements for continued listing, we have in the past and may again in the future receive notice of the failure to satisfy a continued listing rule from Nasdaq</w:t>
      </w:r>
      <w:r>
        <w:rPr>
          <w:rFonts w:ascii="Times New Roman" w:cs="Times New Roman" w:eastAsia="Times New Roman" w:hAnsi="Times New Roman"/>
          <w:sz w:val="18"/>
          <w:szCs w:val="18"/>
          <w:b w:val="1"/>
          <w:bCs w:val="1"/>
          <w:i w:val="1"/>
          <w:iCs w:val="1"/>
          <w:color w:val="auto"/>
        </w:rPr>
        <w: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There can be no assurance that, should we fall out of compliance with the continued listing standards of Nasdaq, we will be able to regain and maintain compliance and will not face a delisting from Nasdaq in the future.</w:t>
      </w:r>
    </w:p>
    <w:p>
      <w:pPr>
        <w:spacing w:after="0" w:line="131"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our shares of common stock so any returns will be limited to the value of our shares.</w:t>
      </w:r>
    </w:p>
    <w:p>
      <w:pPr>
        <w:spacing w:after="0" w:line="118" w:lineRule="exact"/>
        <w:rPr>
          <w:sz w:val="20"/>
          <w:szCs w:val="20"/>
          <w:color w:val="auto"/>
        </w:rPr>
      </w:pPr>
    </w:p>
    <w:p>
      <w:pPr>
        <w:ind w:left="60" w:right="679" w:firstLine="324"/>
        <w:spacing w:after="0" w:line="266"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w:t>
      </w:r>
    </w:p>
    <w:p>
      <w:pPr>
        <w:spacing w:after="0" w:line="131"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of 1940, as amended (the “1940 Act”), applicable restrictions could make it impractical for us to continue our business as contemplated and could have a material adverse effect on our business, financial condition and results of operations.</w:t>
      </w:r>
    </w:p>
    <w:p>
      <w:pPr>
        <w:spacing w:after="0" w:line="148"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the 1940 Act.</w:t>
      </w:r>
    </w:p>
    <w:p>
      <w:pPr>
        <w:spacing w:after="0" w:line="148" w:lineRule="exact"/>
        <w:rPr>
          <w:sz w:val="20"/>
          <w:szCs w:val="20"/>
          <w:color w:val="auto"/>
        </w:rPr>
      </w:pPr>
    </w:p>
    <w:p>
      <w:pPr>
        <w:ind w:left="60" w:right="379" w:firstLine="324"/>
        <w:spacing w:after="0" w:line="256" w:lineRule="auto"/>
        <w:rPr>
          <w:sz w:val="20"/>
          <w:szCs w:val="20"/>
          <w:color w:val="auto"/>
        </w:rPr>
      </w:pPr>
      <w:r>
        <w:rPr>
          <w:rFonts w:ascii="Times New Roman" w:cs="Times New Roman" w:eastAsia="Times New Roman" w:hAnsi="Times New Roman"/>
          <w:sz w:val="18"/>
          <w:szCs w:val="18"/>
          <w:color w:val="auto"/>
        </w:rPr>
        <w:t>Notwithstanding Sections 3(a)(1)(A) and (C) of the 1940 Act, we are a research and development company and comply with the safe harbor requirements of Rule 3a-8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w:t>
      </w:r>
    </w:p>
    <w:p>
      <w:pPr>
        <w:spacing w:after="0" w:line="143"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are able to avail ourselves of reduced disclosure requirements applicable to smaller reporting companies, which could make our common stock less attractive to investors.</w:t>
      </w:r>
    </w:p>
    <w:p>
      <w:pPr>
        <w:spacing w:after="0" w:line="1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are a smaller reporting company, and we will remain a smaller reporting company until we determine that either</w:t>
      </w:r>
    </w:p>
    <w:p>
      <w:pPr>
        <w:spacing w:after="0" w:line="27" w:lineRule="exact"/>
        <w:rPr>
          <w:sz w:val="20"/>
          <w:szCs w:val="20"/>
          <w:color w:val="auto"/>
        </w:rPr>
      </w:pPr>
    </w:p>
    <w:p>
      <w:pPr>
        <w:ind w:left="60" w:right="179" w:hanging="10"/>
        <w:spacing w:after="0" w:line="251" w:lineRule="auto"/>
        <w:tabs>
          <w:tab w:leader="none" w:pos="3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revenues are at least $100 million and our voting and non-voting common stock held by non-affiliates is at least $250 million measured on the last business day of our most recent second fiscal quarter, or (2) our voting and non-voting common stock held by non-affiliates is at least $700 million measured on the last business day of our most recent second fiscal quarter.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supplemental financial information or risk factors. In addition, as a non-accelerated filer, we are exempt from the auditor attestation requirements of Section 404 of the Sarbanes-Oxley Act.</w:t>
      </w:r>
    </w:p>
    <w:p>
      <w:pPr>
        <w:spacing w:after="0" w:line="153"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reporting obligations.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135"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and may in the future be subject to legal proceedings, claims and investigations in or outside the ordinary course of business. Such proceedings, claims and investigations could be costly and time-consuming to defend and could result in unfavorable outcomes, which may have a material adverse effect on our business, operating results and financial condition, and negatively affect the price of our common stock.</w:t>
      </w:r>
    </w:p>
    <w:p>
      <w:pPr>
        <w:spacing w:after="0" w:line="153"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are, and may in the future become, subject to various legal proceedings, claims and investigations that arise in or outside the ordinary course of business. For example, on July 7, 2023, plaintiff Katelyn Martin filed a class action complaint against the Company and certain executives in the United States District Court for the District of Connecticut, captioned </w:t>
      </w:r>
      <w:r>
        <w:rPr>
          <w:rFonts w:ascii="Times New Roman" w:cs="Times New Roman" w:eastAsia="Times New Roman" w:hAnsi="Times New Roman"/>
          <w:sz w:val="18"/>
          <w:szCs w:val="18"/>
          <w:i w:val="1"/>
          <w:iCs w:val="1"/>
          <w:color w:val="auto"/>
        </w:rPr>
        <w:t>Martin v. BioXcel Therapeutics, et al.</w:t>
      </w:r>
      <w:r>
        <w:rPr>
          <w:rFonts w:ascii="Times New Roman" w:cs="Times New Roman" w:eastAsia="Times New Roman" w:hAnsi="Times New Roman"/>
          <w:sz w:val="18"/>
          <w:szCs w:val="18"/>
          <w:color w:val="auto"/>
        </w:rPr>
        <w:t>, 3:23-cv-00915 (D. Conn). The case has since been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79"/>
        <w:spacing w:after="0" w:line="252" w:lineRule="auto"/>
        <w:rPr>
          <w:sz w:val="20"/>
          <w:szCs w:val="20"/>
          <w:color w:val="auto"/>
        </w:rPr>
      </w:pPr>
      <w:r>
        <w:rPr>
          <w:rFonts w:ascii="Times New Roman" w:cs="Times New Roman" w:eastAsia="Times New Roman" w:hAnsi="Times New Roman"/>
          <w:sz w:val="18"/>
          <w:szCs w:val="18"/>
          <w:color w:val="auto"/>
        </w:rPr>
        <w:t xml:space="preserve">renamed to </w:t>
      </w:r>
      <w:r>
        <w:rPr>
          <w:rFonts w:ascii="Times New Roman" w:cs="Times New Roman" w:eastAsia="Times New Roman" w:hAnsi="Times New Roman"/>
          <w:sz w:val="18"/>
          <w:szCs w:val="18"/>
          <w:i w:val="1"/>
          <w:iCs w:val="1"/>
          <w:color w:val="auto"/>
        </w:rPr>
        <w:t>Hills et al v. BioXcel Therapeutics, Inc. et al</w:t>
      </w:r>
      <w:r>
        <w:rPr>
          <w:rFonts w:ascii="Times New Roman" w:cs="Times New Roman" w:eastAsia="Times New Roman" w:hAnsi="Times New Roman"/>
          <w:sz w:val="18"/>
          <w:szCs w:val="18"/>
          <w:color w:val="auto"/>
        </w:rPr>
        <w:t>. On October 4, 2023, pursuant to the Private Securities Litigation Reform Act, the court appointed two co-Lead Plaintiffs. The co-Lead Plaintiffs filed an amended complaint on December 5, 2023, alleging violations of Sections 10(b) and 20A of the Exchange Act and SEC Rule 10b-5 promulgated thereunder. On July 11, 2024, the Court dismissed the amended complaint without prejudice and, on August 1, 2024, co-Lead Plaintiffs filed a second amended complaint. The second amended complaint alleges that defendants made false or misleading statements regarding the TRANQUILITY II trial and the development of BXCL501 for an expanded indication related to the treatment of certain Alzheimer’s-related agitation. The Company moved to dismiss the second amended complaint on September 6, 2024. On February 24, 2025, while the Company’s motion to dismiss remained pending, Plaintiffs moved for leave to further amend their complaint. On September 29, 2025, the Court issued an order granting Plaintiffs’ motion for leave to amend, denying Defendants’ motion to dismiss as moot, and allowing Plaintiffs to proceed on certain of their claims. The Company filed an answer to the third amended complaint on October 28, 2025. On January 23, 2026, the parties reached a tentative agreement to settle the action. In light of this agreement, on January 28, 2026, the Court entered an order vacating the scheduling order and requiring Plaintiffs to file a motion for preliminary approval of the settlement or status report by February 27, 2026. Plaintiffs filed a motion for preliminary approval on February 27, 2026, and the Court granted the motion on March 2, 2026. The hearing on the motion for final approval of the settlement is set for September 2, 2026. The Court’s preliminary approval of the settlement is not a final determination, and there can be no assurance that the Court will grant final approval of the settlement at the September 2, 2026 hearing or thereafter.</w:t>
      </w:r>
    </w:p>
    <w:p>
      <w:pPr>
        <w:spacing w:after="0" w:line="167"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November 28, 2023, Plaintiffs Pratheesan Panancherry and Jeffrey Bastress filed a stockholder derivative complaint in the United States District Court for the District of Connecticut purportedly on behalf of the Company and against Vimal Mehta, Richard I. Steinhart, Peter Mueller, June Bray, Sandeep Laumas, Michael Miller, Michal Votruba, and Krishnan Nandabalan as Defendants, and the Company as Nominal Defendant under the caption </w:t>
      </w:r>
      <w:r>
        <w:rPr>
          <w:rFonts w:ascii="Times New Roman" w:cs="Times New Roman" w:eastAsia="Times New Roman" w:hAnsi="Times New Roman"/>
          <w:sz w:val="18"/>
          <w:szCs w:val="18"/>
          <w:i w:val="1"/>
          <w:iCs w:val="1"/>
          <w:color w:val="auto"/>
        </w:rPr>
        <w:t>Panancherry et al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Mehta et al</w:t>
      </w:r>
      <w:r>
        <w:rPr>
          <w:rFonts w:ascii="Times New Roman" w:cs="Times New Roman" w:eastAsia="Times New Roman" w:hAnsi="Times New Roman"/>
          <w:sz w:val="18"/>
          <w:szCs w:val="18"/>
          <w:color w:val="auto"/>
        </w:rPr>
        <w:t xml:space="preserve">, 3:23-cv-1554. Following the initial action, Plaintiffs Maria Vomvolakis (3:24-cv-3) and Kelly Fowler (3:24-cv-203) each filed separate stockholder derivative complaints in the District of Connecticut raising similar claims as Panancherry and Bastress, including business torts and violations of the Exchange Act. The cases have been consolidated under the caption </w:t>
      </w:r>
      <w:r>
        <w:rPr>
          <w:rFonts w:ascii="Times New Roman" w:cs="Times New Roman" w:eastAsia="Times New Roman" w:hAnsi="Times New Roman"/>
          <w:sz w:val="18"/>
          <w:szCs w:val="18"/>
          <w:i w:val="1"/>
          <w:iCs w:val="1"/>
          <w:color w:val="auto"/>
        </w:rPr>
        <w:t>In re BioXcel Therapeutics, Inc. Stockholder Derivative Litigation</w:t>
      </w:r>
      <w:r>
        <w:rPr>
          <w:rFonts w:ascii="Times New Roman" w:cs="Times New Roman" w:eastAsia="Times New Roman" w:hAnsi="Times New Roman"/>
          <w:sz w:val="18"/>
          <w:szCs w:val="18"/>
          <w:color w:val="auto"/>
        </w:rPr>
        <w:t xml:space="preserve">, 3:23-cv-1554 (D. Conn.). On October 30, 2025, the Court entered the parties’ joint stipulation staying the consolidated action until the resolution of </w:t>
      </w:r>
      <w:r>
        <w:rPr>
          <w:rFonts w:ascii="Times New Roman" w:cs="Times New Roman" w:eastAsia="Times New Roman" w:hAnsi="Times New Roman"/>
          <w:sz w:val="18"/>
          <w:szCs w:val="18"/>
          <w:i w:val="1"/>
          <w:iCs w:val="1"/>
          <w:color w:val="auto"/>
        </w:rPr>
        <w:t>Hills v. BioXcel et al</w:t>
      </w:r>
      <w:r>
        <w:rPr>
          <w:rFonts w:ascii="Times New Roman" w:cs="Times New Roman" w:eastAsia="Times New Roman" w:hAnsi="Times New Roman"/>
          <w:sz w:val="18"/>
          <w:szCs w:val="18"/>
          <w:color w:val="auto"/>
        </w:rPr>
        <w:t>, 3:23-cv-00915 (D. Conn.).</w:t>
      </w:r>
    </w:p>
    <w:p>
      <w:pPr>
        <w:spacing w:after="0" w:line="154"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January 11, 2024, Plaintiff Jeremy Smith filed a stockholder derivative complaint in the United States District Court for the United States District Court for the District of Delaware purportedly on behalf of the Company and against Vimal Mehta, Peter Mueller, June Bray, Sandeep Laumas, Michael Miller, Michal Votruba, Richard I. Steinhart, Robert Risinger, and Krishnan Nandabalan as Defendants, and the Company as Nominal Defendant under the caption </w:t>
      </w:r>
      <w:r>
        <w:rPr>
          <w:rFonts w:ascii="Times New Roman" w:cs="Times New Roman" w:eastAsia="Times New Roman" w:hAnsi="Times New Roman"/>
          <w:sz w:val="18"/>
          <w:szCs w:val="18"/>
          <w:i w:val="1"/>
          <w:iCs w:val="1"/>
          <w:color w:val="auto"/>
        </w:rPr>
        <w:t>Smith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Mehta et al</w:t>
      </w:r>
      <w:r>
        <w:rPr>
          <w:rFonts w:ascii="Times New Roman" w:cs="Times New Roman" w:eastAsia="Times New Roman" w:hAnsi="Times New Roman"/>
          <w:sz w:val="18"/>
          <w:szCs w:val="18"/>
          <w:color w:val="auto"/>
        </w:rPr>
        <w:t>, 1:24-cv-00041. Following the initial action, Plaintiff Janice Korff filed a stockholder derivative complaint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District of Delaware raising similar claims as Smith (1:24-cv-130), including business torts and violations of the Exchange Act. The cases have been consolidated under the caption </w:t>
      </w:r>
      <w:r>
        <w:rPr>
          <w:rFonts w:ascii="Times New Roman" w:cs="Times New Roman" w:eastAsia="Times New Roman" w:hAnsi="Times New Roman"/>
          <w:sz w:val="18"/>
          <w:szCs w:val="18"/>
          <w:i w:val="1"/>
          <w:iCs w:val="1"/>
          <w:color w:val="auto"/>
        </w:rPr>
        <w:t>In re BioXcel Therapeutics, Inc. Derivative Litigation,</w:t>
      </w:r>
      <w:r>
        <w:rPr>
          <w:rFonts w:ascii="Times New Roman" w:cs="Times New Roman" w:eastAsia="Times New Roman" w:hAnsi="Times New Roman"/>
          <w:sz w:val="18"/>
          <w:szCs w:val="18"/>
          <w:color w:val="auto"/>
        </w:rPr>
        <w:t xml:space="preserve"> 1:24-cv-00041 (D. Del.). On October 30, 2025, the Court entered the parties’ joint stipulation staying the consolidated action until the resolution of </w:t>
      </w:r>
      <w:r>
        <w:rPr>
          <w:rFonts w:ascii="Times New Roman" w:cs="Times New Roman" w:eastAsia="Times New Roman" w:hAnsi="Times New Roman"/>
          <w:sz w:val="18"/>
          <w:szCs w:val="18"/>
          <w:i w:val="1"/>
          <w:iCs w:val="1"/>
          <w:color w:val="auto"/>
        </w:rPr>
        <w:t>Hills v. BioXcel et al</w:t>
      </w:r>
      <w:r>
        <w:rPr>
          <w:rFonts w:ascii="Times New Roman" w:cs="Times New Roman" w:eastAsia="Times New Roman" w:hAnsi="Times New Roman"/>
          <w:sz w:val="18"/>
          <w:szCs w:val="18"/>
          <w:color w:val="auto"/>
        </w:rPr>
        <w:t>, 3:23-cv-00915 (D. Conn.).</w:t>
      </w:r>
    </w:p>
    <w:p>
      <w:pPr>
        <w:spacing w:after="0" w:line="148"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May 7, 2025, Plaintiff Yaakov Portnoy filed a stockholder derivative complaint in the Court of Chancery of the State of Delaware purportedly on behalf of the Company and against Vimal Mehta, Peter Mueller, June Bray, Sandeep “Steve” Laumas, Michael P. Miller, Michal Votruba, Richard I. Steinhart, Robert Risinger, and Krishnan Nandabalan, and the Company as Nominal Defendant under the caption </w:t>
      </w:r>
      <w:r>
        <w:rPr>
          <w:rFonts w:ascii="Times New Roman" w:cs="Times New Roman" w:eastAsia="Times New Roman" w:hAnsi="Times New Roman"/>
          <w:sz w:val="18"/>
          <w:szCs w:val="18"/>
          <w:i w:val="1"/>
          <w:iCs w:val="1"/>
          <w:color w:val="auto"/>
        </w:rPr>
        <w:t>Yaakov Portnoy, derivatively on behalf of BioXcel Therapeutics,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 v. Vimal Mehta, et al</w:t>
      </w:r>
      <w:r>
        <w:rPr>
          <w:rFonts w:ascii="Times New Roman" w:cs="Times New Roman" w:eastAsia="Times New Roman" w:hAnsi="Times New Roman"/>
          <w:sz w:val="18"/>
          <w:szCs w:val="18"/>
          <w:color w:val="auto"/>
        </w:rPr>
        <w:t>, 2025-0508-BWD (Del. Ch.). The complaint alleges similar claims to those raised in</w:t>
      </w:r>
      <w:r>
        <w:rPr>
          <w:rFonts w:ascii="Times New Roman" w:cs="Times New Roman" w:eastAsia="Times New Roman" w:hAnsi="Times New Roman"/>
          <w:sz w:val="18"/>
          <w:szCs w:val="18"/>
          <w:i w:val="1"/>
          <w:iCs w:val="1"/>
          <w:color w:val="auto"/>
        </w:rPr>
        <w:t xml:space="preserve"> In re BioXcel Therapeutics, Inc. Derivative Litigation</w:t>
      </w:r>
      <w:r>
        <w:rPr>
          <w:rFonts w:ascii="Times New Roman" w:cs="Times New Roman" w:eastAsia="Times New Roman" w:hAnsi="Times New Roman"/>
          <w:sz w:val="18"/>
          <w:szCs w:val="18"/>
          <w:color w:val="auto"/>
        </w:rPr>
        <w:t>, 1:24-cv-00041 (D. Del.), including business torts. On January 27,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Court entered the parties’ joint stipulation staying the case until the resolution of </w:t>
      </w:r>
      <w:r>
        <w:rPr>
          <w:rFonts w:ascii="Times New Roman" w:cs="Times New Roman" w:eastAsia="Times New Roman" w:hAnsi="Times New Roman"/>
          <w:sz w:val="18"/>
          <w:szCs w:val="18"/>
          <w:i w:val="1"/>
          <w:iCs w:val="1"/>
          <w:color w:val="auto"/>
        </w:rPr>
        <w:t>Hills v. BioXcel et al</w:t>
      </w:r>
      <w:r>
        <w:rPr>
          <w:rFonts w:ascii="Times New Roman" w:cs="Times New Roman" w:eastAsia="Times New Roman" w:hAnsi="Times New Roman"/>
          <w:sz w:val="18"/>
          <w:szCs w:val="18"/>
          <w:color w:val="auto"/>
        </w:rPr>
        <w:t>, 3:23-cv-00915 (D. Conn.).</w:t>
      </w:r>
    </w:p>
    <w:p>
      <w:pPr>
        <w:spacing w:after="0" w:line="165"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March 20, 2026, Plaintiff Travis Vrana filed a stockholder derivative complaint purportedly on behalf of the Company and against Peter Mueller, June Bray, Sandeep Laumas, David Mack, Vimal Mehta, Michael Miller, Rajiv Patni, Michal Votruba, Richard Steinhart, and Robert Risinger as Defendants, and the Company as Nominal Defendant under the caption </w:t>
      </w:r>
      <w:r>
        <w:rPr>
          <w:rFonts w:ascii="Times New Roman" w:cs="Times New Roman" w:eastAsia="Times New Roman" w:hAnsi="Times New Roman"/>
          <w:sz w:val="18"/>
          <w:szCs w:val="18"/>
          <w:i w:val="1"/>
          <w:iCs w:val="1"/>
          <w:color w:val="auto"/>
        </w:rPr>
        <w:t>Vrana v. Mueller et al</w:t>
      </w:r>
      <w:r>
        <w:rPr>
          <w:rFonts w:ascii="Times New Roman" w:cs="Times New Roman" w:eastAsia="Times New Roman" w:hAnsi="Times New Roman"/>
          <w:sz w:val="18"/>
          <w:szCs w:val="18"/>
          <w:color w:val="auto"/>
        </w:rPr>
        <w:t>, 3:26-cv-00423 (D. Conn.). The complaint alleges two claims for breach of fiduciary duty, aiding and abetting breach of fiduciary duty, false and misleading statements in violation of Sections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10(b) and 14(a) of the Securities Exchange Act of 1934, unjust enrichment, and waste of corporate assets. It is based upon substantially similar facts and circumstances as the other derivative complaints.</w:t>
      </w:r>
    </w:p>
    <w:p>
      <w:pPr>
        <w:spacing w:after="0" w:line="135"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Company is also cooperating with a formal investigation of the Company and certain of its officers and directors by the SEC, relating to the Company’s public disclosures—including about product sales and the receipt of a Form 483 by an investigator at one of the Company’s clinical trial sites in the TRANQUILITY II study, the Company’s technology platform, and study enrollment—and trading in the securities of the Company. The Company has produced documents, and current and former officers and employees of the Company have testified before the SEC. The above-captioned proceedings, as well as any investigation or proceeding that may be instituted by the SEC may result in substantial costs or liabilities, as well as a diversion of management’s attention and resources, which could harm our business, result in a decline in the market price of our common stock and impact our financing efforts.</w:t>
      </w:r>
    </w:p>
    <w:p>
      <w:pPr>
        <w:spacing w:after="0" w:line="151"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The potential costs and liabilities associated with legal proceedings, claims and investigations involving us or members of our leadership team is uncertain, and the results of such legal proceedings, claims and investigations cannot be predicted with certainty. Lawsuits and other administrative or legal proceedings that may arise can involve substantial costs, including the costs associated with investigation, litigation and possible settlement, judgment, penalty or fine. In addition, lawsuits and other legal proceedings may be time consuming to defend or prosecute and may require a commitment of management and personnel resources that will be diverted from our normal business operations. Also, our insurance coverage may be insufficient, our assets may be insufficient to cover any amounts that exceed our insurance coverage, and we may have to pay damage awards or otherwise may enter into settlement arrangements in connection with such claims. Moreover, we may be unable to continue to maintain our existing insurance at a reasonable cost, if at all, or to secure additional coverage, which may result in costs associated with lawsuits and other legal proceedings being uninsured. Any such payments or settlement arrangements in current or future litigation could have a material adverse effect on our business, operating results or financial condition. Even if the plaintiffs’ claims are not successful, current or future litigation could result in substantial costs and significantly and adversely impact our reputation and divert management’s attention and resources, which could have a material adverse effect on our business, operating results and financial condition, and negatively affect the price of our common stock. In addition, such lawsuits may make it more difficult to finance our operations.</w:t>
      </w:r>
    </w:p>
    <w:p>
      <w:pPr>
        <w:spacing w:after="0" w:line="154" w:lineRule="exact"/>
        <w:rPr>
          <w:sz w:val="20"/>
          <w:szCs w:val="20"/>
          <w:color w:val="auto"/>
        </w:rPr>
      </w:pPr>
    </w:p>
    <w:p>
      <w:pPr>
        <w:ind w:left="60" w:right="379" w:firstLine="324"/>
        <w:spacing w:after="0" w:line="258" w:lineRule="auto"/>
        <w:rPr>
          <w:sz w:val="20"/>
          <w:szCs w:val="20"/>
          <w:color w:val="auto"/>
        </w:rPr>
      </w:pPr>
      <w:r>
        <w:rPr>
          <w:rFonts w:ascii="Times New Roman" w:cs="Times New Roman" w:eastAsia="Times New Roman" w:hAnsi="Times New Roman"/>
          <w:sz w:val="18"/>
          <w:szCs w:val="18"/>
          <w:color w:val="auto"/>
        </w:rPr>
        <w:t>Biotechnology and pharmaceutical companies with publicly traded stock or who obtain funding through the stock market often experience significant stock price volatility, based on events beyond their control, including outcomes of clinical trials, actions of regulators and product approvals. Such further litigation, may result in substantial costs and a diversion of management’s attention and resources, which could harm our business and result in a decline in the market price of our common stock.</w:t>
      </w:r>
    </w:p>
    <w:p>
      <w:pPr>
        <w:spacing w:after="0" w:line="152"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our bylaws, and Delaware law may have anti-takeover effects that could discourage, delay, or prevent a change in control, which may cause our stock price to decline.</w:t>
      </w:r>
    </w:p>
    <w:p>
      <w:pPr>
        <w:spacing w:after="0" w:line="118"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our amended and restated bylaws and Delaware law could make it more difficult for a third party to acquire us, even if closing such a transaction would be beneficial to our stockholders. We are authorized to issue up to 10 million shares of preferred stock. This preferred stock may be issued 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 party and thereby preserve control by the present management.</w:t>
      </w:r>
    </w:p>
    <w:p>
      <w:pPr>
        <w:spacing w:after="0" w:line="154" w:lineRule="exact"/>
        <w:rPr>
          <w:sz w:val="20"/>
          <w:szCs w:val="20"/>
          <w:color w:val="auto"/>
        </w:rPr>
      </w:pPr>
    </w:p>
    <w:p>
      <w:pPr>
        <w:ind w:left="60" w:right="439" w:firstLine="324"/>
        <w:spacing w:after="0" w:line="258"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the certificate of incorporation and bylaws and Delaware law, as applicable, among other things: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board of directors with the ability to alter the bylaws without stockholder approval;</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limitations on the removal of directors;</w:t>
      </w:r>
    </w:p>
    <w:p>
      <w:pPr>
        <w:spacing w:after="0" w:line="184"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of directors or for proposing matters that can be acted upon at stockholder meetings; and</w:t>
      </w:r>
    </w:p>
    <w:p>
      <w:pPr>
        <w:spacing w:after="0" w:line="12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of directors may be filled by a majority of directors in office, although less than a quorum.</w:t>
      </w:r>
    </w:p>
    <w:p>
      <w:pPr>
        <w:spacing w:after="0" w:line="131"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Financial reporting obligations of being a public company in the U.S. are expensive and time-consuming, and our management is required to devote substantial time to compliance matters.</w:t>
      </w:r>
    </w:p>
    <w:p>
      <w:pPr>
        <w:spacing w:after="0" w:line="118"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As a publicly traded company we have incurred and will continue to incur significant legal, accounting and other expenses. The obligations of being a public company in the U.S. require significant expenditures and place significant demands on our management and other personnel, including costs resulting from public company reporting obligations under the Exchange Act and the rules and regulations regarding corporate governance practices, including those under the Sarbanes-Oxley Act, the Dodd-Frank Wall Street Reform and Consumer Protection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reforms made possible by the JOBS Act, the reporting requirements, rules, and regulations will make some activities more time-consuming and costly, particularly as we are no longer an “emerging growth company.” In addition, we expect these and similar rules and regulations to make it more difficult and more expensive for us to obtain director and officer liability insurance and we may be required to incur substantial costs to maintain such insurance. Our continued compliance with applicable requirements and to keep pace with new regulations requires management and other personnel to devote a substantial amount of their time, otherwise we may fall out of compliance and risk becoming subject to litigation or being delisted, among other potential problems.</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98"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publish unfavorable research or reports about our business, our stock price and trading volume may decline.</w:t>
      </w:r>
    </w:p>
    <w:p>
      <w:pPr>
        <w:spacing w:after="0" w:line="118"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which has occurred in the past,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144"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rules under the Sarbanes-Oxley Act related to accounting controls and procedures in the future, or, if we discover material weaknesses and other deficiencies in our internal control and accounting procedures, our stock price could decline significantly and raising capital could be more difficult.</w:t>
      </w:r>
    </w:p>
    <w:p>
      <w:pPr>
        <w:spacing w:after="0" w:line="148"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 internal control and accounting procedures, our stock price could decline significantly and raising capital could be more difficult. We have discovered material weaknesses in the past. If future material weaknesses or significant deficiencies are discovered or if we otherwise fail to achieve and maintain the adequacy of our internal control, we may not be 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52"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exposure to additional income tax liabilities could have a material impact on our business, results of operations, financial condition and cash flows.</w:t>
      </w:r>
    </w:p>
    <w:p>
      <w:pPr>
        <w:spacing w:after="0" w:line="159"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The tax regimes we are subject to or operate under, including income and non-income taxes, are unsettled and may be subject to significant change. Changes in tax laws, regulations, or rulings, or changes in interpretations of existing laws and regulations, could materially adversely affect our business, financial condition, results of operations, and prospects. For example, the TCJA, the Coronavirus Aid, Relief and Economic Security Act, and the IRA made many significant changes to the U.S. tax laws. Beginning in 2022, the TCJA requires taxpayers to capitalize and amortize certain research and development expenditures over five years if incurred in the U.S. and 15 years if incurred in foreign jurisdictions, rather than deducting them currently. Although there have been legislative proposals to repeal or defer the research and development expenditure capitalization requirement to later years, there can be no assurance that the provision will be repealed or otherwise modified. As another example, the IRA includes provisions that will impact the U.S. federal income taxation of certain corporations, including imposing a minimum tax on the book income of certain large corporations and a 1% excise tax on the value of certain corporate stock repurchases by publicly traded companies that would be imposed on the company repurchasing such stock. Further, beginning with our 2025 tax year, the OBBBA restored immediate deductibility of domestic expenditures, while foreign expenditures will continue to be capitalized and amortized over 15 years. Regulatory or accounting guidance with respect to existing or future tax laws could materially affect our tax obligations and effective tax rate. It is uncertain if, and to what extent, various states will conform to current federal law or any newly enacted federal tax legislation.</w:t>
      </w:r>
    </w:p>
    <w:p>
      <w:pPr>
        <w:spacing w:after="0" w:line="195"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For example, the One Big Beautiful Bill Act (the “OBBBA”) was signed into law on July 4, 2025 and made significant changes to U.S. federal tax law. Changes to tax laws (which changes may have retroactive application) could adversely affect us or holders of our common stock. We are evaluating the elections available under the OBBBA. Based on our current assessment, we do not expect the changes to Section 174 under the OBBBA to have a material impact on our financial position or results of operations. For example, under Section 174 of the Internal Revenue Code of 1986, as amended (the "Code"),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In recent years, many such changes have been made and changes are likely to continue to occur in the future. 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common stock.</w:t>
      </w:r>
    </w:p>
    <w:p>
      <w:pPr>
        <w:spacing w:after="0" w:line="185"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indirect taxes in various jurisdictions could materially adversely affect our business, financial condition, results of operations, and prospects.</w:t>
      </w:r>
    </w:p>
    <w:p>
      <w:pPr>
        <w:spacing w:after="0" w:line="15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We currently collect and remit applicable indirect taxes in jurisdictions where we, through our employees or economic activity, have a presence and where we have determined, based on applicable legal precedents, that our activities are taxable. We do not currently collect and remit indirect taxes, including state and local excise, utility user, and ad valorem taxes, fees, and surcharges in jurisdictions where we believe we do not have sufficient “nexus.” Tax</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authorities may challenge our position that we do not have sufficient nexus in a taxing jurisdiction or that our activities are not taxable in such jurisdiction and may decide to audit our business and operations with respect to indirect taxes, which could result in significant tax liabilities (including related penalties and interest) for us or our customers, which could materially adversely affect our business, financial condition, results of operations, and prospects.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ind w:left="620" w:hanging="246"/>
        <w:spacing w:after="0"/>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84" w:lineRule="exact"/>
        <w:rPr>
          <w:rFonts w:ascii="Times New Roman" w:cs="Times New Roman" w:eastAsia="Times New Roman" w:hAnsi="Times New Roman"/>
          <w:sz w:val="18"/>
          <w:szCs w:val="18"/>
          <w:color w:val="auto"/>
        </w:rPr>
      </w:pPr>
    </w:p>
    <w:p>
      <w:pPr>
        <w:ind w:left="620" w:hanging="246"/>
        <w:spacing w:after="0"/>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11" w:lineRule="exact"/>
        <w:rPr>
          <w:rFonts w:ascii="Times New Roman" w:cs="Times New Roman" w:eastAsia="Times New Roman" w:hAnsi="Times New Roman"/>
          <w:sz w:val="18"/>
          <w:szCs w:val="18"/>
          <w:color w:val="auto"/>
        </w:rPr>
      </w:pPr>
    </w:p>
    <w:p>
      <w:pPr>
        <w:ind w:left="60" w:right="399" w:firstLine="314"/>
        <w:spacing w:after="0" w:line="266" w:lineRule="auto"/>
        <w:tabs>
          <w:tab w:leader="none" w:pos="63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none of our directors or “officers” (as defined in Rule 16a-1(f) under the Exchange Act)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100" w:type="dxa"/>
            <w:vAlign w:val="bottom"/>
            <w:gridSpan w:val="26"/>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3"/>
                <w:szCs w:val="13"/>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spacing w:after="0"/>
              <w:rPr>
                <w:sz w:val="13"/>
                <w:szCs w:val="13"/>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148"/>
        </w:trPr>
        <w:tc>
          <w:tcPr>
            <w:tcW w:w="680" w:type="dxa"/>
            <w:vAlign w:val="bottom"/>
            <w:vMerge w:val="continue"/>
          </w:tcPr>
          <w:p>
            <w:pPr>
              <w:spacing w:after="0"/>
              <w:rPr>
                <w:sz w:val="12"/>
                <w:szCs w:val="12"/>
                <w:color w:val="auto"/>
              </w:rPr>
            </w:pPr>
          </w:p>
        </w:tc>
        <w:tc>
          <w:tcPr>
            <w:tcW w:w="3100" w:type="dxa"/>
            <w:vAlign w:val="bottom"/>
            <w:gridSpan w:val="26"/>
            <w:vMerge w:val="continue"/>
          </w:tcPr>
          <w:p>
            <w:pPr>
              <w:spacing w:after="0"/>
              <w:rPr>
                <w:sz w:val="12"/>
                <w:szCs w:val="12"/>
                <w:color w:val="auto"/>
              </w:rPr>
            </w:pPr>
          </w:p>
        </w:tc>
        <w:tc>
          <w:tcPr>
            <w:tcW w:w="5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21"/>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40" w:type="dxa"/>
            <w:vAlign w:val="bottom"/>
          </w:tcPr>
          <w:p>
            <w:pPr>
              <w:spacing w:after="0"/>
              <w:rPr>
                <w:sz w:val="15"/>
                <w:szCs w:val="15"/>
                <w:color w:val="auto"/>
              </w:rPr>
            </w:pPr>
          </w:p>
        </w:tc>
        <w:tc>
          <w:tcPr>
            <w:tcW w:w="126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6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4"/>
                <w:szCs w:val="14"/>
                <w:color w:val="auto"/>
              </w:rPr>
            </w:pPr>
          </w:p>
        </w:tc>
        <w:tc>
          <w:tcPr>
            <w:tcW w:w="2960" w:type="dxa"/>
            <w:vAlign w:val="bottom"/>
            <w:tcBorders>
              <w:top w:val="single" w:sz="8" w:color="auto"/>
            </w:tcBorders>
            <w:gridSpan w:val="25"/>
          </w:tcPr>
          <w:p>
            <w:pPr>
              <w:spacing w:after="0" w:line="169"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Amended and Restated Certificate of</w:t>
              </w:r>
            </w:hyperlink>
          </w:p>
        </w:tc>
        <w:tc>
          <w:tcPr>
            <w:tcW w:w="140" w:type="dxa"/>
            <w:vAlign w:val="bottom"/>
          </w:tcPr>
          <w:p>
            <w:pPr>
              <w:spacing w:after="0"/>
              <w:rPr>
                <w:sz w:val="14"/>
                <w:szCs w:val="14"/>
                <w:color w:val="auto"/>
              </w:rPr>
            </w:pPr>
          </w:p>
        </w:tc>
        <w:tc>
          <w:tcPr>
            <w:tcW w:w="3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240" w:type="dxa"/>
            <w:vAlign w:val="bottom"/>
          </w:tcPr>
          <w:p>
            <w:pPr>
              <w:spacing w:after="0"/>
              <w:rPr>
                <w:sz w:val="14"/>
                <w:szCs w:val="14"/>
                <w:color w:val="auto"/>
              </w:rPr>
            </w:pPr>
          </w:p>
        </w:tc>
        <w:tc>
          <w:tcPr>
            <w:tcW w:w="1260" w:type="dxa"/>
            <w:vAlign w:val="bottom"/>
            <w:tcBorders>
              <w:top w:val="single" w:sz="8" w:color="auto"/>
            </w:tcBorders>
          </w:tcPr>
          <w:p>
            <w:pPr>
              <w:jc w:val="right"/>
              <w:ind w:right="159"/>
              <w:spacing w:after="0" w:line="169" w:lineRule="exact"/>
              <w:rPr>
                <w:sz w:val="20"/>
                <w:szCs w:val="20"/>
                <w:color w:val="auto"/>
              </w:rPr>
            </w:pPr>
            <w:r>
              <w:rPr>
                <w:rFonts w:ascii="Times New Roman" w:cs="Times New Roman" w:eastAsia="Times New Roman" w:hAnsi="Times New Roman"/>
                <w:sz w:val="18"/>
                <w:szCs w:val="18"/>
                <w:color w:val="auto"/>
              </w:rPr>
              <w:t>001-38410</w:t>
            </w:r>
          </w:p>
        </w:tc>
        <w:tc>
          <w:tcPr>
            <w:tcW w:w="1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8/10/2021</w:t>
            </w:r>
          </w:p>
        </w:tc>
        <w:tc>
          <w:tcPr>
            <w:tcW w:w="2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56">
              <w:r>
                <w:rPr>
                  <w:rFonts w:ascii="Times New Roman" w:cs="Times New Roman" w:eastAsia="Times New Roman" w:hAnsi="Times New Roman"/>
                  <w:sz w:val="18"/>
                  <w:szCs w:val="18"/>
                  <w:color w:val="0000EE"/>
                  <w:w w:val="98"/>
                </w:rPr>
                <w:t>Incorporation, as amended.</w:t>
              </w:r>
            </w:hyperlink>
          </w:p>
        </w:tc>
        <w:tc>
          <w:tcPr>
            <w:tcW w:w="660" w:type="dxa"/>
            <w:vAlign w:val="bottom"/>
            <w:tcBorders>
              <w:top w:val="single" w:sz="8" w:color="0000EE"/>
            </w:tcBorders>
            <w:gridSpan w:val="11"/>
          </w:tcPr>
          <w:p>
            <w:pPr>
              <w:spacing w:after="0"/>
              <w:rPr>
                <w:sz w:val="17"/>
                <w:szCs w:val="17"/>
                <w:color w:val="auto"/>
              </w:rPr>
            </w:pPr>
          </w:p>
        </w:tc>
        <w:tc>
          <w:tcPr>
            <w:tcW w:w="340" w:type="dxa"/>
            <w:vAlign w:val="bottom"/>
            <w:gridSpan w:val="7"/>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24"/>
                <w:szCs w:val="24"/>
                <w:color w:val="auto"/>
              </w:rPr>
            </w:pPr>
          </w:p>
        </w:tc>
        <w:tc>
          <w:tcPr>
            <w:tcW w:w="28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Certificate of Amendment to Amended</w:t>
              </w:r>
            </w:hyperlink>
          </w:p>
        </w:tc>
        <w:tc>
          <w:tcPr>
            <w:tcW w:w="12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001-38410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6/12/2024</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and Restated Certificate of Incorporation</w:t>
              </w:r>
            </w:hyperlink>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of BioXcel Therapeutics, Inc., as</w:t>
              </w:r>
            </w:hyperlink>
          </w:p>
        </w:tc>
        <w:tc>
          <w:tcPr>
            <w:tcW w:w="580" w:type="dxa"/>
            <w:vAlign w:val="bottom"/>
            <w:gridSpan w:val="12"/>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gridSpan w:val="25"/>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amended, dated June 10, 2024.</w:t>
              </w:r>
            </w:hyperlink>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40" w:type="dxa"/>
            <w:vAlign w:val="bottom"/>
          </w:tcPr>
          <w:p>
            <w:pPr>
              <w:spacing w:after="0"/>
              <w:rPr>
                <w:sz w:val="24"/>
                <w:szCs w:val="24"/>
                <w:color w:val="auto"/>
              </w:rPr>
            </w:pPr>
          </w:p>
        </w:tc>
        <w:tc>
          <w:tcPr>
            <w:tcW w:w="23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Certificate of Amendment to the</w:t>
              </w:r>
            </w:hyperlink>
          </w:p>
        </w:tc>
        <w:tc>
          <w:tcPr>
            <w:tcW w:w="620" w:type="dxa"/>
            <w:vAlign w:val="bottom"/>
            <w:gridSpan w:val="13"/>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001-38410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2/6/2025</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gridSpan w:val="25"/>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Amended and Restated Certificate of</w:t>
              </w:r>
            </w:hyperlink>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Incorporation of BioXcel Therapeutics,</w:t>
              </w:r>
            </w:hyperlink>
          </w:p>
        </w:tc>
        <w:tc>
          <w:tcPr>
            <w:tcW w:w="10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58">
              <w:r>
                <w:rPr>
                  <w:rFonts w:ascii="Times New Roman" w:cs="Times New Roman" w:eastAsia="Times New Roman" w:hAnsi="Times New Roman"/>
                  <w:sz w:val="18"/>
                  <w:szCs w:val="18"/>
                  <w:color w:val="0000EE"/>
                  <w:w w:val="94"/>
                </w:rPr>
                <w:t>Inc.</w:t>
              </w:r>
            </w:hyperlink>
          </w:p>
        </w:tc>
        <w:tc>
          <w:tcPr>
            <w:tcW w:w="2680" w:type="dxa"/>
            <w:vAlign w:val="bottom"/>
            <w:gridSpan w:val="24"/>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40" w:type="dxa"/>
            <w:vAlign w:val="bottom"/>
          </w:tcPr>
          <w:p>
            <w:pPr>
              <w:spacing w:after="0"/>
              <w:rPr>
                <w:sz w:val="24"/>
                <w:szCs w:val="24"/>
                <w:color w:val="auto"/>
              </w:rPr>
            </w:pPr>
          </w:p>
        </w:tc>
        <w:tc>
          <w:tcPr>
            <w:tcW w:w="23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Amended and Restated Bylaws.</w:t>
              </w:r>
            </w:hyperlink>
          </w:p>
        </w:tc>
        <w:tc>
          <w:tcPr>
            <w:tcW w:w="640" w:type="dxa"/>
            <w:vAlign w:val="bottom"/>
            <w:gridSpan w:val="14"/>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001-38410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3/13/2018</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24"/>
                <w:szCs w:val="24"/>
                <w:color w:val="auto"/>
              </w:rPr>
            </w:pPr>
          </w:p>
        </w:tc>
        <w:tc>
          <w:tcPr>
            <w:tcW w:w="28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Form of Accompanying Warrant issued</w:t>
              </w:r>
            </w:hyperlink>
          </w:p>
        </w:tc>
        <w:tc>
          <w:tcPr>
            <w:tcW w:w="10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001-38410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3/11/2026</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March 11, 2026 Equity Distribution</w:t>
              </w:r>
            </w:hyperlink>
          </w:p>
        </w:tc>
        <w:tc>
          <w:tcPr>
            <w:tcW w:w="380" w:type="dxa"/>
            <w:vAlign w:val="bottom"/>
            <w:gridSpan w:val="8"/>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gridSpan w:val="25"/>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Agreement, by and between the</w:t>
              </w:r>
            </w:hyperlink>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Company and Canaccord Genuity LLC</w:t>
              </w:r>
            </w:hyperlink>
          </w:p>
        </w:tc>
        <w:tc>
          <w:tcPr>
            <w:tcW w:w="120" w:type="dxa"/>
            <w:vAlign w:val="bottom"/>
            <w:gridSpan w:val="4"/>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24"/>
                <w:szCs w:val="24"/>
                <w:color w:val="auto"/>
              </w:rPr>
            </w:pPr>
          </w:p>
        </w:tc>
        <w:tc>
          <w:tcPr>
            <w:tcW w:w="2960" w:type="dxa"/>
            <w:vAlign w:val="bottom"/>
            <w:gridSpan w:val="25"/>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Form of Pre-Funded Warrant issued</w:t>
              </w:r>
            </w:hyperlink>
          </w:p>
        </w:tc>
        <w:tc>
          <w:tcPr>
            <w:tcW w:w="14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001-38410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3/11/2026</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161">
              <w:r>
                <w:rPr>
                  <w:rFonts w:ascii="Times New Roman" w:cs="Times New Roman" w:eastAsia="Times New Roman" w:hAnsi="Times New Roman"/>
                  <w:sz w:val="18"/>
                  <w:szCs w:val="18"/>
                  <w:color w:val="0000EE"/>
                  <w:w w:val="97"/>
                </w:rPr>
                <w:t>March 11, 2026</w:t>
              </w:r>
            </w:hyperlink>
          </w:p>
        </w:tc>
        <w:tc>
          <w:tcPr>
            <w:tcW w:w="1440" w:type="dxa"/>
            <w:vAlign w:val="bottom"/>
            <w:tcBorders>
              <w:top w:val="single" w:sz="8" w:color="0000EE"/>
            </w:tcBorders>
            <w:gridSpan w:val="12"/>
          </w:tcPr>
          <w:p>
            <w:pPr>
              <w:spacing w:after="0"/>
              <w:rPr>
                <w:sz w:val="17"/>
                <w:szCs w:val="17"/>
                <w:color w:val="auto"/>
              </w:rPr>
            </w:pPr>
          </w:p>
        </w:tc>
        <w:tc>
          <w:tcPr>
            <w:tcW w:w="380" w:type="dxa"/>
            <w:vAlign w:val="bottom"/>
            <w:gridSpan w:val="8"/>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24"/>
                <w:szCs w:val="24"/>
                <w:color w:val="auto"/>
              </w:rPr>
            </w:pPr>
          </w:p>
        </w:tc>
        <w:tc>
          <w:tcPr>
            <w:tcW w:w="2960" w:type="dxa"/>
            <w:vAlign w:val="bottom"/>
            <w:gridSpan w:val="25"/>
          </w:tcPr>
          <w:p>
            <w:pPr>
              <w:spacing w:after="0"/>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Form of Placement Agent Warrant</w:t>
              </w:r>
            </w:hyperlink>
          </w:p>
        </w:tc>
        <w:tc>
          <w:tcPr>
            <w:tcW w:w="14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001-38410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3/11/2026</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62">
              <w:r>
                <w:rPr>
                  <w:rFonts w:ascii="Times New Roman" w:cs="Times New Roman" w:eastAsia="Times New Roman" w:hAnsi="Times New Roman"/>
                  <w:sz w:val="18"/>
                  <w:szCs w:val="18"/>
                  <w:color w:val="0000EE"/>
                  <w:w w:val="98"/>
                </w:rPr>
                <w:t>issued March 11, 2026</w:t>
              </w:r>
            </w:hyperlink>
          </w:p>
        </w:tc>
        <w:tc>
          <w:tcPr>
            <w:tcW w:w="840" w:type="dxa"/>
            <w:vAlign w:val="bottom"/>
            <w:tcBorders>
              <w:top w:val="single" w:sz="8" w:color="0000EE"/>
            </w:tcBorders>
            <w:gridSpan w:val="9"/>
          </w:tcPr>
          <w:p>
            <w:pPr>
              <w:spacing w:after="0"/>
              <w:rPr>
                <w:sz w:val="17"/>
                <w:szCs w:val="17"/>
                <w:color w:val="auto"/>
              </w:rPr>
            </w:pPr>
          </w:p>
        </w:tc>
        <w:tc>
          <w:tcPr>
            <w:tcW w:w="480" w:type="dxa"/>
            <w:vAlign w:val="bottom"/>
            <w:gridSpan w:val="10"/>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40" w:type="dxa"/>
            <w:vAlign w:val="bottom"/>
          </w:tcPr>
          <w:p>
            <w:pPr>
              <w:spacing w:after="0"/>
              <w:rPr>
                <w:sz w:val="24"/>
                <w:szCs w:val="24"/>
                <w:color w:val="auto"/>
              </w:rPr>
            </w:pPr>
          </w:p>
        </w:tc>
        <w:tc>
          <w:tcPr>
            <w:tcW w:w="29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Form of New Warrant (warrant issued to</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001-38410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4/17/2026</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the Lenders pursuant to the Ninth</w:t>
              </w:r>
            </w:hyperlink>
          </w:p>
        </w:tc>
        <w:tc>
          <w:tcPr>
            <w:tcW w:w="540" w:type="dxa"/>
            <w:vAlign w:val="bottom"/>
            <w:gridSpan w:val="11"/>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Amendment to Credit Agreement and</w:t>
              </w:r>
            </w:hyperlink>
          </w:p>
        </w:tc>
        <w:tc>
          <w:tcPr>
            <w:tcW w:w="240" w:type="dxa"/>
            <w:vAlign w:val="bottom"/>
            <w:gridSpan w:val="6"/>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63">
              <w:r>
                <w:rPr>
                  <w:rFonts w:ascii="Times New Roman" w:cs="Times New Roman" w:eastAsia="Times New Roman" w:hAnsi="Times New Roman"/>
                  <w:sz w:val="18"/>
                  <w:szCs w:val="18"/>
                  <w:color w:val="0000EE"/>
                  <w:w w:val="98"/>
                </w:rPr>
                <w:t>Guaranty)</w:t>
              </w:r>
            </w:hyperlink>
          </w:p>
        </w:tc>
        <w:tc>
          <w:tcPr>
            <w:tcW w:w="2220" w:type="dxa"/>
            <w:vAlign w:val="bottom"/>
            <w:gridSpan w:val="22"/>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40" w:type="dxa"/>
            <w:vAlign w:val="bottom"/>
          </w:tcPr>
          <w:p>
            <w:pPr>
              <w:spacing w:after="0"/>
              <w:rPr>
                <w:sz w:val="24"/>
                <w:szCs w:val="24"/>
                <w:color w:val="auto"/>
              </w:rPr>
            </w:pPr>
          </w:p>
        </w:tc>
        <w:tc>
          <w:tcPr>
            <w:tcW w:w="28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Form of Fourth Amended and Restated</w:t>
              </w:r>
            </w:hyperlink>
          </w:p>
        </w:tc>
        <w:tc>
          <w:tcPr>
            <w:tcW w:w="12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001-38410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4/17/2026</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Registration Rights Agreement, dated as</w:t>
              </w:r>
            </w:hyperlink>
          </w:p>
        </w:tc>
        <w:tc>
          <w:tcPr>
            <w:tcW w:w="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gridSpan w:val="25"/>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of April 15, 2026, by and among the</w:t>
              </w:r>
            </w:hyperlink>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Company and the Lenders party thereto</w:t>
              </w:r>
            </w:hyperlink>
          </w:p>
        </w:tc>
        <w:tc>
          <w:tcPr>
            <w:tcW w:w="10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24"/>
                <w:szCs w:val="24"/>
                <w:color w:val="auto"/>
              </w:rPr>
            </w:pPr>
          </w:p>
        </w:tc>
        <w:tc>
          <w:tcPr>
            <w:tcW w:w="2960" w:type="dxa"/>
            <w:vAlign w:val="bottom"/>
            <w:gridSpan w:val="25"/>
          </w:tcPr>
          <w:p>
            <w:pPr>
              <w:spacing w:after="0"/>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Securities Purchase Agreement, dated as</w:t>
              </w:r>
            </w:hyperlink>
          </w:p>
        </w:tc>
        <w:tc>
          <w:tcPr>
            <w:tcW w:w="14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001-38410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3/11/2026</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of March 10, 2026, between the</w:t>
              </w:r>
            </w:hyperlink>
          </w:p>
        </w:tc>
        <w:tc>
          <w:tcPr>
            <w:tcW w:w="620" w:type="dxa"/>
            <w:vAlign w:val="bottom"/>
            <w:tcBorders>
              <w:top w:val="single" w:sz="8" w:color="0000EE"/>
            </w:tcBorders>
            <w:gridSpan w:val="13"/>
          </w:tcPr>
          <w:p>
            <w:pPr>
              <w:spacing w:after="0"/>
              <w:rPr>
                <w:sz w:val="17"/>
                <w:szCs w:val="17"/>
                <w:color w:val="auto"/>
              </w:rPr>
            </w:pPr>
          </w:p>
        </w:tc>
        <w:tc>
          <w:tcPr>
            <w:tcW w:w="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gridSpan w:val="25"/>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Company and the purchaser party</w:t>
              </w:r>
            </w:hyperlink>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thereto</w:t>
              </w:r>
            </w:hyperlink>
          </w:p>
        </w:tc>
        <w:tc>
          <w:tcPr>
            <w:tcW w:w="540" w:type="dxa"/>
            <w:vAlign w:val="bottom"/>
            <w:gridSpan w:val="11"/>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40" w:type="dxa"/>
            <w:vAlign w:val="bottom"/>
          </w:tcPr>
          <w:p>
            <w:pPr>
              <w:spacing w:after="0"/>
              <w:rPr>
                <w:sz w:val="24"/>
                <w:szCs w:val="24"/>
                <w:color w:val="auto"/>
              </w:rPr>
            </w:pPr>
          </w:p>
        </w:tc>
        <w:tc>
          <w:tcPr>
            <w:tcW w:w="28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8"/>
              </w:rPr>
            </w:pPr>
            <w:hyperlink r:id="rId166">
              <w:r>
                <w:rPr>
                  <w:rFonts w:ascii="Times New Roman" w:cs="Times New Roman" w:eastAsia="Times New Roman" w:hAnsi="Times New Roman"/>
                  <w:sz w:val="18"/>
                  <w:szCs w:val="18"/>
                  <w:color w:val="0000EE"/>
                  <w:w w:val="98"/>
                </w:rPr>
                <w:t>Warrant Amendment Agreement, dated</w:t>
              </w:r>
            </w:hyperlink>
          </w:p>
        </w:tc>
        <w:tc>
          <w:tcPr>
            <w:tcW w:w="12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001-38410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3/11/2026</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gridSpan w:val="25"/>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as of March 10, 2026, between the</w:t>
              </w:r>
            </w:hyperlink>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520" w:type="dxa"/>
            <w:vAlign w:val="bottom"/>
            <w:gridSpan w:val="11"/>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gridSpan w:val="25"/>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Company and the Purchaser named</w:t>
              </w:r>
            </w:hyperlink>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therein</w:t>
              </w:r>
            </w:hyperlink>
          </w:p>
        </w:tc>
        <w:tc>
          <w:tcPr>
            <w:tcW w:w="420" w:type="dxa"/>
            <w:vAlign w:val="bottom"/>
            <w:gridSpan w:val="9"/>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760" w:type="dxa"/>
            <w:vAlign w:val="bottom"/>
            <w:gridSpan w:val="1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40" w:type="dxa"/>
            <w:vAlign w:val="bottom"/>
          </w:tcPr>
          <w:p>
            <w:pPr>
              <w:spacing w:after="0"/>
              <w:rPr>
                <w:sz w:val="24"/>
                <w:szCs w:val="24"/>
                <w:color w:val="auto"/>
              </w:rPr>
            </w:pPr>
          </w:p>
        </w:tc>
        <w:tc>
          <w:tcPr>
            <w:tcW w:w="28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Equity Distribution Agreement, by and</w:t>
              </w:r>
            </w:hyperlink>
          </w:p>
        </w:tc>
        <w:tc>
          <w:tcPr>
            <w:tcW w:w="14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001-38410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4/3/2025</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gridSpan w:val="25"/>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between the Company and Canaccord</w:t>
              </w:r>
            </w:hyperlink>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Genuity LLC</w:t>
              </w:r>
            </w:hyperlink>
          </w:p>
        </w:tc>
        <w:tc>
          <w:tcPr>
            <w:tcW w:w="240" w:type="dxa"/>
            <w:vAlign w:val="bottom"/>
            <w:gridSpan w:val="6"/>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7" w:name="page138"/>
    <w:bookmarkEnd w:id="1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10.5</w:t>
            </w:r>
          </w:p>
        </w:tc>
        <w:tc>
          <w:tcPr>
            <w:tcW w:w="3700" w:type="dxa"/>
            <w:vAlign w:val="bottom"/>
            <w:gridSpan w:val="13"/>
          </w:tcPr>
          <w:p>
            <w:pPr>
              <w:spacing w:after="0"/>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 xml:space="preserve">Ninth Amendment to Credit Agreement   </w:t>
              </w:r>
            </w:hyperlink>
            <w:r>
              <w:rPr>
                <w:rFonts w:ascii="Times New Roman" w:cs="Times New Roman" w:eastAsia="Times New Roman" w:hAnsi="Times New Roman"/>
                <w:sz w:val="18"/>
                <w:szCs w:val="18"/>
                <w:color w:val="000000"/>
              </w:rPr>
              <w:t>10-K</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001-38410</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10.22.9</w:t>
            </w:r>
          </w:p>
        </w:tc>
        <w:tc>
          <w:tcPr>
            <w:tcW w:w="18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3/27/2026</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r:id="rId169">
              <w:r>
                <w:rPr>
                  <w:rFonts w:ascii="Times New Roman" w:cs="Times New Roman" w:eastAsia="Times New Roman" w:hAnsi="Times New Roman"/>
                  <w:sz w:val="18"/>
                  <w:szCs w:val="18"/>
                  <w:color w:val="0000EE"/>
                  <w:w w:val="95"/>
                </w:rPr>
                <w:t>and Guaranty, dated as of March 27,</w:t>
              </w:r>
            </w:hyperlink>
          </w:p>
        </w:tc>
        <w:tc>
          <w:tcPr>
            <w:tcW w:w="300" w:type="dxa"/>
            <w:vAlign w:val="bottom"/>
            <w:tcBorders>
              <w:top w:val="single" w:sz="8" w:color="0000EE"/>
            </w:tcBorders>
            <w:gridSpan w:val="6"/>
          </w:tcPr>
          <w:p>
            <w:pPr>
              <w:spacing w:after="0"/>
              <w:rPr>
                <w:sz w:val="17"/>
                <w:szCs w:val="17"/>
                <w:color w:val="auto"/>
              </w:rPr>
            </w:pPr>
          </w:p>
        </w:tc>
        <w:tc>
          <w:tcPr>
            <w:tcW w:w="840" w:type="dxa"/>
            <w:vAlign w:val="bottom"/>
            <w:gridSpan w:val="4"/>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7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69">
              <w:r>
                <w:rPr>
                  <w:rFonts w:ascii="Times New Roman" w:cs="Times New Roman" w:eastAsia="Times New Roman" w:hAnsi="Times New Roman"/>
                  <w:sz w:val="18"/>
                  <w:szCs w:val="18"/>
                  <w:color w:val="0000EE"/>
                  <w:w w:val="98"/>
                </w:rPr>
                <w:t>2026, by and among the Company, the</w:t>
              </w:r>
            </w:hyperlink>
          </w:p>
        </w:tc>
        <w:tc>
          <w:tcPr>
            <w:tcW w:w="920" w:type="dxa"/>
            <w:vAlign w:val="bottom"/>
            <w:gridSpan w:val="7"/>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8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lenders party thereto and Oaktree Fund</w:t>
              </w:r>
            </w:hyperlink>
          </w:p>
        </w:tc>
        <w:tc>
          <w:tcPr>
            <w:tcW w:w="880" w:type="dxa"/>
            <w:vAlign w:val="bottom"/>
            <w:gridSpan w:val="6"/>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8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Administration, LLC, as administrative</w:t>
              </w:r>
            </w:hyperlink>
          </w:p>
        </w:tc>
        <w:tc>
          <w:tcPr>
            <w:tcW w:w="860" w:type="dxa"/>
            <w:vAlign w:val="bottom"/>
            <w:gridSpan w:val="5"/>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69">
              <w:r>
                <w:rPr>
                  <w:rFonts w:ascii="Times New Roman" w:cs="Times New Roman" w:eastAsia="Times New Roman" w:hAnsi="Times New Roman"/>
                  <w:sz w:val="18"/>
                  <w:szCs w:val="18"/>
                  <w:color w:val="0000EE"/>
                  <w:w w:val="97"/>
                </w:rPr>
                <w:t>agent</w:t>
              </w:r>
            </w:hyperlink>
          </w:p>
        </w:tc>
        <w:tc>
          <w:tcPr>
            <w:tcW w:w="3300" w:type="dxa"/>
            <w:vAlign w:val="bottom"/>
            <w:gridSpan w:val="12"/>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31.1</w:t>
            </w:r>
          </w:p>
        </w:tc>
        <w:tc>
          <w:tcPr>
            <w:tcW w:w="37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Principal Executive</w:t>
            </w: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9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9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Officer Pursuant to Rules 13a-14(a) and</w:t>
            </w:r>
          </w:p>
        </w:tc>
        <w:tc>
          <w:tcPr>
            <w:tcW w:w="80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9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15d-14(a) under the Securities Exchange</w:t>
            </w: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Act of 1934, as Adopted Pursuant to</w:t>
            </w: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9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8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w:t>
            </w:r>
          </w:p>
        </w:tc>
        <w:tc>
          <w:tcPr>
            <w:tcW w:w="880" w:type="dxa"/>
            <w:vAlign w:val="bottom"/>
            <w:gridSpan w:val="6"/>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vMerge w:val="restart"/>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344"/>
        </w:trPr>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31.2</w:t>
            </w:r>
          </w:p>
        </w:tc>
        <w:tc>
          <w:tcPr>
            <w:tcW w:w="25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 of Principal Financial</w:t>
            </w:r>
          </w:p>
        </w:tc>
        <w:tc>
          <w:tcPr>
            <w:tcW w:w="1140" w:type="dxa"/>
            <w:vAlign w:val="bottom"/>
            <w:gridSpan w:val="10"/>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9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Officer Pursuant to Rules 13a-14(a) and</w:t>
            </w:r>
          </w:p>
        </w:tc>
        <w:tc>
          <w:tcPr>
            <w:tcW w:w="80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9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15d-14(a) under the Securities Exchange</w:t>
            </w: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Act of 1934, as Adopted Pursuant to</w:t>
            </w: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5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8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w:t>
            </w:r>
          </w:p>
        </w:tc>
        <w:tc>
          <w:tcPr>
            <w:tcW w:w="880" w:type="dxa"/>
            <w:vAlign w:val="bottom"/>
            <w:gridSpan w:val="6"/>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vMerge w:val="restart"/>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line="20" w:lineRule="exact"/>
              <w:rPr>
                <w:sz w:val="1"/>
                <w:szCs w:val="1"/>
                <w:color w:val="auto"/>
              </w:rPr>
            </w:pPr>
          </w:p>
        </w:tc>
      </w:tr>
      <w:tr>
        <w:trPr>
          <w:trHeight w:val="345"/>
        </w:trPr>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32.1</w:t>
            </w:r>
          </w:p>
        </w:tc>
        <w:tc>
          <w:tcPr>
            <w:tcW w:w="37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Principal Executive</w:t>
            </w: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5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7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Officer Pursuant to 18 U.S.C. Section</w:t>
            </w:r>
          </w:p>
        </w:tc>
        <w:tc>
          <w:tcPr>
            <w:tcW w:w="960" w:type="dxa"/>
            <w:vAlign w:val="bottom"/>
            <w:gridSpan w:val="8"/>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7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1350, as Adopted Pursuant to Section</w:t>
            </w:r>
          </w:p>
        </w:tc>
        <w:tc>
          <w:tcPr>
            <w:tcW w:w="980" w:type="dxa"/>
            <w:vAlign w:val="bottom"/>
            <w:gridSpan w:val="9"/>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8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906 of the Sarbanes-Oxley Act of 2002.</w:t>
            </w:r>
          </w:p>
        </w:tc>
        <w:tc>
          <w:tcPr>
            <w:tcW w:w="820" w:type="dxa"/>
            <w:vAlign w:val="bottom"/>
            <w:gridSpan w:val="3"/>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32.2</w:t>
            </w:r>
          </w:p>
        </w:tc>
        <w:tc>
          <w:tcPr>
            <w:tcW w:w="25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 of Principal Financial</w:t>
            </w:r>
          </w:p>
        </w:tc>
        <w:tc>
          <w:tcPr>
            <w:tcW w:w="1140" w:type="dxa"/>
            <w:vAlign w:val="bottom"/>
            <w:gridSpan w:val="10"/>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7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Officer Pursuant to 18 U.S.C. Section</w:t>
            </w:r>
          </w:p>
        </w:tc>
        <w:tc>
          <w:tcPr>
            <w:tcW w:w="960" w:type="dxa"/>
            <w:vAlign w:val="bottom"/>
            <w:gridSpan w:val="8"/>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7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1350, as Adopted Pursuant to Section</w:t>
            </w:r>
          </w:p>
        </w:tc>
        <w:tc>
          <w:tcPr>
            <w:tcW w:w="980" w:type="dxa"/>
            <w:vAlign w:val="bottom"/>
            <w:gridSpan w:val="9"/>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8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906 of the Sarbanes-Oxley Act of 2002.</w:t>
            </w:r>
          </w:p>
        </w:tc>
        <w:tc>
          <w:tcPr>
            <w:tcW w:w="820" w:type="dxa"/>
            <w:vAlign w:val="bottom"/>
            <w:gridSpan w:val="3"/>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101.INS</w:t>
            </w:r>
          </w:p>
        </w:tc>
        <w:tc>
          <w:tcPr>
            <w:tcW w:w="3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ind w:left="860" w:right="5279" w:firstLine="1"/>
        <w:spacing w:after="0" w:line="253" w:lineRule="auto"/>
        <w:tabs>
          <w:tab w:leader="none" w:pos="96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 document</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5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760" w:type="dxa"/>
            <w:vAlign w:val="bottom"/>
          </w:tcPr>
          <w:p>
            <w:pPr>
              <w:spacing w:after="0"/>
              <w:rPr>
                <w:sz w:val="20"/>
                <w:szCs w:val="20"/>
                <w:color w:val="auto"/>
              </w:rPr>
            </w:pP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Schema Document</w:t>
            </w:r>
          </w:p>
        </w:tc>
        <w:tc>
          <w:tcPr>
            <w:tcW w:w="5020" w:type="dxa"/>
            <w:vAlign w:val="bottom"/>
          </w:tcPr>
          <w:p>
            <w:pPr>
              <w:spacing w:after="0"/>
              <w:rPr>
                <w:sz w:val="20"/>
                <w:szCs w:val="20"/>
                <w:color w:val="auto"/>
              </w:rPr>
            </w:pPr>
          </w:p>
        </w:tc>
      </w:tr>
      <w:tr>
        <w:trPr>
          <w:trHeight w:val="346"/>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5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760" w:type="dxa"/>
            <w:vAlign w:val="bottom"/>
          </w:tcPr>
          <w:p>
            <w:pPr>
              <w:spacing w:after="0"/>
              <w:rPr>
                <w:sz w:val="20"/>
                <w:szCs w:val="20"/>
                <w:color w:val="auto"/>
              </w:rPr>
            </w:pP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Calculation Linkbase Document</w:t>
            </w:r>
          </w:p>
        </w:tc>
        <w:tc>
          <w:tcPr>
            <w:tcW w:w="5020" w:type="dxa"/>
            <w:vAlign w:val="bottom"/>
          </w:tcPr>
          <w:p>
            <w:pPr>
              <w:spacing w:after="0"/>
              <w:rPr>
                <w:sz w:val="20"/>
                <w:szCs w:val="20"/>
                <w:color w:val="auto"/>
              </w:rPr>
            </w:pPr>
          </w:p>
        </w:tc>
      </w:tr>
      <w:tr>
        <w:trPr>
          <w:trHeight w:val="346"/>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5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760" w:type="dxa"/>
            <w:vAlign w:val="bottom"/>
          </w:tcPr>
          <w:p>
            <w:pPr>
              <w:spacing w:after="0"/>
              <w:rPr>
                <w:sz w:val="20"/>
                <w:szCs w:val="20"/>
                <w:color w:val="auto"/>
              </w:rPr>
            </w:pP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Definition Linkbase Document</w:t>
            </w:r>
          </w:p>
        </w:tc>
        <w:tc>
          <w:tcPr>
            <w:tcW w:w="5020" w:type="dxa"/>
            <w:vAlign w:val="bottom"/>
          </w:tcPr>
          <w:p>
            <w:pPr>
              <w:spacing w:after="0"/>
              <w:rPr>
                <w:sz w:val="20"/>
                <w:szCs w:val="20"/>
                <w:color w:val="auto"/>
              </w:rPr>
            </w:pPr>
          </w:p>
        </w:tc>
      </w:tr>
      <w:tr>
        <w:trPr>
          <w:trHeight w:val="346"/>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5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760" w:type="dxa"/>
            <w:vAlign w:val="bottom"/>
          </w:tcPr>
          <w:p>
            <w:pPr>
              <w:spacing w:after="0"/>
              <w:rPr>
                <w:sz w:val="20"/>
                <w:szCs w:val="20"/>
                <w:color w:val="auto"/>
              </w:rPr>
            </w:pP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Label Linkbase Document</w:t>
            </w:r>
          </w:p>
        </w:tc>
        <w:tc>
          <w:tcPr>
            <w:tcW w:w="5020" w:type="dxa"/>
            <w:vAlign w:val="bottom"/>
          </w:tcPr>
          <w:p>
            <w:pPr>
              <w:spacing w:after="0"/>
              <w:rPr>
                <w:sz w:val="20"/>
                <w:szCs w:val="20"/>
                <w:color w:val="auto"/>
              </w:rPr>
            </w:pPr>
          </w:p>
        </w:tc>
      </w:tr>
      <w:tr>
        <w:trPr>
          <w:trHeight w:val="346"/>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50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60" w:type="dxa"/>
            <w:vAlign w:val="bottom"/>
          </w:tcPr>
          <w:p>
            <w:pPr>
              <w:spacing w:after="0"/>
              <w:rPr>
                <w:sz w:val="20"/>
                <w:szCs w:val="20"/>
                <w:color w:val="auto"/>
              </w:rPr>
            </w:pP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5020" w:type="dxa"/>
            <w:vAlign w:val="bottom"/>
          </w:tcPr>
          <w:p>
            <w:pPr>
              <w:spacing w:after="0"/>
              <w:rPr>
                <w:sz w:val="20"/>
                <w:szCs w:val="20"/>
                <w:color w:val="auto"/>
              </w:rPr>
            </w:pPr>
          </w:p>
        </w:tc>
      </w:tr>
      <w:tr>
        <w:trPr>
          <w:trHeight w:val="796"/>
        </w:trPr>
        <w:tc>
          <w:tcPr>
            <w:tcW w:w="7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020" w:type="dxa"/>
            <w:vAlign w:val="bottom"/>
          </w:tcPr>
          <w:p>
            <w:pPr>
              <w:jc w:val="right"/>
              <w:ind w:right="4190"/>
              <w:spacing w:after="0"/>
              <w:rPr>
                <w:sz w:val="20"/>
                <w:szCs w:val="20"/>
                <w:color w:val="auto"/>
              </w:rPr>
            </w:pPr>
            <w:r>
              <w:rPr>
                <w:rFonts w:ascii="Times New Roman" w:cs="Times New Roman" w:eastAsia="Times New Roman" w:hAnsi="Times New Roman"/>
                <w:sz w:val="18"/>
                <w:szCs w:val="18"/>
                <w:color w:val="auto"/>
              </w:rPr>
              <w:t>138</w:t>
            </w:r>
          </w:p>
        </w:tc>
      </w:tr>
      <w:tr>
        <w:trPr>
          <w:trHeight w:val="561"/>
        </w:trPr>
        <w:tc>
          <w:tcPr>
            <w:tcW w:w="7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38" w:name="page139"/>
    <w:bookmarkEnd w:id="1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60" w:right="599" w:hanging="599"/>
        <w:spacing w:after="0" w:line="263" w:lineRule="auto"/>
        <w:tabs>
          <w:tab w:leader="none" w:pos="8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 xml:space="preserve">Cover Page Interactive Data File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(formatted as Inline XBRL and</w:t>
      </w:r>
    </w:p>
    <w:p>
      <w:pPr>
        <w:spacing w:after="0" w:line="22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74295</wp:posOffset>
            </wp:positionV>
            <wp:extent cx="1405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27" w:lineRule="exact"/>
        <w:rPr>
          <w:sz w:val="20"/>
          <w:szCs w:val="20"/>
          <w:color w:val="auto"/>
        </w:rPr>
      </w:pPr>
    </w:p>
    <w:p>
      <w:pPr>
        <w:ind w:left="380" w:hanging="330"/>
        <w:spacing w:after="0"/>
        <w:tabs>
          <w:tab w:leader="none" w:pos="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9" w:name="page140"/>
    <w:bookmarkEnd w:id="1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BioXcel Therapeutics, Inc.</w:t>
            </w:r>
          </w:p>
        </w:tc>
      </w:tr>
      <w:tr>
        <w:trPr>
          <w:trHeight w:val="41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Dated: May 15, 2026</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440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Vimal Mehta</w:t>
            </w:r>
          </w:p>
        </w:tc>
      </w:tr>
      <w:tr>
        <w:trPr>
          <w:trHeight w:val="191"/>
        </w:trPr>
        <w:tc>
          <w:tcPr>
            <w:tcW w:w="4400" w:type="dxa"/>
            <w:vAlign w:val="bottom"/>
          </w:tcPr>
          <w:p>
            <w:pPr>
              <w:spacing w:after="0"/>
              <w:rPr>
                <w:sz w:val="16"/>
                <w:szCs w:val="16"/>
                <w:color w:val="auto"/>
              </w:rPr>
            </w:pP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Vimal Mehta</w:t>
            </w:r>
          </w:p>
        </w:tc>
      </w:tr>
      <w:tr>
        <w:trPr>
          <w:trHeight w:val="214"/>
        </w:trPr>
        <w:tc>
          <w:tcPr>
            <w:tcW w:w="44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6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Dated: May 15, 2026</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440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Steinhart</w:t>
            </w:r>
          </w:p>
        </w:tc>
      </w:tr>
      <w:tr>
        <w:trPr>
          <w:trHeight w:val="191"/>
        </w:trPr>
        <w:tc>
          <w:tcPr>
            <w:tcW w:w="4400" w:type="dxa"/>
            <w:vAlign w:val="bottom"/>
          </w:tcPr>
          <w:p>
            <w:pPr>
              <w:spacing w:after="0"/>
              <w:rPr>
                <w:sz w:val="16"/>
                <w:szCs w:val="16"/>
                <w:color w:val="auto"/>
              </w:rPr>
            </w:pP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Steinhart</w:t>
            </w:r>
          </w:p>
        </w:tc>
      </w:tr>
      <w:tr>
        <w:trPr>
          <w:trHeight w:val="214"/>
        </w:trPr>
        <w:tc>
          <w:tcPr>
            <w:tcW w:w="44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0" w:name="page141"/>
    <w:bookmarkEnd w:id="140"/>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Vimal Mehta, Ph.D., certify that:</w:t>
      </w:r>
    </w:p>
    <w:p>
      <w:pPr>
        <w:spacing w:after="0" w:line="360" w:lineRule="exact"/>
        <w:rPr>
          <w:sz w:val="20"/>
          <w:szCs w:val="20"/>
          <w:color w:val="auto"/>
        </w:rPr>
      </w:pPr>
    </w:p>
    <w:p>
      <w:pPr>
        <w:ind w:left="540" w:right="459" w:hanging="331"/>
        <w:spacing w:after="0" w:line="282"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2026 of BioXcel Therapeutics, Inc.;</w:t>
      </w:r>
    </w:p>
    <w:p>
      <w:pPr>
        <w:spacing w:after="0" w:line="134" w:lineRule="exact"/>
        <w:rPr>
          <w:rFonts w:ascii="Times New Roman" w:cs="Times New Roman" w:eastAsia="Times New Roman" w:hAnsi="Times New Roman"/>
          <w:sz w:val="18"/>
          <w:szCs w:val="18"/>
          <w:color w:val="auto"/>
        </w:rPr>
      </w:pPr>
    </w:p>
    <w:p>
      <w:pPr>
        <w:ind w:left="540" w:right="459" w:hanging="331"/>
        <w:spacing w:after="0" w:line="266"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40" w:right="359" w:hanging="331"/>
        <w:spacing w:after="0" w:line="266"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540" w:right="379" w:hanging="331"/>
        <w:spacing w:after="0" w:line="266"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Times New Roman" w:cs="Times New Roman" w:eastAsia="Times New Roman" w:hAnsi="Times New Roman"/>
          <w:sz w:val="18"/>
          <w:szCs w:val="18"/>
          <w:color w:val="auto"/>
        </w:rPr>
      </w:pPr>
    </w:p>
    <w:p>
      <w:pPr>
        <w:ind w:left="1180" w:right="339" w:hanging="323"/>
        <w:spacing w:after="0" w:line="266" w:lineRule="auto"/>
        <w:tabs>
          <w:tab w:leader="none" w:pos="11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180" w:right="279" w:hanging="323"/>
        <w:spacing w:after="0" w:line="261" w:lineRule="auto"/>
        <w:tabs>
          <w:tab w:leader="none" w:pos="11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540" w:right="539" w:hanging="331"/>
        <w:spacing w:after="0" w:line="266"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1180" w:right="479" w:hanging="323"/>
        <w:spacing w:after="0" w:line="266" w:lineRule="auto"/>
        <w:tabs>
          <w:tab w:leader="none" w:pos="11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180" w:right="259" w:hanging="323"/>
        <w:spacing w:after="0" w:line="282" w:lineRule="auto"/>
        <w:tabs>
          <w:tab w:leader="none" w:pos="11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5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By:   /s/ Vimal Mehta</w:t>
            </w:r>
          </w:p>
        </w:tc>
      </w:tr>
      <w:tr>
        <w:trPr>
          <w:trHeight w:val="191"/>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Vimal Mehta, Ph.D.</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41" w:name="page142"/>
    <w:bookmarkEnd w:id="141"/>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Richard Steinhart, certify that:</w:t>
      </w:r>
    </w:p>
    <w:p>
      <w:pPr>
        <w:spacing w:after="0" w:line="360" w:lineRule="exact"/>
        <w:rPr>
          <w:sz w:val="20"/>
          <w:szCs w:val="20"/>
          <w:color w:val="auto"/>
        </w:rPr>
      </w:pPr>
    </w:p>
    <w:p>
      <w:pPr>
        <w:ind w:left="540" w:right="459" w:hanging="331"/>
        <w:spacing w:after="0" w:line="282"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2026 of BioXcel Therapeutics, Inc.;</w:t>
      </w:r>
    </w:p>
    <w:p>
      <w:pPr>
        <w:spacing w:after="0" w:line="134" w:lineRule="exact"/>
        <w:rPr>
          <w:rFonts w:ascii="Times New Roman" w:cs="Times New Roman" w:eastAsia="Times New Roman" w:hAnsi="Times New Roman"/>
          <w:sz w:val="18"/>
          <w:szCs w:val="18"/>
          <w:color w:val="auto"/>
        </w:rPr>
      </w:pPr>
    </w:p>
    <w:p>
      <w:pPr>
        <w:ind w:left="540" w:right="459" w:hanging="331"/>
        <w:spacing w:after="0" w:line="266"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40" w:right="359" w:hanging="331"/>
        <w:spacing w:after="0" w:line="266"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40" w:right="379" w:hanging="331"/>
        <w:spacing w:after="0" w:line="266"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Times New Roman" w:cs="Times New Roman" w:eastAsia="Times New Roman" w:hAnsi="Times New Roman"/>
          <w:sz w:val="18"/>
          <w:szCs w:val="18"/>
          <w:color w:val="auto"/>
        </w:rPr>
      </w:pPr>
    </w:p>
    <w:p>
      <w:pPr>
        <w:ind w:left="1180" w:right="339" w:hanging="323"/>
        <w:spacing w:after="0" w:line="266" w:lineRule="auto"/>
        <w:tabs>
          <w:tab w:leader="none" w:pos="11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180" w:right="279" w:hanging="323"/>
        <w:spacing w:after="0" w:line="261" w:lineRule="auto"/>
        <w:tabs>
          <w:tab w:leader="none" w:pos="11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540" w:right="539" w:hanging="331"/>
        <w:spacing w:after="0" w:line="266"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1180" w:right="479" w:hanging="323"/>
        <w:spacing w:after="0" w:line="266" w:lineRule="auto"/>
        <w:tabs>
          <w:tab w:leader="none" w:pos="11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180" w:right="259" w:hanging="323"/>
        <w:spacing w:after="0" w:line="282" w:lineRule="auto"/>
        <w:tabs>
          <w:tab w:leader="none" w:pos="11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5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By: /s/ Richard Steinhart</w:t>
            </w:r>
          </w:p>
        </w:tc>
      </w:tr>
      <w:tr>
        <w:trPr>
          <w:trHeight w:val="191"/>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Richard Steinhart</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63"/>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42" w:name="page143"/>
    <w:bookmarkEnd w:id="142"/>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right="37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BioXcel Therapeutics, Inc. (the “Company”) for the quarterly period ended March 31, 2026,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80" w:lineRule="exact"/>
        <w:rPr>
          <w:sz w:val="20"/>
          <w:szCs w:val="20"/>
          <w:color w:val="auto"/>
        </w:rPr>
      </w:pPr>
    </w:p>
    <w:p>
      <w:pPr>
        <w:ind w:left="1180" w:right="759" w:hanging="323"/>
        <w:spacing w:after="0" w:line="282" w:lineRule="auto"/>
        <w:tabs>
          <w:tab w:leader="none" w:pos="1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180" w:right="499" w:hanging="323"/>
        <w:spacing w:after="0" w:line="282" w:lineRule="auto"/>
        <w:tabs>
          <w:tab w:leader="none" w:pos="1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582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By:  /s/ Vimal Mehta</w:t>
            </w:r>
          </w:p>
        </w:tc>
      </w:tr>
      <w:tr>
        <w:trPr>
          <w:trHeight w:val="191"/>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Vimal Mehta, Ph.D.</w:t>
            </w: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63"/>
        </w:trPr>
        <w:tc>
          <w:tcPr>
            <w:tcW w:w="20" w:type="dxa"/>
            <w:vAlign w:val="bottom"/>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43" w:name="page144"/>
    <w:bookmarkEnd w:id="143"/>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right="37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BioXcel Therapeutics, Inc. (the “Company”) for the quarterly period ended March 31, 2026,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80" w:lineRule="exact"/>
        <w:rPr>
          <w:sz w:val="20"/>
          <w:szCs w:val="20"/>
          <w:color w:val="auto"/>
        </w:rPr>
      </w:pPr>
    </w:p>
    <w:p>
      <w:pPr>
        <w:ind w:left="1180" w:right="759" w:hanging="323"/>
        <w:spacing w:after="0" w:line="282" w:lineRule="auto"/>
        <w:tabs>
          <w:tab w:leader="none" w:pos="11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180" w:right="499" w:hanging="323"/>
        <w:spacing w:after="0" w:line="282" w:lineRule="auto"/>
        <w:tabs>
          <w:tab w:leader="none" w:pos="11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5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By: /s/ Richard Steinhart</w:t>
            </w:r>
          </w:p>
        </w:tc>
      </w:tr>
      <w:tr>
        <w:trPr>
          <w:trHeight w:val="191"/>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Richard Steinhart</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63"/>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1)"/>
      <w:numFmt w:val="lowerRoman"/>
      <w:start w:val="1"/>
    </w:lvl>
  </w:abstractNum>
  <w:abstractNum w:abstractNumId="10">
    <w:nsid w:val="51EAD36B"/>
    <w:multiLevelType w:val="hybridMultilevel"/>
    <w:lvl w:ilvl="0">
      <w:lvlJc w:val="left"/>
      <w:lvlText w:val="(%1)"/>
      <w:numFmt w:val="lowerRoman"/>
      <w:start w:val="2"/>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lvl w:ilvl="1">
      <w:lvlJc w:val="left"/>
      <w:lvlText w:val="●"/>
      <w:numFmt w:val="bullet"/>
      <w:start w:val="1"/>
    </w:lvl>
  </w:abstractNum>
  <w:abstractNum w:abstractNumId="16">
    <w:nsid w:val="6A2342EC"/>
    <w:multiLevelType w:val="hybridMultilevel"/>
    <w:lvl w:ilvl="0">
      <w:lvlJc w:val="left"/>
      <w:lvlText w:val="1"/>
      <w:numFmt w:val="bullet"/>
      <w:start w:val="1"/>
    </w:lvl>
  </w:abstractNum>
  <w:abstractNum w:abstractNumId="17">
    <w:nsid w:val="2A487CB0"/>
    <w:multiLevelType w:val="hybridMultilevel"/>
    <w:lvl w:ilvl="0">
      <w:lvlJc w:val="left"/>
      <w:lvlText w:val="2"/>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1)"/>
      <w:numFmt w:val="lowerRoman"/>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1"/>
      <w:numFmt w:val="upperLetter"/>
      <w:start w:val="35"/>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
      <w:numFmt w:val="bullet"/>
      <w:start w:val="1"/>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
      <w:numFmt w:val="bullet"/>
      <w:start w:val="1"/>
    </w:lvl>
  </w:abstractNum>
  <w:abstractNum w:abstractNumId="56">
    <w:nsid w:val="7E0C57B1"/>
    <w:multiLevelType w:val="hybridMultilevel"/>
    <w:lvl w:ilvl="0">
      <w:lvlJc w:val="left"/>
      <w:lvlText w:val="●"/>
      <w:numFmt w:val="bullet"/>
      <w:start w:val="1"/>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
      <w:numFmt w:val="bullet"/>
      <w:start w:val="1"/>
    </w:lvl>
  </w:abstractNum>
  <w:abstractNum w:abstractNumId="59">
    <w:nsid w:val="310C50B3"/>
    <w:multiLevelType w:val="hybridMultilevel"/>
    <w:lvl w:ilvl="0">
      <w:lvlJc w:val="left"/>
      <w:lvlText w:val="(%1)"/>
      <w:numFmt w:val="decimal"/>
      <w:start w:val="1"/>
    </w:lvl>
  </w:abstractNum>
  <w:abstractNum w:abstractNumId="60">
    <w:nsid w:val="5FF87E05"/>
    <w:multiLevelType w:val="hybridMultilevel"/>
    <w:lvl w:ilvl="0">
      <w:lvlJc w:val="left"/>
      <w:lvlText w:val="●"/>
      <w:numFmt w:val="bullet"/>
      <w:start w:val="1"/>
    </w:lvl>
  </w:abstractNum>
  <w:abstractNum w:abstractNumId="61">
    <w:nsid w:val="2F305DEF"/>
    <w:multiLevelType w:val="hybridMultilevel"/>
    <w:lvl w:ilvl="0">
      <w:lvlJc w:val="left"/>
      <w:lvlText w:val="(%1)"/>
      <w:numFmt w:val="lowerLetter"/>
      <w:start w:val="1"/>
    </w:lvl>
  </w:abstractNum>
  <w:abstractNum w:abstractNumId="62">
    <w:nsid w:val="25A70BF7"/>
    <w:multiLevelType w:val="hybridMultilevel"/>
    <w:lvl w:ilvl="0">
      <w:lvlJc w:val="left"/>
      <w:lvlText w:val="-"/>
      <w:numFmt w:val="bullet"/>
      <w:start w:val="1"/>
    </w:lvl>
  </w:abstractNum>
  <w:abstractNum w:abstractNumId="63">
    <w:nsid w:val="1DBABF00"/>
    <w:multiLevelType w:val="hybridMultilevel"/>
    <w:lvl w:ilvl="0">
      <w:lvlJc w:val="left"/>
      <w:lvlText w:val="*"/>
      <w:numFmt w:val="bullet"/>
      <w:start w:val="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68"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56" Type="http://schemas.openxmlformats.org/officeDocument/2006/relationships/hyperlink" Target="https://www.sec.gov/Archives/edgar/data/1720893/000155837021011074/btai-20210630xex3d1.htm" TargetMode="External"/><Relationship Id="rId157" Type="http://schemas.openxmlformats.org/officeDocument/2006/relationships/hyperlink" Target="https://www.sec.gov/Archives/edgar/data/1720893/000110465924070503/tm249625d6_ex3-1.htm" TargetMode="External"/><Relationship Id="rId158" Type="http://schemas.openxmlformats.org/officeDocument/2006/relationships/hyperlink" Target="https://www.sec.gov/Archives/edgar/data/1720893/000110465925009906/tm255604d1_ex3-1.htm" TargetMode="External"/><Relationship Id="rId159" Type="http://schemas.openxmlformats.org/officeDocument/2006/relationships/hyperlink" Target="https://www.sec.gov/Archives/edgar/data/1720893/000110465918016770/a18-8090_1ex3d2.htm" TargetMode="External"/><Relationship Id="rId160" Type="http://schemas.openxmlformats.org/officeDocument/2006/relationships/hyperlink" Target="https://www.sec.gov/Archives/edgar/data/1720893/000110465926026409/tm268136d3_ex4-1.htm" TargetMode="External"/><Relationship Id="rId161" Type="http://schemas.openxmlformats.org/officeDocument/2006/relationships/hyperlink" Target="https://www.sec.gov/Archives/edgar/data/1720893/000110465926026409/tm268136d3_ex4-2.htm" TargetMode="External"/><Relationship Id="rId162" Type="http://schemas.openxmlformats.org/officeDocument/2006/relationships/hyperlink" Target="https://www.sec.gov/Archives/edgar/data/1720893/000110465926026409/tm268136d3_ex4-3.htm" TargetMode="External"/><Relationship Id="rId163" Type="http://schemas.openxmlformats.org/officeDocument/2006/relationships/hyperlink" Target="https://www.sec.gov/Archives/edgar/data/1720893/000110465926044952/tm2612008d1_ex4-1.htm" TargetMode="External"/><Relationship Id="rId164" Type="http://schemas.openxmlformats.org/officeDocument/2006/relationships/hyperlink" Target="https://www.sec.gov/Archives/edgar/data/1720893/000110465926044952/tm2612008d1_ex4-2.htm" TargetMode="External"/><Relationship Id="rId165" Type="http://schemas.openxmlformats.org/officeDocument/2006/relationships/hyperlink" Target="https://www.sec.gov/Archives/edgar/data/1720893/000110465926026409/tm268136d3_ex10-1.htm" TargetMode="External"/><Relationship Id="rId166" Type="http://schemas.openxmlformats.org/officeDocument/2006/relationships/hyperlink" Target="https://www.sec.gov/Archives/edgar/data/1720893/000110465926026409/tm268136d3_ex10-2.htm" TargetMode="External"/><Relationship Id="rId167" Type="http://schemas.openxmlformats.org/officeDocument/2006/relationships/hyperlink" Target="https://www.sec.gov/Archives/edgar/data/1720893/000110465925031713/tm2511361d2_ex1-1.htm" TargetMode="External"/><Relationship Id="rId169" Type="http://schemas.openxmlformats.org/officeDocument/2006/relationships/hyperlink" Target="https://www.sec.gov/Archives/edgar/data/1720893/000110465926036214/btai-20251231xex10d22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2026-05-15T06:10:18Z</dcterms:created>
  <dcterms:modified xsi:type="dcterms:W3CDTF">2026-05-15T06:10:18Z</dcterms:modified>
</cp:coreProperties>
</file>