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2818d1_8k.htm"/>
      <w:bookmarkStart w:id="1" w:name="kstm2622818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F_edei--DocumentType_c20260810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August 10, 2026</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BioXcel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6465" w:type="dxa"/>
        <w:jc w:val="left"/>
        <w:tblInd w:w="0" w:type="dxa"/>
        <w:tblLayout w:type="fixed"/>
        <w:tblCellMar>
          <w:top w:w="0" w:type="dxa"/>
          <w:left w:w="0" w:type="dxa"/>
          <w:bottom w:w="0" w:type="dxa"/>
          <w:right w:w="0" w:type="dxa"/>
        </w:tblCellMar>
      </w:tblPr>
      <w:tblGrid>
        <w:gridCol w:w="2480"/>
        <w:gridCol w:w="60"/>
        <w:gridCol w:w="2300"/>
        <w:gridCol w:w="60"/>
        <w:gridCol w:w="1565"/>
      </w:tblGrid>
      <w:tr>
        <w:trPr/>
        <w:tc>
          <w:tcPr>
            <w:tcW w:w="2480" w:type="dxa"/>
            <w:tcBorders/>
            <w:vAlign w:val="center"/>
          </w:tcPr>
          <w:p>
            <w:pPr>
              <w:pStyle w:val="TableContents"/>
              <w:bidi w:val="0"/>
              <w:spacing w:before="0" w:after="283"/>
              <w:jc w:val="center"/>
              <w:rPr>
                <w:rFonts w:ascii="Times New Roman;Times;Serif" w:hAnsi="Times New Roman;Times;Serif"/>
                <w:b/>
                <w:sz w:val="20"/>
              </w:rPr>
            </w:pPr>
            <w:bookmarkStart w:id="5" w:name="xdx_906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rFonts w:ascii="Times New Roman;Times;Serif" w:hAnsi="Times New Roman;Times;Serif"/>
                <w:b/>
                <w:sz w:val="20"/>
              </w:rPr>
            </w:pPr>
            <w:bookmarkStart w:id="6" w:name="xdx_90A_edei--EntityFileNumber_c20260810"/>
            <w:bookmarkEnd w:id="6"/>
            <w:r>
              <w:rPr>
                <w:rFonts w:ascii="Times New Roman;Times;Serif" w:hAnsi="Times New Roman;Times;Serif"/>
                <w:b/>
                <w:sz w:val="20"/>
              </w:rPr>
              <w:t>001-38410</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F_edei--EntityTaxIdentificationNum"/>
            <w:bookmarkEnd w:id="7"/>
            <w:r>
              <w:rPr>
                <w:rFonts w:ascii="Times New Roman;Times;Serif" w:hAnsi="Times New Roman;Times;Serif"/>
                <w:b/>
                <w:sz w:val="20"/>
              </w:rPr>
              <w:t>82-1386754</w:t>
            </w:r>
          </w:p>
        </w:tc>
      </w:tr>
      <w:tr>
        <w:trPr/>
        <w:tc>
          <w:tcPr>
            <w:tcW w:w="24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555 Long Wharf Drive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0_edei--EntityAddressCityOrTown_c2"/>
      <w:bookmarkEnd w:id="9"/>
      <w:r>
        <w:rPr>
          <w:rFonts w:ascii="Times New Roman;Times;Serif" w:hAnsi="Times New Roman;Times;Serif"/>
          <w:b/>
          <w:i w:val="false"/>
          <w:caps w:val="false"/>
          <w:smallCaps w:val="false"/>
          <w:sz w:val="20"/>
        </w:rPr>
        <w:t xml:space="preserve">New Haven, </w:t>
      </w:r>
      <w:bookmarkStart w:id="10" w:name="xdx_905_edei--EntityAddressStateOrProvin"/>
      <w:bookmarkEnd w:id="10"/>
      <w:r>
        <w:rPr>
          <w:rFonts w:ascii="Times New Roman;Times;Serif" w:hAnsi="Times New Roman;Times;Serif"/>
          <w:b/>
          <w:i w:val="false"/>
          <w:caps w:val="false"/>
          <w:smallCaps w:val="false"/>
          <w:sz w:val="20"/>
        </w:rPr>
        <w:t>CT</w:t>
      </w:r>
      <w:r>
        <w:rPr>
          <w:rFonts w:ascii="Times New Roman;Times;Serif" w:hAnsi="Times New Roman;Times;Serif"/>
          <w:b w:val="false"/>
          <w:i w:val="false"/>
          <w:caps w:val="false"/>
          <w:smallCaps w:val="false"/>
          <w:sz w:val="20"/>
        </w:rPr>
        <w:t xml:space="preserve"> </w:t>
      </w:r>
      <w:bookmarkStart w:id="11" w:name="xdx_906_edei--EntityAddressPostalZipCode"/>
      <w:bookmarkEnd w:id="11"/>
      <w:r>
        <w:rPr>
          <w:rFonts w:ascii="Times New Roman;Times;Serif" w:hAnsi="Times New Roman;Times;Serif"/>
          <w:b/>
          <w:i w:val="false"/>
          <w:caps w:val="false"/>
          <w:smallCaps w:val="false"/>
          <w:sz w:val="20"/>
        </w:rPr>
        <w:t>06511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9_edei--CityAreaCode_c20260810__20"/>
      <w:bookmarkEnd w:id="12"/>
      <w:r>
        <w:rPr>
          <w:rFonts w:ascii="Times New Roman;Times;Serif" w:hAnsi="Times New Roman;Times;Serif"/>
          <w:b/>
          <w:i w:val="false"/>
          <w:caps w:val="false"/>
          <w:smallCaps w:val="false"/>
          <w:sz w:val="20"/>
        </w:rPr>
        <w:t xml:space="preserve">475) </w:t>
      </w:r>
      <w:bookmarkStart w:id="13" w:name="xdx_907_edei--LocalPhoneNumber_c20260810"/>
      <w:bookmarkEnd w:id="13"/>
      <w:r>
        <w:rPr>
          <w:rFonts w:ascii="Times New Roman;Times;Serif" w:hAnsi="Times New Roman;Times;Serif"/>
          <w:b/>
          <w:i w:val="false"/>
          <w:caps w:val="false"/>
          <w:smallCaps w:val="false"/>
          <w:sz w:val="20"/>
        </w:rPr>
        <w:t>238-6837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4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B_edei--SolicitingMaterial_c202608"/>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8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3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25" w:type="dxa"/>
        <w:jc w:val="left"/>
        <w:tblInd w:w="0" w:type="dxa"/>
        <w:tblLayout w:type="fixed"/>
        <w:tblCellMar>
          <w:top w:w="0" w:type="dxa"/>
          <w:left w:w="0" w:type="dxa"/>
          <w:bottom w:w="28" w:type="dxa"/>
          <w:right w:w="0" w:type="dxa"/>
        </w:tblCellMar>
      </w:tblPr>
      <w:tblGrid>
        <w:gridCol w:w="2750"/>
        <w:gridCol w:w="60"/>
        <w:gridCol w:w="1610"/>
        <w:gridCol w:w="60"/>
        <w:gridCol w:w="3845"/>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845"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Name of each exchange on which </w:t>
            </w:r>
            <w:r>
              <w:rPr>
                <w:b/>
              </w:rPr>
              <w:t>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8_edei--Security12bTitle_c20260810"/>
            <w:bookmarkEnd w:id="18"/>
            <w:r>
              <w:rPr>
                <w:rFonts w:ascii="Times New Roman;Times;Serif" w:hAnsi="Times New Roman;Times;Serif"/>
                <w:sz w:val="20"/>
              </w:rPr>
              <w:t>Common Stock, par value $0.001</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E_edei--TradingSymbol_c20260810__2"/>
            <w:bookmarkEnd w:id="19"/>
            <w:r>
              <w:rPr>
                <w:rFonts w:ascii="Times New Roman;Times;Serif" w:hAnsi="Times New Roman;Times;Serif"/>
                <w:sz w:val="20"/>
              </w:rPr>
              <w:t>BTAI</w:t>
            </w:r>
          </w:p>
        </w:tc>
        <w:tc>
          <w:tcPr>
            <w:tcW w:w="60" w:type="dxa"/>
            <w:tcBorders/>
            <w:tcMar>
              <w:bottom w:w="0" w:type="dxa"/>
            </w:tcMar>
            <w:vAlign w:val="center"/>
          </w:tcPr>
          <w:p>
            <w:pPr>
              <w:pStyle w:val="TableContents"/>
              <w:bidi w:val="0"/>
              <w:spacing w:before="0" w:after="283"/>
              <w:jc w:val="center"/>
              <w:rPr/>
            </w:pPr>
            <w:r>
              <w:rPr/>
              <w:t> </w:t>
            </w:r>
          </w:p>
        </w:tc>
        <w:tc>
          <w:tcPr>
            <w:tcW w:w="3845" w:type="dxa"/>
            <w:tcBorders/>
            <w:tcMar>
              <w:bottom w:w="0" w:type="dxa"/>
            </w:tcMar>
            <w:vAlign w:val="center"/>
          </w:tcPr>
          <w:p>
            <w:pPr>
              <w:pStyle w:val="TableContents"/>
              <w:bidi w:val="0"/>
              <w:spacing w:before="0" w:after="283"/>
              <w:jc w:val="center"/>
              <w:rPr/>
            </w:pPr>
            <w:r>
              <w:rPr>
                <w:rFonts w:ascii="Times New Roman;Times;Serif" w:hAnsi="Times New Roman;Times;Serif"/>
                <w:sz w:val="20"/>
              </w:rPr>
              <w:t xml:space="preserve">The </w:t>
            </w:r>
            <w:bookmarkStart w:id="20" w:name="xdx_905_edei--SecurityExchangeName_c2026"/>
            <w:bookmarkEnd w:id="20"/>
            <w:r>
              <w:rPr>
                <w:rFonts w:ascii="Times New Roman;Times;Serif" w:hAnsi="Times New Roman;Times;Serif"/>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3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478" w:type="dxa"/>
        <w:jc w:val="left"/>
        <w:tblInd w:w="0" w:type="dxa"/>
        <w:tblLayout w:type="fixed"/>
        <w:tblCellMar>
          <w:top w:w="0" w:type="dxa"/>
          <w:left w:w="0" w:type="dxa"/>
          <w:bottom w:w="0" w:type="dxa"/>
          <w:right w:w="0" w:type="dxa"/>
        </w:tblCellMar>
      </w:tblPr>
      <w:tblGrid>
        <w:gridCol w:w="38"/>
        <w:gridCol w:w="96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BioXcel Therapeutics, Inc. (the “Company”) entered into the Twelfth Amendment to Credit Agreement and Guaranty and First Amendment to Security Agreement (the “Twelfth Amendment”), which amended the Credit Agreement and Guaranty, dated April 19, 2022, as amended (the “Credit Agreement”), by and among the Company, as the borrower, certain subsidiaries of the Company from time to time party thereto as subsidiary guarantors, the lenders party thereto (the “Lenders”), and Oaktree Fund Administration LLC, as administrative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Twelfth Amendment, the Company is required to, on or prior to August 21, 2026 (extended from August 10, 2026, as was required under the Eleventh Amendment), enter into definitive agreements with respect to one or more transactions acceptable to Lenders that (A) would result in the repayment of all loan and other obligations under the Credit Agreement or (B) is an alternative capital solutions transaction on terms and conditions acceptable to the Lenders.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Twelfth Amendment, the Lenders also agreed to reduce the Credit Agreement’s minimum liquidity covenant to require minimum cash liquidity of $3.0 million (instead of $6.25 million, as under the Eleventh Amendment).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Twelfth Amendment is qualified in its entirety by the complete text of such agreement, a copy of which is filed hereto as Exhibits 10.1.</w:t>
      </w:r>
    </w:p>
    <w:p>
      <w:pPr>
        <w:pStyle w:val="TextBody"/>
        <w:bidi w:val="0"/>
        <w:spacing w:before="0" w:after="0"/>
        <w:ind w:left="0" w:right="0" w:firstLine="72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785"/>
        <w:gridCol w:w="1205"/>
      </w:tblGrid>
      <w:tr>
        <w:trPr/>
        <w:tc>
          <w:tcPr>
            <w:tcW w:w="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b/>
              </w:rPr>
            </w:pPr>
            <w:r>
              <w:rPr>
                <w:b/>
              </w:rPr>
              <w:t>Ex. No.</w:t>
            </w:r>
          </w:p>
        </w:tc>
        <w:tc>
          <w:tcPr>
            <w:tcW w:w="1205" w:type="dxa"/>
            <w:tcBorders/>
            <w:vAlign w:val="center"/>
          </w:tcPr>
          <w:p>
            <w:pPr>
              <w:pStyle w:val="TableContents"/>
              <w:bidi w:val="0"/>
              <w:spacing w:before="0" w:after="283"/>
              <w:jc w:val="both"/>
              <w:rPr>
                <w:b/>
              </w:rPr>
            </w:pPr>
            <w:r>
              <w:rPr>
                <w:b/>
              </w:rPr>
              <w:t>Description</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hyperlink w:anchor="tm2622818d1_ex10-1.htm">
              <w:r>
                <w:rPr>
                  <w:rStyle w:val="InternetLink"/>
                </w:rPr>
                <w:t>10.1</w:t>
              </w:r>
            </w:hyperlink>
          </w:p>
        </w:tc>
        <w:tc>
          <w:tcPr>
            <w:tcW w:w="9727" w:type="dxa"/>
            <w:tcBorders/>
            <w:vAlign w:val="center"/>
          </w:tcPr>
          <w:p>
            <w:pPr>
              <w:pStyle w:val="TableContents"/>
              <w:bidi w:val="0"/>
              <w:spacing w:before="0" w:after="283"/>
              <w:jc w:val="left"/>
              <w:rPr/>
            </w:pPr>
            <w:hyperlink w:anchor="tm2622818d1_ex10-1.htm">
              <w:r>
                <w:rPr>
                  <w:rStyle w:val="InternetLink"/>
                </w:rPr>
                <w:t>Form of Twelfth Amendment to Credit Agreement and Guaranty and First Amendment to Security Agreement, dated August 10, 2026</w:t>
              </w:r>
            </w:hyperlink>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104</w:t>
            </w:r>
          </w:p>
        </w:tc>
        <w:tc>
          <w:tcPr>
            <w:tcW w:w="9787" w:type="dxa"/>
            <w:tcBorders/>
            <w:vAlign w:val="center"/>
          </w:tcPr>
          <w:p>
            <w:pPr>
              <w:pStyle w:val="TableContents"/>
              <w:bidi w:val="0"/>
              <w:spacing w:before="0" w:after="283"/>
              <w:jc w:val="left"/>
              <w:rPr/>
            </w:pPr>
            <w:r>
              <w:rPr/>
              <w:t>Cover Page Interactive Data File - the cover page XBRL tags are embedded within the Inline XBRL document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854" w:type="dxa"/>
        <w:jc w:val="left"/>
        <w:tblInd w:w="0" w:type="dxa"/>
        <w:tblLayout w:type="fixed"/>
        <w:tblCellMar>
          <w:top w:w="0" w:type="dxa"/>
          <w:left w:w="0" w:type="dxa"/>
          <w:bottom w:w="0" w:type="dxa"/>
          <w:right w:w="0" w:type="dxa"/>
        </w:tblCellMar>
      </w:tblPr>
      <w:tblGrid>
        <w:gridCol w:w="1865"/>
        <w:gridCol w:w="594"/>
        <w:gridCol w:w="239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11, 2026</w:t>
            </w:r>
          </w:p>
        </w:tc>
        <w:tc>
          <w:tcPr>
            <w:tcW w:w="29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BIOXCEL THERAPEUTICS, INC.</w:t>
            </w:r>
          </w:p>
        </w:tc>
      </w:tr>
      <w:tr>
        <w:trPr/>
        <w:tc>
          <w:tcPr>
            <w:tcW w:w="1865" w:type="dxa"/>
            <w:tcBorders/>
            <w:vAlign w:val="center"/>
          </w:tcPr>
          <w:p>
            <w:pPr>
              <w:pStyle w:val="TableContents"/>
              <w:bidi w:val="0"/>
              <w:spacing w:before="0" w:after="283"/>
              <w:ind w:left="0" w:right="0" w:hanging="281"/>
              <w:jc w:val="left"/>
              <w:rPr/>
            </w:pPr>
            <w:r>
              <w:rPr/>
              <w:t> </w:t>
            </w:r>
          </w:p>
        </w:tc>
        <w:tc>
          <w:tcPr>
            <w:tcW w:w="594" w:type="dxa"/>
            <w:tcBorders/>
            <w:vAlign w:val="center"/>
          </w:tcPr>
          <w:p>
            <w:pPr>
              <w:pStyle w:val="TableContents"/>
              <w:bidi w:val="0"/>
              <w:spacing w:before="0" w:after="283"/>
              <w:jc w:val="left"/>
              <w:rPr/>
            </w:pPr>
            <w:r>
              <w:rPr/>
              <w:t> </w:t>
            </w:r>
          </w:p>
        </w:tc>
        <w:tc>
          <w:tcPr>
            <w:tcW w:w="23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23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Richard Steinhart</w:t>
            </w:r>
          </w:p>
        </w:tc>
      </w:tr>
      <w:tr>
        <w:trPr/>
        <w:tc>
          <w:tcPr>
            <w:tcW w:w="1865"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Steinhart</w:t>
            </w:r>
          </w:p>
        </w:tc>
      </w:tr>
      <w:tr>
        <w:trPr/>
        <w:tc>
          <w:tcPr>
            <w:tcW w:w="1865"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2818d1_ex10-1.htm"/>
      <w:bookmarkStart w:id="23" w:name="kstm2622818d1_ex101"/>
      <w:bookmarkEnd w:id="22"/>
      <w:bookmarkEnd w:id="23"/>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that certain Credit Agreement and Guaranty, dated as of April 19, 2022, by and among BioXcel Therapeutics, Inc., the lenders party thereto and Oaktree Fund Administration, LLC, as administrative agent, as amended, restated, supplemented or otherwise modified from time to time (the “Credit Agreement”) and that certain Security Agreement, dated April 19, 2022 by and among BioXcel Therapeutics, Inc., the Guarantors party thereto and Oaktree Fund Administration, LLC, as administrative agent (the “Security Agreement”). Capitalized terms used in this email and not otherwise defined herein shall have the meanings assigned to such terms in the Credit Agreement or Security Agreement,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Lenders hereby agree to amend and restate Section 4(a) of the Eleventh Amendment in its entirety as set forth below, effective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Transaction Milestone</w:t>
      </w:r>
      <w:r>
        <w:rPr>
          <w:rFonts w:ascii="Times New Roman;Times;Serif" w:hAnsi="Times New Roman;Times;Serif"/>
          <w:b w:val="false"/>
          <w:i w:val="false"/>
          <w:caps w:val="false"/>
          <w:smallCaps w:val="false"/>
          <w:sz w:val="20"/>
        </w:rPr>
        <w:t>. On or prior to August 21, 2026, the Obligors shall have entered into definitive agreements with respect to one or more transactions, in form and substance acceptable to the Majority Lenders in their sole discretion, that (A) would result in the indefeasible payment in full in cash of all Obligations under the Loan Documents or (B) is an alternative capital solutions transaction on terms and conditions acceptable to the Majority Lenders in all respects, in their sole and absolute discretion, including, in each case, with respect to the certainty and timing of closing and the likelihood of obtaining any required shareholder, regulatory, court or other approvals, as applicable (any such transaction, an “Acceptable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Lenders hereby agree to amend and restate Section 4(c) of the Eleventh Amendment in its entirety as set forth below, effective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Continued Cooperation</w:t>
      </w:r>
      <w:r>
        <w:rPr>
          <w:rFonts w:ascii="Times New Roman;Times;Serif" w:hAnsi="Times New Roman;Times;Serif"/>
          <w:b w:val="false"/>
          <w:i w:val="false"/>
          <w:caps w:val="false"/>
          <w:smallCaps w:val="false"/>
          <w:sz w:val="20"/>
        </w:rPr>
        <w:t>. Through and including August 21, 2026, the Obligors shall consider in good faith any reasonable comments by the Lenders or any counterparty to a potential transaction contemplated by Section 4(a), in each case with respect to any regulatory process involving material assets of the Obligors.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Lenders hereby agree to amend and restate the definition of “Minimum Liquidity Amount” in the Credit Agreement in its entirety as set forth below, effective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Minimum Liquidity Amount</w:t>
      </w:r>
      <w:r>
        <w:rPr>
          <w:rFonts w:ascii="Times New Roman;Times;Serif" w:hAnsi="Times New Roman;Times;Serif"/>
          <w:b w:val="false"/>
          <w:i w:val="false"/>
          <w:caps w:val="false"/>
          <w:smallCaps w:val="false"/>
          <w:sz w:val="20"/>
        </w:rPr>
        <w:t>” means (i) prior to consummation of the Fifth Amendment Equity Raise One, $25,000,000, (ii) upon consummation of the Fifth Amendment Equity Raise One to but excluding March 31, 2025, $7,500,000, (iii) from March 31, 2025 to but excluding January 1, 2026, $10,000,000, (iv) from and after January 1, 2026 to but excluding March 31, 2026, $15,000,000, (v) from and after March 31, 2026 to but excluding the Tenth Amendment Effective Date, $12,500,000, (vi) from and after the Tenth Amendment Effective Date to but excluding the Eleventh Amendment Effective Date, $7,500,000, (vii) from and after the Eleventh Amendment Effective Date to but excluding August 10, 2026, $6,250,000, (viii) from and after August 10, 2026, $3,000,000.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Secured Parties hereby agrees to amend the Security Agreement by deleting and replacing Section 7 of Schedule 1 thereof in its entirety as set forth below, effective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Tort Claims of each Grantor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i/>
              </w:rPr>
            </w:pPr>
            <w:r>
              <w:rPr>
                <w:i/>
              </w:rPr>
              <w:t>BioXcel Therapeutics, Inc. v. Cognitive Research, Docket No. N25C-02-474 (Del. Super. Ct. Feb 21, 2025)</w:t>
            </w:r>
          </w:p>
        </w:tc>
      </w:tr>
    </w:tbl>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left"/>
              <w:rPr>
                <w:i/>
              </w:rPr>
            </w:pPr>
            <w:r>
              <w:rPr>
                <w:i/>
              </w:rPr>
              <w:t>BioXcel Therapeutics, Inc. v. Caitlin Meyer, Docket No. 2026-001463-CA-01 (Fla. Cir. Ct. Jan 23, 2026)</w:t>
            </w:r>
          </w:p>
        </w:tc>
      </w:tr>
    </w:tbl>
    <w:tbl>
      <w:tblPr>
        <w:tblW w:w="9033" w:type="dxa"/>
        <w:jc w:val="left"/>
        <w:tblInd w:w="0" w:type="dxa"/>
        <w:tblLayout w:type="fixed"/>
        <w:tblCellMar>
          <w:top w:w="0" w:type="dxa"/>
          <w:left w:w="0" w:type="dxa"/>
          <w:bottom w:w="0" w:type="dxa"/>
          <w:right w:w="0" w:type="dxa"/>
        </w:tblCellMar>
      </w:tblPr>
      <w:tblGrid>
        <w:gridCol w:w="38"/>
        <w:gridCol w:w="185"/>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8810" w:type="dxa"/>
            <w:tcBorders/>
            <w:vAlign w:val="center"/>
          </w:tcPr>
          <w:p>
            <w:pPr>
              <w:pStyle w:val="TableContents"/>
              <w:bidi w:val="0"/>
              <w:spacing w:before="0" w:after="283"/>
              <w:jc w:val="left"/>
              <w:rPr>
                <w:i/>
              </w:rPr>
            </w:pPr>
            <w:r>
              <w:rPr>
                <w:i/>
              </w:rPr>
              <w:t>BioXcel v Segal Institute for Clinical Research, Inc, Case No. AAA Case No. 012500013894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set forth above, (i) all provisions of the Credit Agreement, the Security Agreement and the other Loan Documents remain in full force and effect and (ii) the effectiveness of the amendment described above shall not operate as a waiver of any right, power or remedy of the Administrative Agent or the Lenders, nor constitute a waiver of any provision of the Credit Agreement, the Security Agreement or any of the Loan Documents.  The agreement to amend the Credit Agreement and the Security Agreement as set forth above shall not be deemed to limit or hinder any rights of the Administrative Agent or the Lenders under the Loan Documents, nor shall it be deemed to create or infer a course of dealing between any such party, on the one hand, and the Borrower, on the other hand, with regard to any provision of the Loan Documents.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1341</Words>
  <Characters>7210</Characters>
  <CharactersWithSpaces>8557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