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902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90296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Mehta Vimal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BIOXCEL THERAPEUTICS,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LONG WHARF DRIVE,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BioXcel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BTAI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37"/>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15"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06511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1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05/04/2026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49,758</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89,017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05/20/2026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19,419</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1.087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69,598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125</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480,343</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BioXcel</w:t>
            </w: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49,758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05/04/2026</w:t>
            </w:r>
          </w:p>
        </w:tc>
        <w:tc>
          <w:tcPr>
            <w:tcW w:w="1140" w:type="dxa"/>
            <w:vAlign w:val="bottom"/>
          </w:tcPr>
          <w:p>
            <w:pPr>
              <w:spacing w:after="0"/>
              <w:rPr>
                <w:sz w:val="11"/>
                <w:szCs w:val="11"/>
                <w:color w:val="auto"/>
              </w:rPr>
            </w:pPr>
          </w:p>
        </w:tc>
        <w:tc>
          <w:tcPr>
            <w:tcW w:w="6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49,758</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149,274</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February 3, 2026 solely to cover taxes due in connection with the vesting of restricted stock units.</w:t>
      </w:r>
    </w:p>
    <w:p>
      <w:pPr>
        <w:spacing w:after="0" w:line="16"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$1.07 to $1.105. The Reporting Person undertakes to provide upon request to the Securities and Exchange Commission staff, the Issuer, or any shareholder of the Issuer, full information regarding the number of securities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jc w:val="both"/>
        <w:ind w:left="40" w:right="18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BioXcel LLC. BioXcel LLC is a subsidiary of BioXcel Holdings, Inc. ("Parent"). The Reporting Person is an executive officer and the sole member of the board of directors of Parent and an executive officer and one of two managers on the board of managers of BioXcel LLC and Parent. By virtue of these relationships, the Reporting Person may be deemed to be the beneficial owner of the securities held of record by BioXcel LLC. The Reporting Person disclaims beneficial ownership of the securities reported herein except to the extent of his pecuniary interest therein. This report shall not be deemed an admission that the Reporting Person is the beneficial owner of such securities for the purpose of Section 16 or for any other purpose.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 2026, the Reporting Person was granted 199,032 RSUs, vesting as to 25% of the underlying shares on the six-month anniversary of the original promise date of November 4, 2025 (the "Vesting Commencement Date"), with the remaining 75% vesting in three equal installments of 25% on the last day of each subsequent six-month period thereafter, such that the RSUs are fully vested on the two-year anniversary of the Vesting Commencement Date, subject to the Reporting Person's continuous employment with the Issuer through the relevant vesting dates.</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Richard Steinhart, Attorney- </w:t>
      </w:r>
      <w:r>
        <w:rPr>
          <w:rFonts w:ascii="Times New Roman" w:cs="Times New Roman" w:eastAsia="Times New Roman" w:hAnsi="Times New Roman"/>
          <w:sz w:val="32"/>
          <w:szCs w:val="32"/>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3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Vimal Mehta, Ph.D.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3341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413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3369" TargetMode="External"/><Relationship Id="rId14" Type="http://schemas.openxmlformats.org/officeDocument/2006/relationships/hyperlink" Target="http://www.sec.gov/cgi-bin/browse-edgar?action=getcompany&amp;CIK=0001720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2026-05-22T18:00:58Z</dcterms:created>
  <dcterms:modified xsi:type="dcterms:W3CDTF">2026-05-22T18:00:58Z</dcterms:modified>
</cp:coreProperties>
</file>