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945d1_8k.htm"/>
      <w:bookmarkStart w:id="1" w:name="kstm2623945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0824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24,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BioXcel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80"/>
        <w:gridCol w:w="60"/>
        <w:gridCol w:w="2300"/>
        <w:gridCol w:w="60"/>
        <w:gridCol w:w="156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824"/>
            <w:bookmarkEnd w:id="6"/>
            <w:r>
              <w:rPr>
                <w:rFonts w:ascii="Times New Roman;Times;Serif" w:hAnsi="Times New Roman;Times;Serif"/>
                <w:b/>
                <w:sz w:val="20"/>
              </w:rPr>
              <w:t>001-38410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82-1386754</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555 Long Wharf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New Haven, </w:t>
      </w:r>
      <w:bookmarkStart w:id="10" w:name="xdx_90C_edei--EntityAddressStateOrProvin"/>
      <w:bookmarkEnd w:id="10"/>
      <w:r>
        <w:rPr>
          <w:rFonts w:ascii="Times New Roman;Times;Serif" w:hAnsi="Times New Roman;Times;Serif"/>
          <w:b/>
          <w:i w:val="false"/>
          <w:caps w:val="false"/>
          <w:smallCaps w:val="false"/>
          <w:sz w:val="20"/>
        </w:rPr>
        <w:t>CT</w:t>
      </w:r>
      <w:r>
        <w:rPr>
          <w:rFonts w:ascii="Times New Roman;Times;Serif" w:hAnsi="Times New Roman;Times;Serif"/>
          <w:b w:val="false"/>
          <w:i w:val="false"/>
          <w:caps w:val="false"/>
          <w:smallCaps w:val="false"/>
          <w:sz w:val="20"/>
        </w:rPr>
        <w:t xml:space="preserve"> </w:t>
      </w:r>
      <w:bookmarkStart w:id="11" w:name="xdx_901_edei--EntityAddressPostalZipCode"/>
      <w:bookmarkEnd w:id="11"/>
      <w:r>
        <w:rPr>
          <w:rFonts w:ascii="Times New Roman;Times;Serif" w:hAnsi="Times New Roman;Times;Serif"/>
          <w:b/>
          <w:i w:val="false"/>
          <w:caps w:val="false"/>
          <w:smallCaps w:val="false"/>
          <w:sz w:val="20"/>
        </w:rPr>
        <w:t>06511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60824__20"/>
      <w:bookmarkEnd w:id="12"/>
      <w:r>
        <w:rPr>
          <w:rFonts w:ascii="Times New Roman;Times;Serif" w:hAnsi="Times New Roman;Times;Serif"/>
          <w:b/>
          <w:i w:val="false"/>
          <w:caps w:val="false"/>
          <w:smallCaps w:val="false"/>
          <w:sz w:val="20"/>
        </w:rPr>
        <w:t xml:space="preserve">475) </w:t>
      </w:r>
      <w:bookmarkStart w:id="13" w:name="xdx_904_edei--LocalPhoneNumber_c20260824"/>
      <w:bookmarkEnd w:id="13"/>
      <w:r>
        <w:rPr>
          <w:rFonts w:ascii="Times New Roman;Times;Serif" w:hAnsi="Times New Roman;Times;Serif"/>
          <w:b/>
          <w:i w:val="false"/>
          <w:caps w:val="false"/>
          <w:smallCaps w:val="false"/>
          <w:sz w:val="20"/>
        </w:rPr>
        <w:t>238-6837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A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2750"/>
        <w:gridCol w:w="60"/>
        <w:gridCol w:w="1610"/>
        <w:gridCol w:w="60"/>
        <w:gridCol w:w="3845"/>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84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Name of each exchange on which </w:t>
            </w:r>
            <w:r>
              <w:rPr>
                <w:b/>
              </w:rPr>
              <w:t>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9_edei--Security12bTitle_c20260824"/>
            <w:bookmarkEnd w:id="18"/>
            <w:r>
              <w:rPr>
                <w:rFonts w:ascii="Times New Roman;Times;Serif" w:hAnsi="Times New Roman;Times;Serif"/>
                <w:sz w:val="20"/>
              </w:rPr>
              <w:t>Common Stock, par value $0.001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TradingSymbol_c20260824__2"/>
            <w:bookmarkEnd w:id="19"/>
            <w:r>
              <w:rPr>
                <w:rFonts w:ascii="Times New Roman;Times;Serif" w:hAnsi="Times New Roman;Times;Serif"/>
                <w:sz w:val="20"/>
              </w:rPr>
              <w:t>BTAI</w:t>
            </w:r>
          </w:p>
        </w:tc>
        <w:tc>
          <w:tcPr>
            <w:tcW w:w="60" w:type="dxa"/>
            <w:tcBorders/>
            <w:tcMar>
              <w:bottom w:w="0" w:type="dxa"/>
            </w:tcMar>
            <w:vAlign w:val="center"/>
          </w:tcPr>
          <w:p>
            <w:pPr>
              <w:pStyle w:val="TableContents"/>
              <w:bidi w:val="0"/>
              <w:spacing w:before="0" w:after="283"/>
              <w:jc w:val="center"/>
              <w:rPr/>
            </w:pPr>
            <w:r>
              <w:rPr/>
              <w:t> </w:t>
            </w:r>
          </w:p>
        </w:tc>
        <w:tc>
          <w:tcPr>
            <w:tcW w:w="38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0" w:name="xdx_90A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BioXcel Therapeutics, Inc. (the “Company”) entered into the Fourteenth Amendment to Credit Agreement and Guaranty (the “Fourteenth Amendment”), which amended the Credit Agreement and Guaranty, dated April 19, 2022, as amended (the “Credit Agreement”), by and among the Company, as the borrower, certain subsidiaries of the Company from time to time party thereto as subsidiary guarantors, the lenders party thereto (the “Lenders”), and Oaktree Fund Administration LLC, as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Fourteenth Amendment, the Lenders made additional loans to the Company in an aggregate principal amount of $1,250,000 (the “Amendment No. 14 Term Loans”). The Company paid an upfront fee of $250,000, or 20% of the aggregate principal amount, in respect of the Amendment No. 14 Term Loans. Other than the upfront fee, the Amendment No. 14 Term Loans are subject to identical economic and other terms as the preexisting loans under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Fourteenth Amendment,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Lenders agreed to reduce the Credit Agreement’s minimum liquidity covenant to require minimum cash liquidity of $250,000 (instead of $3.0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is required to, on or prior to August 31, 2026 (extended from August 28, 2026, as was required under the Thirteenth Amendment), enter into definitive agreements with respect to one or more transactions acceptable to Lenders that (A) would result in the repayment of all loan and other obligations under the Credit Agreement or (B) is an alternative capital solutions transaction on terms and conditions acceptable to the Lenders.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Certain covenants and thresholds under the Credit Agreement were amended to remove flexibility the Company and its subsidiaries previously had thereunder to undertake certain transactions, including, without limitation, with respect to out-licensing of intellectual property and sales of assets.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Fourteenth Amendment is qualified in its entirety by the complete text of such agreement, a form of which is filed hereto as Exhibit 10.1.</w:t>
      </w:r>
    </w:p>
    <w:p>
      <w:pPr>
        <w:pStyle w:val="TextBody"/>
        <w:bidi w:val="0"/>
        <w:spacing w:before="0" w:after="0"/>
        <w:ind w:left="0" w:right="0" w:firstLine="72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35"/>
        <w:gridCol w:w="8930"/>
      </w:tblGrid>
      <w:tr>
        <w:trPr/>
        <w:tc>
          <w:tcPr>
            <w:tcW w:w="6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 No.</w:t>
            </w:r>
          </w:p>
        </w:tc>
        <w:tc>
          <w:tcPr>
            <w:tcW w:w="89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5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left"/>
              <w:rPr/>
            </w:pPr>
            <w:hyperlink w:anchor="tm2623945d1_ex10-1.htm">
              <w:r>
                <w:rPr>
                  <w:rStyle w:val="InternetLink"/>
                  <w:rFonts w:ascii="Times New Roman;Times;Serif" w:hAnsi="Times New Roman;Times;Serif"/>
                  <w:b w:val="false"/>
                  <w:i w:val="false"/>
                  <w:caps w:val="false"/>
                  <w:smallCaps w:val="false"/>
                  <w:sz w:val="20"/>
                </w:rPr>
                <w:t>10.1</w:t>
              </w:r>
            </w:hyperlink>
          </w:p>
        </w:tc>
        <w:tc>
          <w:tcPr>
            <w:tcW w:w="8930" w:type="dxa"/>
            <w:tcBorders/>
            <w:vAlign w:val="center"/>
          </w:tcPr>
          <w:p>
            <w:pPr>
              <w:pStyle w:val="TableContents"/>
              <w:bidi w:val="0"/>
              <w:spacing w:before="0" w:after="283"/>
              <w:jc w:val="left"/>
              <w:rPr/>
            </w:pPr>
            <w:hyperlink w:anchor="tm2623945d1_ex10-1.htm">
              <w:r>
                <w:rPr>
                  <w:rStyle w:val="InternetLink"/>
                  <w:rFonts w:ascii="Times New Roman;Times;Serif" w:hAnsi="Times New Roman;Times;Serif"/>
                  <w:b w:val="false"/>
                  <w:i w:val="false"/>
                  <w:caps w:val="false"/>
                  <w:smallCaps w:val="false"/>
                  <w:sz w:val="20"/>
                </w:rPr>
                <w:t>Form of Fourteenth Amendment to Credit Agreement and Guaranty, dated August 24, 2026</w:t>
              </w:r>
            </w:hyperlink>
          </w:p>
        </w:tc>
      </w:tr>
      <w:tr>
        <w:trPr/>
        <w:tc>
          <w:tcPr>
            <w:tcW w:w="95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XBRL tags are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1865"/>
        <w:gridCol w:w="579"/>
        <w:gridCol w:w="241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25, 2026</w:t>
            </w:r>
          </w:p>
        </w:tc>
        <w:tc>
          <w:tcPr>
            <w:tcW w:w="2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865" w:type="dxa"/>
            <w:tcBorders/>
            <w:vAlign w:val="center"/>
          </w:tcPr>
          <w:p>
            <w:pPr>
              <w:pStyle w:val="TableContents"/>
              <w:bidi w:val="0"/>
              <w:spacing w:before="0" w:after="283"/>
              <w:ind w:left="0" w:right="0" w:hanging="281"/>
              <w:jc w:val="left"/>
              <w:rPr/>
            </w:pPr>
            <w:r>
              <w:rPr/>
              <w:t> </w:t>
            </w:r>
          </w:p>
        </w:tc>
        <w:tc>
          <w:tcPr>
            <w:tcW w:w="579" w:type="dxa"/>
            <w:tcBorders/>
            <w:vAlign w:val="center"/>
          </w:tcPr>
          <w:p>
            <w:pPr>
              <w:pStyle w:val="TableContents"/>
              <w:bidi w:val="0"/>
              <w:spacing w:before="0" w:after="283"/>
              <w:jc w:val="left"/>
              <w:rPr/>
            </w:pPr>
            <w:r>
              <w:rPr/>
              <w:t> </w:t>
            </w:r>
          </w:p>
        </w:tc>
        <w:tc>
          <w:tcPr>
            <w:tcW w:w="241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2410" w:type="dxa"/>
            <w:tcBorders>
              <w:bottom w:val="single" w:sz="8" w:space="0" w:color="000000"/>
            </w:tcBorders>
            <w:tcMar>
              <w:bottom w:w="28" w:type="dxa"/>
            </w:tcMar>
            <w:vAlign w:val="center"/>
          </w:tcPr>
          <w:p>
            <w:pPr>
              <w:pStyle w:val="TableContents"/>
              <w:bidi w:val="0"/>
              <w:spacing w:before="0" w:after="283"/>
              <w:jc w:val="left"/>
              <w:rPr/>
            </w:pPr>
            <w:r>
              <w:rPr/>
              <w:t>/s/ Richard Steinhart</w:t>
            </w:r>
          </w:p>
        </w:tc>
      </w:tr>
      <w:tr>
        <w:trPr/>
        <w:tc>
          <w:tcPr>
            <w:tcW w:w="1865"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Steinhart</w:t>
            </w:r>
          </w:p>
        </w:tc>
      </w:tr>
      <w:tr>
        <w:trPr/>
        <w:tc>
          <w:tcPr>
            <w:tcW w:w="1865"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3945d1_ex10-1.htm"/>
      <w:bookmarkStart w:id="23" w:name="kstm2623945d1_ex101"/>
      <w:bookmarkEnd w:id="22"/>
      <w:bookmarkEnd w:id="2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FourteeNth AMENDMENT TO Credit agreement AND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Fourteenth Amendment to Credit Agreement and Guaranty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is made as of August 24, 2026, by and among BIOXCEL THERAPEUTICS,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the Guarantors party hereto (collectively, the “</w:t>
      </w:r>
      <w:r>
        <w:rPr>
          <w:rFonts w:ascii="Times New Roman;Times;Serif" w:hAnsi="Times New Roman;Times;Serif"/>
          <w:b/>
          <w:i/>
          <w:caps w:val="false"/>
          <w:smallCaps w:val="false"/>
          <w:sz w:val="20"/>
        </w:rPr>
        <w:t>Guarantors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the lenders party hereto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OAKTREE FUND ADMINISTRATION, LLC, as administrative agent on behalf of the Lenders (in such capacity, together with its successors and assigns,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Guarantors, the Administrative Agent and the Lenders previously entered into that certain Credit Agreement and Guaranty, dated as of April 19, 2022 (as amended as of November 13, 2023, December 5, 2023, February 12, 2024, March 20, 2024, November 21, 2024, December 6, 2024, March 4, 2025, March 12, 2025, April 22, 2025, March 27, 2026, July 3, 2026, July 31, 2026, August 10, 2026 and August 21, 2026, the “</w:t>
      </w:r>
      <w:r>
        <w:rPr>
          <w:rFonts w:ascii="Times New Roman;Times;Serif" w:hAnsi="Times New Roman;Times;Serif"/>
          <w:b/>
          <w:i/>
          <w:caps w:val="false"/>
          <w:smallCaps w:val="false"/>
          <w:sz w:val="20"/>
        </w:rPr>
        <w:t>Existing Credit Agreement</w:t>
      </w:r>
      <w:r>
        <w:rPr>
          <w:rFonts w:ascii="Times New Roman;Times;Serif" w:hAnsi="Times New Roman;Times;Serif"/>
          <w:b w:val="false"/>
          <w:i w:val="false"/>
          <w:caps w:val="false"/>
          <w:smallCaps w:val="false"/>
          <w:sz w:val="20"/>
        </w:rPr>
        <w:t>”, and as further amended by this Amendment,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(a) the Lenders agree to provide a term loan to the Borrower in an aggregate principal amount of $1,250,000.00 (the “</w:t>
      </w:r>
      <w:r>
        <w:rPr>
          <w:rFonts w:ascii="Times New Roman;Times;Serif" w:hAnsi="Times New Roman;Times;Serif"/>
          <w:b/>
          <w:i/>
          <w:caps w:val="false"/>
          <w:smallCaps w:val="false"/>
          <w:sz w:val="20"/>
        </w:rPr>
        <w:t>Amendment No. 14 Term Loan</w:t>
      </w:r>
      <w:r>
        <w:rPr>
          <w:rFonts w:ascii="Times New Roman;Times;Serif" w:hAnsi="Times New Roman;Times;Serif"/>
          <w:b w:val="false"/>
          <w:i w:val="false"/>
          <w:caps w:val="false"/>
          <w:smallCaps w:val="false"/>
          <w:sz w:val="20"/>
        </w:rPr>
        <w:t>”) and (b) certain terms to each of the Existing Credit Agreement be amended in connection with the foregoing, and the Administrative Agent and the Lenders have agreed to so provide such credit extensions and amend such terms, as applicable, in each case subject to the terms and conditions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above premises and other good and valuable consideration, the receipt and sufficiency of which is hereby acknowledged by the parties hereto, each of the Borrower, the Guarantors, the Administrative Agent and the Lenders party hereto hereby covenant and agree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color w:val="010000"/>
                <w:sz w:val="20"/>
              </w:rPr>
            </w:pPr>
            <w:r>
              <w:rPr>
                <w:color w:val="010000"/>
                <w:sz w:val="20"/>
              </w:rPr>
              <w:t>1.</w:t>
            </w:r>
          </w:p>
        </w:tc>
        <w:tc>
          <w:tcPr>
            <w:tcW w:w="10036" w:type="dxa"/>
            <w:tcBorders/>
            <w:vAlign w:val="center"/>
          </w:tcPr>
          <w:p>
            <w:pPr>
              <w:pStyle w:val="TableContents"/>
              <w:bidi w:val="0"/>
              <w:spacing w:before="0" w:after="283"/>
              <w:jc w:val="both"/>
              <w:rPr/>
            </w:pPr>
            <w:r>
              <w:rPr>
                <w:u w:val="single"/>
              </w:rPr>
              <w:t>Definitions</w:t>
            </w:r>
            <w:r>
              <w:rPr/>
              <w:t>. Capitalized terms used herein and not otherwise defined herein shall have the meanings assigned to such terms in the Existing Credit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color w:val="010000"/>
                <w:sz w:val="20"/>
              </w:rPr>
            </w:pPr>
            <w:r>
              <w:rPr>
                <w:color w:val="010000"/>
                <w:sz w:val="20"/>
              </w:rPr>
              <w:t>2.</w:t>
            </w:r>
          </w:p>
        </w:tc>
        <w:tc>
          <w:tcPr>
            <w:tcW w:w="10030" w:type="dxa"/>
            <w:tcBorders/>
            <w:vAlign w:val="center"/>
          </w:tcPr>
          <w:p>
            <w:pPr>
              <w:pStyle w:val="TableContents"/>
              <w:bidi w:val="0"/>
              <w:spacing w:before="0" w:after="283"/>
              <w:jc w:val="both"/>
              <w:rPr/>
            </w:pPr>
            <w:r>
              <w:rPr>
                <w:u w:val="single"/>
              </w:rPr>
              <w:t>Amendments to the Existing Credit Agreement</w:t>
            </w:r>
            <w:r>
              <w:rPr/>
              <w:t xml:space="preserve">. Subject to the satisfaction of the conditions precedent specified in </w:t>
            </w:r>
            <w:r>
              <w:rPr>
                <w:u w:val="single"/>
              </w:rPr>
              <w:t>Section 5</w:t>
            </w:r>
            <w:r>
              <w:rPr/>
              <w:t xml:space="preserve">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color w:val="010000"/>
                <w:sz w:val="20"/>
              </w:rPr>
            </w:pPr>
            <w:r>
              <w:rPr>
                <w:color w:val="010000"/>
                <w:sz w:val="20"/>
              </w:rPr>
              <w:t>(a)</w:t>
            </w:r>
          </w:p>
        </w:tc>
        <w:tc>
          <w:tcPr>
            <w:tcW w:w="9987" w:type="dxa"/>
            <w:tcBorders/>
            <w:vAlign w:val="center"/>
          </w:tcPr>
          <w:p>
            <w:pPr>
              <w:pStyle w:val="TableContents"/>
              <w:bidi w:val="0"/>
              <w:spacing w:before="0" w:after="283"/>
              <w:jc w:val="both"/>
              <w:rPr/>
            </w:pPr>
            <w:r>
              <w:rPr/>
              <w:t xml:space="preserve">the Existing Credit Agreement (excluding the Exhibits thereto) shall be amended as set forth on </w:t>
            </w:r>
            <w:r>
              <w:rPr>
                <w:u w:val="single"/>
              </w:rPr>
              <w:t>Exhibit A</w:t>
            </w:r>
            <w:r>
              <w:rPr/>
              <w:t xml:space="preserve"> to this Amendment. Language inserted into the applicable section of the Existing Credit Agreement is evidenced by double underline formatting (indicated textually in the same manner as the following example: </w:t>
            </w:r>
            <w:r>
              <w:rPr>
                <w:color w:val="0000FF"/>
                <w:u w:val="single"/>
              </w:rPr>
              <w:t>double underlined text</w:t>
            </w:r>
            <w:r>
              <w:rPr/>
              <w:t xml:space="preserve">). Language deleted from the applicable section of the Existing Credit Agreement is evidenced by strike-through formatting (indicated textually in the same manner as the following example: </w:t>
            </w:r>
            <w:r>
              <w:rPr>
                <w:strike/>
                <w:color w:val="FF0000"/>
              </w:rPr>
              <w:t>stricken text</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color w:val="010000"/>
                <w:sz w:val="20"/>
              </w:rPr>
            </w:pPr>
            <w:r>
              <w:rPr>
                <w:color w:val="010000"/>
                <w:sz w:val="20"/>
              </w:rPr>
              <w:t>(b)</w:t>
            </w:r>
          </w:p>
        </w:tc>
        <w:tc>
          <w:tcPr>
            <w:tcW w:w="9936" w:type="dxa"/>
            <w:tcBorders/>
            <w:vAlign w:val="center"/>
          </w:tcPr>
          <w:p>
            <w:pPr>
              <w:pStyle w:val="TableContents"/>
              <w:bidi w:val="0"/>
              <w:spacing w:before="0" w:after="283"/>
              <w:jc w:val="both"/>
              <w:rPr/>
            </w:pPr>
            <w:r>
              <w:rPr/>
              <w:t>the Existing Credit Agreement is further amended by deleting and replacing Schedule 1 thereof in its entirety with Exhibit B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color w:val="010000"/>
                <w:sz w:val="20"/>
              </w:rPr>
            </w:pPr>
            <w:r>
              <w:rPr>
                <w:color w:val="010000"/>
                <w:sz w:val="20"/>
              </w:rPr>
              <w:t>3.</w:t>
            </w:r>
          </w:p>
        </w:tc>
        <w:tc>
          <w:tcPr>
            <w:tcW w:w="10056" w:type="dxa"/>
            <w:tcBorders/>
            <w:vAlign w:val="center"/>
          </w:tcPr>
          <w:p>
            <w:pPr>
              <w:pStyle w:val="TableContents"/>
              <w:bidi w:val="0"/>
              <w:spacing w:before="0" w:after="283"/>
              <w:jc w:val="both"/>
              <w:rPr/>
            </w:pPr>
            <w:r>
              <w:rPr>
                <w:u w:val="single"/>
              </w:rPr>
              <w:t>Reaffirmation of Loan Documents</w:t>
            </w:r>
            <w:r>
              <w:rPr/>
              <w:t>. Except as otherwise expressly provided herein, the parties hereto agree that all terms and conditions of the Existing Credit Agreement and the other Loan Documents remain in full force and effect. The Borrower and each of the Guarantors hereby confirms that the Security Documents and all of the Collateral described therein do, and shall continue to, secure the payment in full and performance of all of the Obligations.</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85"/>
        <w:gridCol w:w="1835"/>
      </w:tblGrid>
      <w:tr>
        <w:trPr/>
        <w:tc>
          <w:tcPr>
            <w:tcW w:w="185" w:type="dxa"/>
            <w:tcBorders/>
            <w:vAlign w:val="center"/>
          </w:tcPr>
          <w:p>
            <w:pPr>
              <w:pStyle w:val="TableContents"/>
              <w:bidi w:val="0"/>
              <w:spacing w:before="0" w:after="283"/>
              <w:jc w:val="left"/>
              <w:rPr>
                <w:color w:val="010000"/>
                <w:sz w:val="20"/>
              </w:rPr>
            </w:pPr>
            <w:r>
              <w:rPr>
                <w:color w:val="010000"/>
                <w:sz w:val="20"/>
              </w:rPr>
              <w:t>4.</w:t>
            </w:r>
          </w:p>
        </w:tc>
        <w:tc>
          <w:tcPr>
            <w:tcW w:w="1835" w:type="dxa"/>
            <w:tcBorders/>
            <w:vAlign w:val="center"/>
          </w:tcPr>
          <w:p>
            <w:pPr>
              <w:pStyle w:val="TableContents"/>
              <w:bidi w:val="0"/>
              <w:spacing w:before="0" w:after="283"/>
              <w:jc w:val="both"/>
              <w:rPr/>
            </w:pPr>
            <w:r>
              <w:rPr>
                <w:u w:val="single"/>
              </w:rPr>
              <w:t>Other Agreements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color w:val="010000"/>
                <w:sz w:val="20"/>
              </w:rPr>
            </w:pPr>
            <w:r>
              <w:rPr>
                <w:color w:val="010000"/>
                <w:sz w:val="20"/>
              </w:rPr>
              <w:t>(a)</w:t>
            </w:r>
          </w:p>
        </w:tc>
        <w:tc>
          <w:tcPr>
            <w:tcW w:w="9990" w:type="dxa"/>
            <w:tcBorders/>
            <w:vAlign w:val="center"/>
          </w:tcPr>
          <w:p>
            <w:pPr>
              <w:pStyle w:val="TableContents"/>
              <w:bidi w:val="0"/>
              <w:spacing w:before="0" w:after="283"/>
              <w:jc w:val="both"/>
              <w:rPr/>
            </w:pPr>
            <w:r>
              <w:rPr>
                <w:u w:val="single"/>
              </w:rPr>
              <w:t>Transaction Milestone</w:t>
            </w:r>
            <w:r>
              <w:rPr/>
              <w:t>. On or prior to August 31, 2026, the Obligors shall have entered into definitive agreements with respect to one or more transactions, in form and substance acceptable to the Majority Lenders in their sole discretion, that (A) would result in the indefeasible payment in full in cash of all Obligations under the Loan Documents or (B) is an alternative capital solutions transaction on terms and conditions acceptable to the Majority Lenders in all respects, in their sole and absolute discretion, including, in each case, with respect to the certainty and timing of closing and the likelihood of obtaining any required shareholder, regulatory, court or other approvals, as applicable (any such transaction, an “</w:t>
            </w:r>
            <w:r>
              <w:rPr>
                <w:b/>
                <w:i/>
              </w:rPr>
              <w:t>Acceptable Transaction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010000"/>
                <w:sz w:val="20"/>
              </w:rPr>
            </w:pPr>
            <w:r>
              <w:rPr>
                <w:color w:val="010000"/>
                <w:sz w:val="20"/>
              </w:rPr>
              <w:t>(b)</w:t>
            </w:r>
          </w:p>
        </w:tc>
        <w:tc>
          <w:tcPr>
            <w:tcW w:w="9964" w:type="dxa"/>
            <w:tcBorders/>
            <w:vAlign w:val="center"/>
          </w:tcPr>
          <w:p>
            <w:pPr>
              <w:pStyle w:val="TableContents"/>
              <w:bidi w:val="0"/>
              <w:spacing w:before="0" w:after="283"/>
              <w:jc w:val="both"/>
              <w:rPr/>
            </w:pPr>
            <w:r>
              <w:rPr>
                <w:u w:val="single"/>
              </w:rPr>
              <w:t>Continued Cooperation</w:t>
            </w:r>
            <w:r>
              <w:rPr/>
              <w:t xml:space="preserve">. Through and including August 31, 2026, the Obligors shall consider in good faith any reasonable comments by the Lenders or any counterparty to a potential transaction contemplated by </w:t>
            </w:r>
            <w:r>
              <w:rPr>
                <w:u w:val="single"/>
              </w:rPr>
              <w:t>Section 4(a)</w:t>
            </w:r>
            <w:r>
              <w:rPr/>
              <w:t>, in each case with respect to any regulatory process involving material assets of the Obligors.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color w:val="010000"/>
                <w:sz w:val="20"/>
              </w:rPr>
            </w:pPr>
            <w:r>
              <w:rPr>
                <w:color w:val="010000"/>
                <w:sz w:val="20"/>
              </w:rPr>
              <w:t>(c)</w:t>
            </w:r>
          </w:p>
        </w:tc>
        <w:tc>
          <w:tcPr>
            <w:tcW w:w="9948" w:type="dxa"/>
            <w:tcBorders/>
            <w:vAlign w:val="center"/>
          </w:tcPr>
          <w:p>
            <w:pPr>
              <w:pStyle w:val="TableContents"/>
              <w:bidi w:val="0"/>
              <w:spacing w:before="0" w:after="283"/>
              <w:jc w:val="both"/>
              <w:rPr/>
            </w:pPr>
            <w:r>
              <w:rPr>
                <w:u w:val="single"/>
              </w:rPr>
              <w:t>Plan Support</w:t>
            </w:r>
            <w:r>
              <w:rPr/>
              <w:t>. In the event of any Insolvency Proceeding involving any or all of the Obligors, the QIA Lender hereby agrees: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color w:val="010000"/>
                <w:sz w:val="20"/>
              </w:rPr>
            </w:pPr>
            <w:r>
              <w:rPr>
                <w:color w:val="010000"/>
                <w:sz w:val="20"/>
              </w:rPr>
              <w:t>(i)</w:t>
            </w:r>
          </w:p>
        </w:tc>
        <w:tc>
          <w:tcPr>
            <w:tcW w:w="10022" w:type="dxa"/>
            <w:tcBorders/>
            <w:vAlign w:val="center"/>
          </w:tcPr>
          <w:p>
            <w:pPr>
              <w:pStyle w:val="TableContents"/>
              <w:bidi w:val="0"/>
              <w:spacing w:before="0" w:after="283"/>
              <w:jc w:val="both"/>
              <w:rPr/>
            </w:pPr>
            <w:r>
              <w:rPr/>
              <w:t>not to object to or oppose a sale or other disposition of all or any part of the Collateral under Section 363 of the Bankruptcy Code or any other provision of the Bankruptcy Code free and clear of any security interests, Liens, or other claims, or the process or procedures for obtaining bids for and effecting any such sale or other disposition, in each case, if (A) the Oaktree Lenders consent to such sale or other disposition, (B) the terms of such sale or other disposition are not materially or disproportionately adverse to the QIA Lender relative to the Oaktree Lenders, (C) any payments made under the Credit Agreement from the net proceeds of such sale or other disposition are applied in accordance with the waterfall provisions set forth in Section 4.01(b) of the Credit Agreement and (D) the QIA Lender has received not less than three (3) Qatari Business Days’ prior written notice of such proposed sale or other disposition;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010000"/>
                <w:sz w:val="20"/>
              </w:rPr>
            </w:pPr>
            <w:r>
              <w:rPr>
                <w:color w:val="010000"/>
                <w:sz w:val="20"/>
              </w:rPr>
              <w:t>(ii)</w:t>
            </w:r>
          </w:p>
        </w:tc>
        <w:tc>
          <w:tcPr>
            <w:tcW w:w="9964" w:type="dxa"/>
            <w:tcBorders/>
            <w:vAlign w:val="center"/>
          </w:tcPr>
          <w:p>
            <w:pPr>
              <w:pStyle w:val="TableContents"/>
              <w:bidi w:val="0"/>
              <w:spacing w:before="0" w:after="283"/>
              <w:jc w:val="both"/>
              <w:rPr/>
            </w:pPr>
            <w:r>
              <w:rPr/>
              <w:t xml:space="preserve">(x) not to propose, support or vote in favor of any Plan, or support any other Person in proposing, supporting or voting in favor of any Plan, other than a Plan that is supported by and has been approved by the Oaktree Lenders, (y) to support and vote in favor of any Plan that is supported by and has been approved by the Oaktree Lenders and (z) to support and vote in favor of, and not to oppose, or support any other Person in opposing, any pleading or motion brought or supported by, or any other action taken by, the Oaktree Lenders in any such Insolvency Proceeding, and not support any pleading or motion not supported by (or objected to by) the Oaktree Lenders; provided that, in each case, (A) such Plan, pleading, motion or action is not materially or disproportionately adverse to the QIA Lender (B) the QIA Lender shall have been provided with not less than three (3) Qatari Business Days’ prior written notice of any proposed Plan, and shall have been afforded a reasonably opportunity to review and comment on such Plan prior to the filing thereof. For purposes of this </w:t>
            </w:r>
            <w:r>
              <w:rPr>
                <w:u w:val="single"/>
              </w:rPr>
              <w:t>Section 4(c)(ii)</w:t>
            </w:r>
            <w:r>
              <w:rPr/>
              <w:t>, “</w:t>
            </w:r>
            <w:r>
              <w:rPr>
                <w:b/>
                <w:i/>
              </w:rPr>
              <w:t>Plan</w:t>
            </w:r>
            <w:r>
              <w:rPr/>
              <w:t>” shall mean, as to any Obligor, a plan of reorganization or liquidation under the Bankruptcy Code, or other plan, composition, compromise, assignment or arrangement of similar effect under any other federal, state or foreign bankruptcy, insolvency, receivership or similar law affecting creditors’ rights or any other or similar proceedings seeking any stay, moratorium, reorganization, arrangement, composition or readjustment of obligations or indebtedness.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color w:val="010000"/>
                <w:sz w:val="20"/>
              </w:rPr>
            </w:pPr>
            <w:r>
              <w:rPr>
                <w:color w:val="010000"/>
                <w:sz w:val="20"/>
              </w:rPr>
              <w:t>5.</w:t>
            </w:r>
          </w:p>
        </w:tc>
        <w:tc>
          <w:tcPr>
            <w:tcW w:w="10023" w:type="dxa"/>
            <w:tcBorders/>
            <w:vAlign w:val="center"/>
          </w:tcPr>
          <w:p>
            <w:pPr>
              <w:pStyle w:val="TableContents"/>
              <w:bidi w:val="0"/>
              <w:spacing w:before="0" w:after="283"/>
              <w:jc w:val="both"/>
              <w:rPr/>
            </w:pPr>
            <w:r>
              <w:rPr>
                <w:u w:val="single"/>
              </w:rPr>
              <w:t>Conditions Precedent to Effectiveness</w:t>
            </w:r>
            <w:r>
              <w:rPr/>
              <w:t>. This Amendment shall be subject to the following conditions precedent: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color w:val="010000"/>
                <w:sz w:val="20"/>
              </w:rPr>
            </w:pPr>
            <w:r>
              <w:rPr>
                <w:color w:val="010000"/>
                <w:sz w:val="20"/>
              </w:rPr>
              <w:t>(a)</w:t>
            </w:r>
          </w:p>
        </w:tc>
        <w:tc>
          <w:tcPr>
            <w:tcW w:w="9971" w:type="dxa"/>
            <w:tcBorders/>
            <w:vAlign w:val="center"/>
          </w:tcPr>
          <w:p>
            <w:pPr>
              <w:pStyle w:val="TableContents"/>
              <w:bidi w:val="0"/>
              <w:spacing w:before="0" w:after="283"/>
              <w:jc w:val="both"/>
              <w:rPr/>
            </w:pPr>
            <w:r>
              <w:rPr/>
              <w:t>This Amendment shall have been duly executed and delivered to the Administrative Agent by the Borrower, the Guarantors and the Lenders, which constitute all of the Lenders under the Existing Credit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color w:val="010000"/>
                <w:sz w:val="20"/>
              </w:rPr>
            </w:pPr>
            <w:r>
              <w:rPr>
                <w:color w:val="010000"/>
                <w:sz w:val="20"/>
              </w:rPr>
              <w:t>(b)</w:t>
            </w:r>
          </w:p>
        </w:tc>
        <w:tc>
          <w:tcPr>
            <w:tcW w:w="9966" w:type="dxa"/>
            <w:tcBorders/>
            <w:vAlign w:val="center"/>
          </w:tcPr>
          <w:p>
            <w:pPr>
              <w:pStyle w:val="TableContents"/>
              <w:bidi w:val="0"/>
              <w:spacing w:before="0" w:after="283"/>
              <w:jc w:val="both"/>
              <w:rPr/>
            </w:pPr>
            <w:r>
              <w:rPr/>
              <w:t>The Administrative Agent shall have received from each Obligor (x) a copy of a good standing certificate, dated a date reasonably close to the Fourteenth Amendment Effective Date, for each such Person and (y) a certificate, dated as of the Fourteenth Amendment Effective Date, duly executed and delivered by such Person’s Responsible Officer, as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color w:val="010000"/>
                <w:sz w:val="20"/>
              </w:rPr>
            </w:pPr>
            <w:r>
              <w:rPr>
                <w:color w:val="010000"/>
                <w:sz w:val="20"/>
              </w:rPr>
              <w:t>(i)</w:t>
            </w:r>
          </w:p>
        </w:tc>
        <w:tc>
          <w:tcPr>
            <w:tcW w:w="10008" w:type="dxa"/>
            <w:tcBorders/>
            <w:vAlign w:val="center"/>
          </w:tcPr>
          <w:p>
            <w:pPr>
              <w:pStyle w:val="TableContents"/>
              <w:bidi w:val="0"/>
              <w:spacing w:before="0" w:after="283"/>
              <w:jc w:val="both"/>
              <w:rPr/>
            </w:pPr>
            <w:r>
              <w:rPr/>
              <w:t>resolutions of each such Person’s Board (or, in the case of the Borrower, the Strategic Process Committee thereof) then in full force and effect authorizing the execution, delivery and performance of each Loan Document to be executed by such Person and the transactions contemplated 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color w:val="010000"/>
                <w:sz w:val="20"/>
              </w:rPr>
            </w:pPr>
            <w:r>
              <w:rPr>
                <w:color w:val="010000"/>
                <w:sz w:val="20"/>
              </w:rPr>
              <w:t>(ii)</w:t>
            </w:r>
          </w:p>
        </w:tc>
        <w:tc>
          <w:tcPr>
            <w:tcW w:w="9926" w:type="dxa"/>
            <w:tcBorders/>
            <w:vAlign w:val="center"/>
          </w:tcPr>
          <w:p>
            <w:pPr>
              <w:pStyle w:val="TableContents"/>
              <w:bidi w:val="0"/>
              <w:spacing w:before="0" w:after="283"/>
              <w:jc w:val="both"/>
              <w:rPr/>
            </w:pPr>
            <w:r>
              <w:rPr/>
              <w:t>the incumbency and signatures of Responsible Officers authorized to execute and deliver each Loan Document to be executed by such Person; and</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32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olor w:val="010000"/>
                <w:sz w:val="20"/>
              </w:rPr>
            </w:pPr>
            <w:r>
              <w:rPr>
                <w:color w:val="010000"/>
                <w:sz w:val="20"/>
              </w:rPr>
              <w:t>(iii)</w:t>
            </w:r>
          </w:p>
        </w:tc>
        <w:tc>
          <w:tcPr>
            <w:tcW w:w="8330" w:type="dxa"/>
            <w:tcBorders/>
            <w:vAlign w:val="center"/>
          </w:tcPr>
          <w:p>
            <w:pPr>
              <w:pStyle w:val="TableContents"/>
              <w:bidi w:val="0"/>
              <w:spacing w:before="0" w:after="283"/>
              <w:jc w:val="both"/>
              <w:rPr/>
            </w:pPr>
            <w:r>
              <w:rPr/>
              <w:t>the full force and validity of each Organic Document of such Person and copies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certificates shall be in form and substance satisfactory to the Administrative Agent and upon which the Administrative Agent and the Lenders may conclusively rely until they shall have received a further certificate of the Responsible Officer of any such Person cancelling or amending the prior certificate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color w:val="010000"/>
                <w:sz w:val="20"/>
              </w:rPr>
            </w:pPr>
            <w:r>
              <w:rPr>
                <w:color w:val="010000"/>
                <w:sz w:val="20"/>
              </w:rPr>
              <w:t>6.</w:t>
            </w:r>
          </w:p>
        </w:tc>
        <w:tc>
          <w:tcPr>
            <w:tcW w:w="10021" w:type="dxa"/>
            <w:tcBorders/>
            <w:vAlign w:val="center"/>
          </w:tcPr>
          <w:p>
            <w:pPr>
              <w:pStyle w:val="TableContents"/>
              <w:bidi w:val="0"/>
              <w:spacing w:before="0" w:after="283"/>
              <w:jc w:val="both"/>
              <w:rPr/>
            </w:pPr>
            <w:r>
              <w:rPr>
                <w:u w:val="single"/>
              </w:rPr>
              <w:t>Representations and Warranties</w:t>
            </w:r>
            <w:r>
              <w:rPr/>
              <w:t>. Each of the Borrower and each Guarantor hereby represents and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color w:val="010000"/>
                <w:sz w:val="20"/>
              </w:rPr>
            </w:pPr>
            <w:r>
              <w:rPr>
                <w:color w:val="010000"/>
                <w:sz w:val="20"/>
              </w:rPr>
              <w:t>(a)</w:t>
            </w:r>
          </w:p>
        </w:tc>
        <w:tc>
          <w:tcPr>
            <w:tcW w:w="9993" w:type="dxa"/>
            <w:tcBorders/>
            <w:vAlign w:val="center"/>
          </w:tcPr>
          <w:p>
            <w:pPr>
              <w:pStyle w:val="TableContents"/>
              <w:bidi w:val="0"/>
              <w:spacing w:before="0" w:after="283"/>
              <w:jc w:val="both"/>
              <w:rPr/>
            </w:pPr>
            <w:r>
              <w:rPr/>
              <w:t>None of the execution, delivery and performance by each of the Borrower and each Guarantor of this Amendment and the documents, instruments and agreements executed in connection herewith (collectively, the “</w:t>
            </w:r>
            <w:r>
              <w:rPr>
                <w:b/>
                <w:i/>
              </w:rPr>
              <w:t>Amendment Documents</w:t>
            </w:r>
            <w:r>
              <w:rPr/>
              <w:t>”)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olor w:val="010000"/>
                <w:sz w:val="20"/>
              </w:rPr>
            </w:pPr>
            <w:r>
              <w:rPr>
                <w:color w:val="010000"/>
                <w:sz w:val="20"/>
              </w:rPr>
              <w:t>(b)</w:t>
            </w:r>
          </w:p>
        </w:tc>
        <w:tc>
          <w:tcPr>
            <w:tcW w:w="9976" w:type="dxa"/>
            <w:tcBorders/>
            <w:vAlign w:val="center"/>
          </w:tcPr>
          <w:p>
            <w:pPr>
              <w:pStyle w:val="TableContents"/>
              <w:bidi w:val="0"/>
              <w:spacing w:before="0" w:after="283"/>
              <w:jc w:val="both"/>
              <w:rPr/>
            </w:pPr>
            <w:r>
              <w:rPr/>
              <w:t>This Amendment and the other Amendment Documents have been duly authorized by all necessary corporate or other organizational action including, if required, approval by all necessary holders of Equity Interests, and duly executed and delivered by the Borrower and each Guarantor and constitutes, and each of the Amendment Documents when executed and delivered by the Borrower and each Guarantor will constitute, a legal, valid and binding obligation of the Borrower, enforceable against the Borrower and each Guarantor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color w:val="010000"/>
                <w:sz w:val="20"/>
              </w:rPr>
            </w:pPr>
            <w:r>
              <w:rPr>
                <w:color w:val="010000"/>
                <w:sz w:val="20"/>
              </w:rPr>
              <w:t>(c)</w:t>
            </w:r>
          </w:p>
        </w:tc>
        <w:tc>
          <w:tcPr>
            <w:tcW w:w="9993" w:type="dxa"/>
            <w:tcBorders/>
            <w:vAlign w:val="center"/>
          </w:tcPr>
          <w:p>
            <w:pPr>
              <w:pStyle w:val="TableContents"/>
              <w:bidi w:val="0"/>
              <w:spacing w:before="0" w:after="283"/>
              <w:jc w:val="both"/>
              <w:rPr/>
            </w:pPr>
            <w:r>
              <w:rPr/>
              <w:t xml:space="preserve">None of the reports, financial statements, certificates or other written information concerning the Obligors and their Subsidiaries furnished by or on behalf of the Obligors or any of their Subsidiaries to the Administrative Agent (on behalf of itself and the Lenders) in connection with the negotiation of this Amendment and the other Loan Documents or delivered hereunder or thereunder (as modified or supplemented by other information so furnished, including the Borrower’s filings publicly available on “EDGAR”) contains any material misstatement of material fact or omits to state any material fact necessary to make the statements therein, in the light of the circumstances under which they were made, not misleading; </w:t>
            </w:r>
            <w:r>
              <w:rPr>
                <w:u w:val="single"/>
              </w:rPr>
              <w:t>provided</w:t>
            </w:r>
            <w:r>
              <w:rPr/>
              <w:t xml:space="preserve"> that, with respect to projected financial information, the Borrower represents only that such information was prepared in good faith based upon assumptions believed to be reasonable at the time, and it being understood that such projected financial information and all other forward looking information are not to be viewed as facts and that actual results during the period or periods covered thereby may differ from such projected results and that the differences may be material.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85"/>
        <w:gridCol w:w="830"/>
      </w:tblGrid>
      <w:tr>
        <w:trPr/>
        <w:tc>
          <w:tcPr>
            <w:tcW w:w="185" w:type="dxa"/>
            <w:tcBorders/>
            <w:vAlign w:val="center"/>
          </w:tcPr>
          <w:p>
            <w:pPr>
              <w:pStyle w:val="TableContents"/>
              <w:bidi w:val="0"/>
              <w:spacing w:before="0" w:after="283"/>
              <w:jc w:val="left"/>
              <w:rPr>
                <w:color w:val="010000"/>
                <w:sz w:val="20"/>
              </w:rPr>
            </w:pPr>
            <w:r>
              <w:rPr>
                <w:color w:val="010000"/>
                <w:sz w:val="20"/>
              </w:rPr>
              <w:t>7.</w:t>
            </w:r>
          </w:p>
        </w:tc>
        <w:tc>
          <w:tcPr>
            <w:tcW w:w="830" w:type="dxa"/>
            <w:tcBorders/>
            <w:vAlign w:val="center"/>
          </w:tcPr>
          <w:p>
            <w:pPr>
              <w:pStyle w:val="TableContents"/>
              <w:bidi w:val="0"/>
              <w:spacing w:before="0" w:after="283"/>
              <w:jc w:val="both"/>
              <w:rPr/>
            </w:pPr>
            <w:r>
              <w:rPr>
                <w:u w:val="single"/>
              </w:rPr>
              <w:t>Release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color w:val="010000"/>
                <w:sz w:val="20"/>
              </w:rPr>
            </w:pPr>
            <w:r>
              <w:rPr>
                <w:color w:val="010000"/>
                <w:sz w:val="20"/>
              </w:rPr>
              <w:t>(a)</w:t>
            </w:r>
          </w:p>
        </w:tc>
        <w:tc>
          <w:tcPr>
            <w:tcW w:w="9996" w:type="dxa"/>
            <w:tcBorders/>
            <w:vAlign w:val="center"/>
          </w:tcPr>
          <w:p>
            <w:pPr>
              <w:pStyle w:val="TableContents"/>
              <w:bidi w:val="0"/>
              <w:spacing w:before="0" w:after="283"/>
              <w:jc w:val="both"/>
              <w:rPr/>
            </w:pPr>
            <w:r>
              <w:rPr/>
              <w:t>In consideration of this Amendment and agreements of the Administrative Agent and the Lenders contained herein and for other good and valuable consideration, the receipt and sufficiency of which is hereby acknowledged, the Borrower and the other Obligors (the “</w:t>
            </w:r>
            <w:r>
              <w:rPr>
                <w:b/>
                <w:i/>
              </w:rPr>
              <w:t>Releasing Parties</w:t>
            </w:r>
            <w:r>
              <w:rPr/>
              <w:t>”), each on behalf of itself and its Subsidiaries and its and their respective successors, assigns and other legal representatives hereby absolutely, unconditionally and irrevocably releases, remises and forever discharges the Administrative Agent and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Party (the Administrative Agent, each Lender and all such other Persons being hereinafter referred to collectively as the “</w:t>
            </w:r>
            <w:r>
              <w:rPr>
                <w:b/>
                <w:i/>
              </w:rPr>
              <w:t>Releasees</w:t>
            </w:r>
            <w:r>
              <w:rPr/>
              <w:t>” and individually as a “</w:t>
            </w:r>
            <w:r>
              <w:rPr>
                <w:b/>
                <w:i/>
              </w:rPr>
              <w:t>Releasee</w:t>
            </w:r>
            <w:r>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the Obligors or any of their respective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b/>
                <w:i/>
              </w:rPr>
              <w:t>Claim</w:t>
            </w:r>
            <w:r>
              <w:rPr/>
              <w:t>” and collectively, the “</w:t>
            </w:r>
            <w:r>
              <w:rPr>
                <w:b/>
                <w:i/>
              </w:rPr>
              <w:t>Claims</w:t>
            </w:r>
            <w:r>
              <w:rPr/>
              <w:t xml:space="preserve">”). The Releasing Parties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w:t>
            </w:r>
            <w:r>
              <w:rPr>
                <w:u w:val="single"/>
              </w:rPr>
              <w:t>Section 7</w:t>
            </w:r>
            <w:r>
              <w:rPr/>
              <w:t xml:space="preserve">. Furthermore, the Releasing Parties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w:t>
            </w:r>
            <w:r>
              <w:rPr>
                <w:u w:val="single"/>
              </w:rPr>
              <w:t>Section 7</w:t>
            </w:r>
            <w:r>
              <w:rPr/>
              <w:t xml:space="preserve">. The foregoing release, covenant and waivers of this </w:t>
            </w:r>
            <w:r>
              <w:rPr>
                <w:u w:val="single"/>
              </w:rPr>
              <w:t>Section 7</w:t>
            </w:r>
            <w:r>
              <w:rPr/>
              <w:t xml:space="preserve">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color w:val="010000"/>
                <w:sz w:val="20"/>
              </w:rPr>
            </w:pPr>
            <w:r>
              <w:rPr>
                <w:color w:val="010000"/>
                <w:sz w:val="20"/>
              </w:rPr>
              <w:t>(b)</w:t>
            </w:r>
          </w:p>
        </w:tc>
        <w:tc>
          <w:tcPr>
            <w:tcW w:w="9964" w:type="dxa"/>
            <w:tcBorders/>
            <w:vAlign w:val="center"/>
          </w:tcPr>
          <w:p>
            <w:pPr>
              <w:pStyle w:val="TableContents"/>
              <w:bidi w:val="0"/>
              <w:spacing w:before="0" w:after="283"/>
              <w:jc w:val="both"/>
              <w:rPr/>
            </w:pPr>
            <w:r>
              <w:rPr/>
              <w:t>Each Releasing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color w:val="010000"/>
                <w:sz w:val="20"/>
              </w:rPr>
            </w:pPr>
            <w:r>
              <w:rPr>
                <w:color w:val="010000"/>
                <w:sz w:val="20"/>
              </w:rPr>
              <w:t>(c)</w:t>
            </w:r>
          </w:p>
        </w:tc>
        <w:tc>
          <w:tcPr>
            <w:tcW w:w="9975" w:type="dxa"/>
            <w:tcBorders/>
            <w:vAlign w:val="center"/>
          </w:tcPr>
          <w:p>
            <w:pPr>
              <w:pStyle w:val="TableContents"/>
              <w:bidi w:val="0"/>
              <w:spacing w:before="0" w:after="283"/>
              <w:jc w:val="both"/>
              <w:rPr/>
            </w:pPr>
            <w:r>
              <w:rPr/>
              <w:t>Each Releasing Party agrees that no fact, event, circumstance, evidence or transaction which could now be asserted or which may hereafter be discovered shall affect in any manner the final, absolute and unconditional nature of the release set forth above.</w:t>
            </w:r>
          </w:p>
        </w:tc>
      </w:tr>
    </w:tbl>
    <w:p>
      <w:pPr>
        <w:pStyle w:val="TextBody"/>
        <w:bidi w:val="0"/>
        <w:spacing w:before="0" w:after="0"/>
        <w:ind w:left="0" w:right="0" w:hanging="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10000"/>
                <w:sz w:val="20"/>
              </w:rPr>
            </w:pPr>
            <w:r>
              <w:rPr>
                <w:color w:val="010000"/>
                <w:sz w:val="20"/>
              </w:rPr>
              <w:t>8.</w:t>
            </w:r>
          </w:p>
        </w:tc>
        <w:tc>
          <w:tcPr>
            <w:tcW w:w="1895" w:type="dxa"/>
            <w:tcBorders/>
            <w:vAlign w:val="center"/>
          </w:tcPr>
          <w:p>
            <w:pPr>
              <w:pStyle w:val="TableContents"/>
              <w:bidi w:val="0"/>
              <w:spacing w:before="0" w:after="283"/>
              <w:jc w:val="both"/>
              <w:rPr/>
            </w:pPr>
            <w:r>
              <w:rPr>
                <w:u w:val="single"/>
              </w:rPr>
              <w:t>Fees and Expenses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color w:val="010000"/>
                <w:sz w:val="20"/>
              </w:rPr>
            </w:pPr>
            <w:r>
              <w:rPr>
                <w:color w:val="010000"/>
                <w:sz w:val="20"/>
              </w:rPr>
              <w:t>(a)</w:t>
            </w:r>
          </w:p>
        </w:tc>
        <w:tc>
          <w:tcPr>
            <w:tcW w:w="9988" w:type="dxa"/>
            <w:tcBorders/>
            <w:vAlign w:val="center"/>
          </w:tcPr>
          <w:p>
            <w:pPr>
              <w:pStyle w:val="TableContents"/>
              <w:bidi w:val="0"/>
              <w:spacing w:before="0" w:after="283"/>
              <w:jc w:val="both"/>
              <w:rPr/>
            </w:pPr>
            <w:r>
              <w:rPr/>
              <w:t>Within two (2) Business Days of the Fourteenth Amendment Effective Date, the Borrower shall have paid in full all of the reasonable out-of-pocket costs, fees and expenses of the Administrative Agent and the Lenders, including, the fees and expenses of Sullivan &amp; Cromwell LLP (“</w:t>
            </w:r>
            <w:r>
              <w:rPr>
                <w:b/>
                <w:i/>
              </w:rPr>
              <w:t>S&amp;C</w:t>
            </w:r>
            <w:r>
              <w:rPr/>
              <w:t>”), as outside counsel to Administrative Agent and the Oaktree Lenders and the fees and expenses of DLA Piper LLP (“</w:t>
            </w:r>
            <w:r>
              <w:rPr>
                <w:b/>
                <w:i/>
              </w:rPr>
              <w:t>DLA</w:t>
            </w:r>
            <w:r>
              <w:rPr/>
              <w:t>”), as outside counsel to Q Boost Holding LLC to the extent invoiced on or prior to the Fourteenth Amendment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olor w:val="010000"/>
                <w:sz w:val="20"/>
              </w:rPr>
            </w:pPr>
            <w:r>
              <w:rPr>
                <w:color w:val="010000"/>
                <w:sz w:val="20"/>
              </w:rPr>
              <w:t>(b)</w:t>
            </w:r>
          </w:p>
        </w:tc>
        <w:tc>
          <w:tcPr>
            <w:tcW w:w="9976" w:type="dxa"/>
            <w:tcBorders/>
            <w:vAlign w:val="center"/>
          </w:tcPr>
          <w:p>
            <w:pPr>
              <w:pStyle w:val="TableContents"/>
              <w:bidi w:val="0"/>
              <w:spacing w:before="0" w:after="283"/>
              <w:jc w:val="both"/>
              <w:rPr/>
            </w:pPr>
            <w:r>
              <w:rPr/>
              <w:t>The Borrower agrees to pay within two (2) Business Days of written demand (a) all reasonable and documented out-of-pocket fees, costs and expenses of the Administrative Agent and the Lenders accrued prior to the date hereof and (b) all reasonable and documented out-of-pocket fees, costs and expenses of the Administrative Agent and the Lenders incurred in connection with the preparation, execution, delivery, and enforcement of (i) this Amendment, (ii) any Amendment Documents, other Loan Documents or other post-closing amendments, agreements, arrangements or documentation, (iii) any other instruments and documents to be delivered hereunder or thereunder, in each case of clauses (a) and (b), including the fees and expenses of S&amp;C, as outside counsel to Administrative Agent and the Oaktree Lenders, and DLA, as outside counsel to Q Boost Holding LLC,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10000"/>
                <w:sz w:val="20"/>
              </w:rPr>
            </w:pPr>
            <w:r>
              <w:rPr>
                <w:color w:val="010000"/>
                <w:sz w:val="20"/>
              </w:rPr>
              <w:t>9.</w:t>
            </w:r>
          </w:p>
        </w:tc>
        <w:tc>
          <w:tcPr>
            <w:tcW w:w="1445"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color w:val="010000"/>
                <w:sz w:val="20"/>
              </w:rPr>
            </w:pPr>
            <w:r>
              <w:rPr>
                <w:color w:val="010000"/>
                <w:sz w:val="20"/>
              </w:rPr>
              <w:t>(a)</w:t>
            </w:r>
          </w:p>
        </w:tc>
        <w:tc>
          <w:tcPr>
            <w:tcW w:w="9992" w:type="dxa"/>
            <w:tcBorders/>
            <w:vAlign w:val="center"/>
          </w:tcPr>
          <w:p>
            <w:pPr>
              <w:pStyle w:val="TableContents"/>
              <w:bidi w:val="0"/>
              <w:spacing w:before="0" w:after="283"/>
              <w:jc w:val="both"/>
              <w:rPr/>
            </w:pPr>
            <w:r>
              <w:rPr/>
              <w:t>Except as otherwise expressly provided herein, (i) all provisions of the Credit Agreement and the other Loan Documents remain in full force and effect and (ii) the execution, delivery and effectiveness of this Amendment shall not operate as a waiver of any right, power or remedy of the Administrative Agent or the Lenders, nor constitute a waiver of any provision of the Existing Credit Agreement or any of the Loan Documents. None of the Administrative Agent or any Lender is under any obligation to enter into this Amendment. The entering into of this Amendment by such parties shall not be deemed to limit or hinder any rights of any such party under the Loan Documents, nor shall it be deemed to create or infer a course of dealing between any such party, on the one hand, and the Borrower and the Guarantors, on the other hand, with regard to any provision of the Loan Documents. This Amendment shall constitute a Loan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color w:val="010000"/>
                <w:sz w:val="20"/>
              </w:rPr>
            </w:pPr>
            <w:r>
              <w:rPr>
                <w:color w:val="010000"/>
                <w:sz w:val="20"/>
              </w:rPr>
              <w:t>(b)</w:t>
            </w:r>
          </w:p>
        </w:tc>
        <w:tc>
          <w:tcPr>
            <w:tcW w:w="9966" w:type="dxa"/>
            <w:tcBorders/>
            <w:vAlign w:val="center"/>
          </w:tcPr>
          <w:p>
            <w:pPr>
              <w:pStyle w:val="TableContents"/>
              <w:bidi w:val="0"/>
              <w:spacing w:before="0" w:after="283"/>
              <w:jc w:val="both"/>
              <w:rPr/>
            </w:pPr>
            <w:r>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color w:val="010000"/>
                <w:sz w:val="20"/>
              </w:rPr>
            </w:pPr>
            <w:r>
              <w:rPr>
                <w:color w:val="010000"/>
                <w:sz w:val="20"/>
              </w:rPr>
              <w:t>(c)</w:t>
            </w:r>
          </w:p>
        </w:tc>
        <w:tc>
          <w:tcPr>
            <w:tcW w:w="9971" w:type="dxa"/>
            <w:tcBorders/>
            <w:vAlign w:val="center"/>
          </w:tcPr>
          <w:p>
            <w:pPr>
              <w:pStyle w:val="TableContents"/>
              <w:bidi w:val="0"/>
              <w:spacing w:before="0" w:after="283"/>
              <w:jc w:val="both"/>
              <w:rPr/>
            </w:pPr>
            <w:r>
              <w:rPr/>
              <w:t>This Amendment expresses the entire understanding of the parties with respect to the amendments contemplated hereby. No prior negotiations or discussions shall limit, modify, or otherwise affect the provisions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color w:val="010000"/>
                <w:sz w:val="20"/>
              </w:rPr>
            </w:pPr>
            <w:r>
              <w:rPr>
                <w:color w:val="010000"/>
                <w:sz w:val="20"/>
              </w:rPr>
              <w:t>(d)</w:t>
            </w:r>
          </w:p>
        </w:tc>
        <w:tc>
          <w:tcPr>
            <w:tcW w:w="9955" w:type="dxa"/>
            <w:tcBorders/>
            <w:vAlign w:val="center"/>
          </w:tcPr>
          <w:p>
            <w:pPr>
              <w:pStyle w:val="TableContents"/>
              <w:bidi w:val="0"/>
              <w:spacing w:before="0" w:after="283"/>
              <w:jc w:val="both"/>
              <w:rPr/>
            </w:pPr>
            <w:r>
              <w:rPr/>
              <w:t xml:space="preserve">This Amendment and its contents shall be subject to the governing law, indemnification, venue, service of process, waivers of jury trial and severability provisions of the Existing Credit Agreement, </w:t>
            </w:r>
            <w:r>
              <w:rPr>
                <w:i/>
              </w:rPr>
              <w:t>mutatis mutandis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189" w:type="dxa"/>
        <w:jc w:val="left"/>
        <w:tblInd w:w="0" w:type="dxa"/>
        <w:tblLayout w:type="fixed"/>
        <w:tblCellMar>
          <w:top w:w="0" w:type="dxa"/>
          <w:left w:w="0" w:type="dxa"/>
          <w:bottom w:w="0" w:type="dxa"/>
          <w:right w:w="0" w:type="dxa"/>
        </w:tblCellMar>
      </w:tblPr>
      <w:tblGrid>
        <w:gridCol w:w="75"/>
        <w:gridCol w:w="896"/>
        <w:gridCol w:w="32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2A302C"/>
                <w:sz w:val="20"/>
              </w:rPr>
            </w:pPr>
            <w:r>
              <w:rPr>
                <w:rFonts w:ascii="Times New Roman;Times;Serif" w:hAnsi="Times New Roman;Times;Serif"/>
                <w:b/>
                <w:i w:val="false"/>
                <w:caps w:val="false"/>
                <w:smallCaps w:val="false"/>
                <w:color w:val="2A302C"/>
                <w:sz w:val="20"/>
                <w:u w:val="single"/>
              </w:rPr>
              <w:t>BORROWER</w:t>
            </w:r>
            <w:r>
              <w:rPr>
                <w:rFonts w:ascii="Times New Roman;Times;Serif" w:hAnsi="Times New Roman;Times;Serif"/>
                <w:b/>
                <w:i w:val="false"/>
                <w:caps w:val="false"/>
                <w:smallCaps w:val="false"/>
                <w:color w:val="2A302C"/>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color w:val="2A302C"/>
                <w:sz w:val="20"/>
              </w:rPr>
            </w:pPr>
            <w:r>
              <w:rPr>
                <w:rFonts w:ascii="Times New Roman;Times;Serif" w:hAnsi="Times New Roman;Times;Serif"/>
                <w:b/>
                <w:i w:val="false"/>
                <w:caps w:val="false"/>
                <w:smallCaps w:val="false"/>
                <w:color w:val="2A302C"/>
                <w:sz w:val="20"/>
              </w:rPr>
              <w:t>BIOXCEL THERAPEUTICS,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Vimal Mehta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321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Long Wharf Drive, 12th Floor</w:t>
              <w:br/>
              <w:t xml:space="preserve">New Haven, CT </w:t>
              <w:br/>
              <w:t>06511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Cooley LLP </w:t>
              <w:br/>
              <w:t xml:space="preserve">3 Embarcadero Center </w:t>
              <w:br/>
              <w:t xml:space="preserve">20th Floor </w:t>
              <w:br/>
              <w:t>San Francisco, CA 94111-4004</w:t>
              <w:br/>
              <w:t xml:space="preserve">Attn: Mischi a Marca </w:t>
              <w:br/>
              <w:t>Email: gmamarca@cooley.com</w:t>
            </w:r>
          </w:p>
        </w:tc>
      </w:tr>
    </w:tbl>
    <w:p>
      <w:pPr>
        <w:pStyle w:val="TextBody"/>
        <w:bidi w:val="0"/>
        <w:spacing w:before="0" w:after="0"/>
        <w:ind w:left="0" w:right="0" w:hanging="0"/>
        <w:jc w:val="left"/>
        <w:rPr>
          <w:caps w:val="false"/>
          <w:smallCaps w:val="false"/>
        </w:rPr>
      </w:pPr>
      <w:r>
        <w:rPr>
          <w:caps w:val="false"/>
          <w:smallCaps w:val="false"/>
        </w:rPr>
        <w:t> </w:t>
      </w:r>
    </w:p>
    <w:tbl>
      <w:tblPr>
        <w:tblW w:w="5089" w:type="dxa"/>
        <w:jc w:val="left"/>
        <w:tblInd w:w="0" w:type="dxa"/>
        <w:tblLayout w:type="fixed"/>
        <w:tblCellMar>
          <w:top w:w="0" w:type="dxa"/>
          <w:left w:w="0" w:type="dxa"/>
          <w:bottom w:w="0" w:type="dxa"/>
          <w:right w:w="0" w:type="dxa"/>
        </w:tblCellMar>
      </w:tblPr>
      <w:tblGrid>
        <w:gridCol w:w="75"/>
        <w:gridCol w:w="1693"/>
        <w:gridCol w:w="3321"/>
      </w:tblGrid>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sz w:val="20"/>
              </w:rPr>
            </w:pPr>
            <w:r>
              <w:rPr>
                <w:rFonts w:ascii="Times New Roman;Times;Serif" w:hAnsi="Times New Roman;Times;Serif"/>
                <w:b/>
                <w:color w:val="2A302C"/>
                <w:sz w:val="20"/>
                <w:u w:val="single"/>
              </w:rPr>
              <w:t>GUARANTORS</w:t>
            </w:r>
            <w:r>
              <w:rPr>
                <w:rFonts w:ascii="Times New Roman;Times;Serif" w:hAnsi="Times New Roman;Times;Serif"/>
                <w:b/>
                <w:color w:val="2A302C"/>
                <w:sz w:val="20"/>
              </w:rPr>
              <w:t>:</w:t>
            </w:r>
          </w:p>
        </w:tc>
      </w:tr>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rFonts w:ascii="Times New Roman;Times;Serif" w:hAnsi="Times New Roman;Times;Serif"/>
                <w:b/>
                <w:color w:val="2A302C"/>
                <w:sz w:val="20"/>
              </w:rPr>
            </w:pPr>
            <w:r>
              <w:rPr>
                <w:rFonts w:ascii="Times New Roman;Times;Serif" w:hAnsi="Times New Roman;Times;Serif"/>
                <w:b/>
                <w:color w:val="2A302C"/>
                <w:sz w:val="20"/>
              </w:rPr>
              <w:t>ONKOSXCEL THERAPEUTICS, LLC</w:t>
            </w:r>
          </w:p>
        </w:tc>
      </w:tr>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before="0" w:after="283"/>
              <w:jc w:val="left"/>
              <w:rPr/>
            </w:pPr>
            <w:r>
              <w:rPr/>
              <w:t>By:</w:t>
            </w:r>
          </w:p>
        </w:tc>
        <w:tc>
          <w:tcPr>
            <w:tcW w:w="332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before="0" w:after="283"/>
              <w:jc w:val="left"/>
              <w:rPr/>
            </w:pPr>
            <w:r>
              <w:rPr/>
              <w:t>Name:</w:t>
            </w:r>
          </w:p>
        </w:tc>
        <w:tc>
          <w:tcPr>
            <w:tcW w:w="33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before="0" w:after="283"/>
              <w:jc w:val="left"/>
              <w:rPr/>
            </w:pPr>
            <w:r>
              <w:rPr/>
              <w:t>Title:</w:t>
            </w:r>
          </w:p>
        </w:tc>
        <w:tc>
          <w:tcPr>
            <w:tcW w:w="33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before="0" w:after="283"/>
              <w:jc w:val="left"/>
              <w:rPr/>
            </w:pPr>
            <w:r>
              <w:rPr/>
              <w:t> </w:t>
            </w:r>
          </w:p>
        </w:tc>
        <w:tc>
          <w:tcPr>
            <w:tcW w:w="33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b/>
              </w:rPr>
            </w:pPr>
            <w:r>
              <w:rPr>
                <w:b/>
              </w:rPr>
              <w:t>ONKOSXCEL EMPLOYEE HOLDINGS, LLC</w:t>
            </w:r>
          </w:p>
        </w:tc>
      </w:tr>
      <w:tr>
        <w:trPr/>
        <w:tc>
          <w:tcPr>
            <w:tcW w:w="75" w:type="dxa"/>
            <w:tcBorders/>
            <w:vAlign w:val="center"/>
          </w:tcPr>
          <w:p>
            <w:pPr>
              <w:pStyle w:val="TableContents"/>
              <w:bidi w:val="0"/>
              <w:spacing w:before="0" w:after="283"/>
              <w:jc w:val="left"/>
              <w:rPr/>
            </w:pPr>
            <w:r>
              <w:rPr/>
              <w:t> </w:t>
            </w:r>
          </w:p>
        </w:tc>
        <w:tc>
          <w:tcPr>
            <w:tcW w:w="5014"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before="0" w:after="283"/>
              <w:jc w:val="left"/>
              <w:rPr>
                <w:sz w:val="20"/>
              </w:rPr>
            </w:pPr>
            <w:r>
              <w:rPr>
                <w:sz w:val="20"/>
              </w:rPr>
              <w:t>By:</w:t>
            </w:r>
          </w:p>
        </w:tc>
        <w:tc>
          <w:tcPr>
            <w:tcW w:w="332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before="0" w:after="283"/>
              <w:jc w:val="left"/>
              <w:rPr>
                <w:sz w:val="20"/>
              </w:rPr>
            </w:pPr>
            <w:r>
              <w:rPr>
                <w:sz w:val="20"/>
              </w:rPr>
              <w:t>Name:</w:t>
            </w:r>
          </w:p>
        </w:tc>
        <w:tc>
          <w:tcPr>
            <w:tcW w:w="33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3" w:type="dxa"/>
            <w:tcBorders/>
            <w:vAlign w:val="center"/>
          </w:tcPr>
          <w:p>
            <w:pPr>
              <w:pStyle w:val="TableContents"/>
              <w:bidi w:val="0"/>
              <w:spacing w:before="0" w:after="283"/>
              <w:jc w:val="left"/>
              <w:rPr>
                <w:sz w:val="20"/>
              </w:rPr>
            </w:pPr>
            <w:r>
              <w:rPr>
                <w:sz w:val="20"/>
              </w:rPr>
              <w:t>Title:</w:t>
            </w:r>
          </w:p>
        </w:tc>
        <w:tc>
          <w:tcPr>
            <w:tcW w:w="332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75"/>
        <w:gridCol w:w="464"/>
        <w:gridCol w:w="694"/>
        <w:gridCol w:w="2700"/>
      </w:tblGrid>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sz w:val="20"/>
              </w:rPr>
            </w:pPr>
            <w:r>
              <w:rPr>
                <w:rFonts w:ascii="Times New Roman;Times;Serif" w:hAnsi="Times New Roman;Times;Serif"/>
                <w:b/>
                <w:sz w:val="20"/>
                <w:u w:val="single"/>
              </w:rPr>
              <w:t>ADMINISTRATIVE AGENT</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FUND ADMINISTRATION, LLC</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3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By:</w:t>
            </w:r>
          </w:p>
        </w:tc>
        <w:tc>
          <w:tcPr>
            <w:tcW w:w="339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9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Los Angeles, CA 90071</w:t>
              <w:br/>
              <w:t xml:space="preserve">Attn:  Oaktree Agency </w:t>
            </w:r>
            <w:r>
              <w:rPr>
                <w:sz w:val="20"/>
              </w:rPr>
              <w:b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With a copy to:  </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 xml:space="preserve">Los Angeles, CA 90071 </w:t>
              <w:br/>
              <w:t>Attn:  Aman Kumar</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3858"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r>
            <w:r>
              <w:rPr>
                <w:sz w:val="20"/>
              </w:rPr>
              <w:b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64" w:type="dxa"/>
        <w:jc w:val="left"/>
        <w:tblInd w:w="0" w:type="dxa"/>
        <w:tblLayout w:type="fixed"/>
        <w:tblCellMar>
          <w:top w:w="0" w:type="dxa"/>
          <w:left w:w="0" w:type="dxa"/>
          <w:bottom w:w="0" w:type="dxa"/>
          <w:right w:w="0" w:type="dxa"/>
        </w:tblCellMar>
      </w:tblPr>
      <w:tblGrid>
        <w:gridCol w:w="75"/>
        <w:gridCol w:w="430"/>
        <w:gridCol w:w="642"/>
        <w:gridCol w:w="3117"/>
      </w:tblGrid>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sz w:val="20"/>
              </w:rPr>
            </w:pPr>
            <w:r>
              <w:rPr>
                <w:rFonts w:ascii="Times New Roman;Times;Serif" w:hAnsi="Times New Roman;Times;Serif"/>
                <w:b/>
                <w:sz w:val="20"/>
                <w:u w:val="single"/>
              </w:rPr>
              <w:t>LENDERS</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OAKTREE-TCDRS STRATEGIC CREDIT, LLC</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7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7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By:</w:t>
            </w:r>
          </w:p>
        </w:tc>
        <w:tc>
          <w:tcPr>
            <w:tcW w:w="375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17" w:type="dxa"/>
            <w:tcBorders/>
            <w:vAlign w:val="center"/>
          </w:tcPr>
          <w:p>
            <w:pPr>
              <w:pStyle w:val="TableContents"/>
              <w:bidi w:val="0"/>
              <w:spacing w:before="0" w:after="283"/>
              <w:jc w:val="left"/>
              <w:rPr>
                <w:sz w:val="20"/>
              </w:rPr>
            </w:pPr>
            <w:r>
              <w:rPr>
                <w:sz w:val="20"/>
              </w:rPr>
              <w:t>Mar</w:t>
            </w:r>
            <w:r>
              <w:rPr>
                <w:rFonts w:ascii="Times New Roman;Times;Serif" w:hAnsi="Times New Roman;Times;Serif"/>
                <w:sz w:val="20"/>
              </w:rPr>
              <w:t>Name:y Gallegly                    </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7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7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 xml:space="preserve">Oaktree Fund Administration, LLC </w:t>
              <w:br/>
              <w:t>333 S. Grand Avenue, 28th Fl.</w:t>
              <w:br/>
              <w:t xml:space="preserve">Los Angeles, CA 90071 </w:t>
              <w:br/>
              <w:t>Attn:  Oaktree Agency</w:t>
              <w:br/>
              <w:t>Email: Oaktreeagency@alterdomus.com</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With a copy to:  </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 xml:space="preserve">Oaktree Capital Management, L.P. </w:t>
              <w:br/>
              <w:t>333 S. Grand Avenue, 28th Fl.</w:t>
              <w:br/>
              <w:t xml:space="preserve">Los Angeles, CA 90071 </w:t>
              <w:br/>
              <w:t>Attn:  Aman Kumar</w:t>
              <w:br/>
              <w:t>Email: AmKumar@oaktreecapital.com</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189" w:type="dxa"/>
            <w:gridSpan w:val="3"/>
            <w:tcBorders/>
            <w:vAlign w:val="center"/>
          </w:tcPr>
          <w:p>
            <w:pPr>
              <w:pStyle w:val="TableContents"/>
              <w:bidi w:val="0"/>
              <w:spacing w:before="0" w:after="283"/>
              <w:jc w:val="left"/>
              <w:rPr/>
            </w:pPr>
            <w:r>
              <w:rPr/>
              <w:t xml:space="preserve">Sullivan &amp; Cromwell LLP </w:t>
              <w:br/>
              <w:t>125 Broad Street</w:t>
              <w:br/>
              <w:t xml:space="preserve">New York, NY 10004 </w:t>
              <w:br/>
              <w:t>Attn:  Ari B. Blaut</w:t>
              <w:br/>
              <w:t>Email: 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75"/>
        <w:gridCol w:w="535"/>
        <w:gridCol w:w="864"/>
        <w:gridCol w:w="2909"/>
      </w:tblGrid>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OAKTREE-FORREST MULTI-STRATEGY, LLC</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7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77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377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By:</w:t>
            </w:r>
          </w:p>
        </w:tc>
        <w:tc>
          <w:tcPr>
            <w:tcW w:w="377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2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377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7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20"/>
              </w:rPr>
            </w:pPr>
            <w:r>
              <w:rPr>
                <w:sz w:val="20"/>
              </w:rPr>
              <w:t>Title:</w:t>
            </w:r>
          </w:p>
        </w:tc>
        <w:tc>
          <w:tcPr>
            <w:tcW w:w="29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left"/>
              <w:rPr/>
            </w:pPr>
            <w:r>
              <w:rPr/>
              <w:t> </w:t>
            </w:r>
          </w:p>
        </w:tc>
        <w:tc>
          <w:tcPr>
            <w:tcW w:w="377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w:t>
              <w:br/>
              <w:t>Los Angeles, CA 90071</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308" w:type="dxa"/>
            <w:gridSpan w:val="3"/>
            <w:tcBorders/>
            <w:vAlign w:val="center"/>
          </w:tcPr>
          <w:p>
            <w:pPr>
              <w:pStyle w:val="TableContents"/>
              <w:bidi w:val="0"/>
              <w:spacing w:before="0" w:after="283"/>
              <w:jc w:val="left"/>
              <w:rPr/>
            </w:pPr>
            <w:r>
              <w:rPr/>
              <w:t>Sullivan &amp; Cromwell LLP</w:t>
              <w:br/>
              <w:t>125 Broad Street</w:t>
              <w:br/>
              <w:t>New York, NY 10004</w:t>
              <w:br/>
              <w:t xml:space="preserve">Attn:  Ari B. Blaut </w:t>
            </w:r>
            <w:r>
              <w:rPr>
                <w:sz w:val="20"/>
              </w:rPr>
              <w:br/>
              <w:t xml:space="preserve">Email: </w:t>
            </w:r>
            <w:r>
              <w:rPr/>
              <w:t>blauta@sullcrom.com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75"/>
        <w:gridCol w:w="587"/>
        <w:gridCol w:w="877"/>
        <w:gridCol w:w="3414"/>
      </w:tblGrid>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C, LLC</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2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2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By:</w:t>
            </w:r>
          </w:p>
        </w:tc>
        <w:tc>
          <w:tcPr>
            <w:tcW w:w="429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2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9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2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39" w:type="dxa"/>
        <w:jc w:val="left"/>
        <w:tblInd w:w="0" w:type="dxa"/>
        <w:tblLayout w:type="fixed"/>
        <w:tblCellMar>
          <w:top w:w="0" w:type="dxa"/>
          <w:left w:w="0" w:type="dxa"/>
          <w:bottom w:w="0" w:type="dxa"/>
          <w:right w:w="0" w:type="dxa"/>
        </w:tblCellMar>
      </w:tblPr>
      <w:tblGrid>
        <w:gridCol w:w="75"/>
        <w:gridCol w:w="586"/>
        <w:gridCol w:w="875"/>
        <w:gridCol w:w="3403"/>
      </w:tblGrid>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F, LLC</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7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27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427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By:</w:t>
            </w:r>
          </w:p>
        </w:tc>
        <w:tc>
          <w:tcPr>
            <w:tcW w:w="427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427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7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427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864"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75"/>
        <w:gridCol w:w="587"/>
        <w:gridCol w:w="877"/>
        <w:gridCol w:w="3414"/>
      </w:tblGrid>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OAKTREE-TBMR STRATEGIC CREDIT FUND C, LLC</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29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2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By:</w:t>
            </w:r>
          </w:p>
        </w:tc>
        <w:tc>
          <w:tcPr>
            <w:tcW w:w="429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2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9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29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878"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75"/>
        <w:gridCol w:w="502"/>
        <w:gridCol w:w="750"/>
        <w:gridCol w:w="2921"/>
      </w:tblGrid>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OAKTREE-TSE 16 STRATEGIC CREDIT, LLC</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7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67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367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367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367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501"/>
        <w:gridCol w:w="748"/>
        <w:gridCol w:w="2910"/>
      </w:tblGrid>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INPRS STRATEGIC CREDIT HOLDINGS, LLC</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658"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365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By:</w:t>
            </w:r>
          </w:p>
        </w:tc>
        <w:tc>
          <w:tcPr>
            <w:tcW w:w="365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365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01" w:type="dxa"/>
            <w:tcBorders/>
            <w:vAlign w:val="center"/>
          </w:tcPr>
          <w:p>
            <w:pPr>
              <w:pStyle w:val="TableContents"/>
              <w:bidi w:val="0"/>
              <w:spacing w:before="0" w:after="283"/>
              <w:jc w:val="left"/>
              <w:rPr/>
            </w:pPr>
            <w:r>
              <w:rPr/>
              <w:t> </w:t>
            </w:r>
          </w:p>
        </w:tc>
        <w:tc>
          <w:tcPr>
            <w:tcW w:w="3658"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84" w:type="dxa"/>
        <w:jc w:val="left"/>
        <w:tblInd w:w="0" w:type="dxa"/>
        <w:tblLayout w:type="fixed"/>
        <w:tblCellMar>
          <w:top w:w="0" w:type="dxa"/>
          <w:left w:w="0" w:type="dxa"/>
          <w:bottom w:w="0" w:type="dxa"/>
          <w:right w:w="0" w:type="dxa"/>
        </w:tblCellMar>
      </w:tblPr>
      <w:tblGrid>
        <w:gridCol w:w="75"/>
        <w:gridCol w:w="555"/>
        <w:gridCol w:w="829"/>
        <w:gridCol w:w="3225"/>
      </w:tblGrid>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SPECIALTY LENDING CORPORATION</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54" w:type="dxa"/>
            <w:gridSpan w:val="2"/>
            <w:tcBorders/>
            <w:vAlign w:val="center"/>
          </w:tcPr>
          <w:p>
            <w:pPr>
              <w:pStyle w:val="TableContents"/>
              <w:bidi w:val="0"/>
              <w:spacing w:before="0" w:after="283"/>
              <w:jc w:val="left"/>
              <w:rPr>
                <w:sz w:val="20"/>
              </w:rPr>
            </w:pPr>
            <w:r>
              <w:rPr>
                <w:sz w:val="20"/>
              </w:rPr>
              <w:t>Oaktree Fund Advisors, LLC</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054" w:type="dxa"/>
            <w:gridSpan w:val="2"/>
            <w:tcBorders/>
            <w:vAlign w:val="center"/>
          </w:tcPr>
          <w:p>
            <w:pPr>
              <w:pStyle w:val="TableContents"/>
              <w:bidi w:val="0"/>
              <w:spacing w:before="0" w:after="283"/>
              <w:jc w:val="left"/>
              <w:rPr>
                <w:sz w:val="20"/>
              </w:rPr>
            </w:pPr>
            <w:r>
              <w:rPr>
                <w:sz w:val="20"/>
              </w:rPr>
              <w:t>Investment Adviser</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40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By:</w:t>
            </w:r>
          </w:p>
        </w:tc>
        <w:tc>
          <w:tcPr>
            <w:tcW w:w="405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40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5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55" w:type="dxa"/>
            <w:tcBorders/>
            <w:vAlign w:val="center"/>
          </w:tcPr>
          <w:p>
            <w:pPr>
              <w:pStyle w:val="TableContents"/>
              <w:bidi w:val="0"/>
              <w:spacing w:before="0" w:after="283"/>
              <w:jc w:val="left"/>
              <w:rPr/>
            </w:pPr>
            <w:r>
              <w:rPr/>
              <w:t> </w:t>
            </w:r>
          </w:p>
        </w:tc>
        <w:tc>
          <w:tcPr>
            <w:tcW w:w="40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44" w:type="dxa"/>
        <w:jc w:val="left"/>
        <w:tblInd w:w="0" w:type="dxa"/>
        <w:tblLayout w:type="fixed"/>
        <w:tblCellMar>
          <w:top w:w="0" w:type="dxa"/>
          <w:left w:w="0" w:type="dxa"/>
          <w:bottom w:w="0" w:type="dxa"/>
          <w:right w:w="0" w:type="dxa"/>
        </w:tblCellMar>
      </w:tblPr>
      <w:tblGrid>
        <w:gridCol w:w="75"/>
        <w:gridCol w:w="453"/>
        <w:gridCol w:w="678"/>
        <w:gridCol w:w="2638"/>
      </w:tblGrid>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STRATEGIC CREDIT FUND</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6" w:type="dxa"/>
            <w:gridSpan w:val="2"/>
            <w:tcBorders/>
            <w:vAlign w:val="center"/>
          </w:tcPr>
          <w:p>
            <w:pPr>
              <w:pStyle w:val="TableContents"/>
              <w:bidi w:val="0"/>
              <w:spacing w:before="0" w:after="283"/>
              <w:jc w:val="left"/>
              <w:rPr>
                <w:sz w:val="20"/>
              </w:rPr>
            </w:pPr>
            <w:r>
              <w:rPr>
                <w:sz w:val="20"/>
              </w:rPr>
              <w:t>Oaktree Fund Advisors, LLC</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316" w:type="dxa"/>
            <w:gridSpan w:val="2"/>
            <w:tcBorders/>
            <w:vAlign w:val="center"/>
          </w:tcPr>
          <w:p>
            <w:pPr>
              <w:pStyle w:val="TableContents"/>
              <w:bidi w:val="0"/>
              <w:spacing w:before="0" w:after="283"/>
              <w:jc w:val="left"/>
              <w:rPr>
                <w:sz w:val="20"/>
              </w:rPr>
            </w:pPr>
            <w:r>
              <w:rPr>
                <w:sz w:val="20"/>
              </w:rPr>
              <w:t>Investment Adviser</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 </w:t>
            </w:r>
          </w:p>
        </w:tc>
        <w:tc>
          <w:tcPr>
            <w:tcW w:w="331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By:</w:t>
            </w:r>
          </w:p>
        </w:tc>
        <w:tc>
          <w:tcPr>
            <w:tcW w:w="3316"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 </w:t>
            </w:r>
          </w:p>
        </w:tc>
        <w:tc>
          <w:tcPr>
            <w:tcW w:w="331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16"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 </w:t>
            </w:r>
          </w:p>
        </w:tc>
        <w:tc>
          <w:tcPr>
            <w:tcW w:w="331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75"/>
        <w:gridCol w:w="569"/>
        <w:gridCol w:w="850"/>
        <w:gridCol w:w="3309"/>
      </w:tblGrid>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b/>
                <w:sz w:val="20"/>
              </w:rPr>
            </w:pPr>
            <w:r>
              <w:rPr>
                <w:b/>
                <w:sz w:val="20"/>
              </w:rPr>
              <w:t>OAKTREE GCP FUND DELAWARE HOLDINGS, L.P.</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9" w:type="dxa"/>
            <w:gridSpan w:val="2"/>
            <w:tcBorders/>
            <w:vAlign w:val="center"/>
          </w:tcPr>
          <w:p>
            <w:pPr>
              <w:pStyle w:val="TableContents"/>
              <w:bidi w:val="0"/>
              <w:spacing w:before="0" w:after="283"/>
              <w:jc w:val="left"/>
              <w:rPr>
                <w:sz w:val="20"/>
              </w:rPr>
            </w:pPr>
            <w:r>
              <w:rPr>
                <w:sz w:val="20"/>
              </w:rPr>
              <w:t>Oaktree Global Credit Plus Fund GP, L.P.</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159" w:type="dxa"/>
            <w:gridSpan w:val="2"/>
            <w:tcBorders/>
            <w:vAlign w:val="center"/>
          </w:tcPr>
          <w:p>
            <w:pPr>
              <w:pStyle w:val="TableContents"/>
              <w:bidi w:val="0"/>
              <w:spacing w:before="0" w:after="283"/>
              <w:jc w:val="left"/>
              <w:rPr>
                <w:sz w:val="20"/>
              </w:rPr>
            </w:pPr>
            <w:r>
              <w:rPr>
                <w:sz w:val="20"/>
              </w:rPr>
              <w:t>General Partner</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9" w:type="dxa"/>
            <w:gridSpan w:val="2"/>
            <w:tcBorders/>
            <w:vAlign w:val="center"/>
          </w:tcPr>
          <w:p>
            <w:pPr>
              <w:pStyle w:val="TableContents"/>
              <w:bidi w:val="0"/>
              <w:spacing w:before="0" w:after="283"/>
              <w:jc w:val="left"/>
              <w:rPr>
                <w:sz w:val="20"/>
              </w:rPr>
            </w:pPr>
            <w:r>
              <w:rPr>
                <w:sz w:val="20"/>
              </w:rPr>
              <w:t>Oaktree Global Credit Plus Fund GP Ltd.</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159" w:type="dxa"/>
            <w:gridSpan w:val="2"/>
            <w:tcBorders/>
            <w:vAlign w:val="center"/>
          </w:tcPr>
          <w:p>
            <w:pPr>
              <w:pStyle w:val="TableContents"/>
              <w:bidi w:val="0"/>
              <w:spacing w:before="0" w:after="283"/>
              <w:jc w:val="left"/>
              <w:rPr>
                <w:sz w:val="20"/>
              </w:rPr>
            </w:pPr>
            <w:r>
              <w:rPr>
                <w:sz w:val="20"/>
              </w:rPr>
              <w:t>General Partner</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9" w:type="dxa"/>
            <w:gridSpan w:val="2"/>
            <w:tcBorders/>
            <w:vAlign w:val="center"/>
          </w:tcPr>
          <w:p>
            <w:pPr>
              <w:pStyle w:val="TableContents"/>
              <w:bidi w:val="0"/>
              <w:spacing w:before="0" w:after="283"/>
              <w:jc w:val="left"/>
              <w:rPr>
                <w:sz w:val="20"/>
              </w:rPr>
            </w:pPr>
            <w:r>
              <w:rPr>
                <w:sz w:val="20"/>
              </w:rPr>
              <w:t>Oaktree Capital Management, L.P.</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159" w:type="dxa"/>
            <w:gridSpan w:val="2"/>
            <w:tcBorders/>
            <w:vAlign w:val="center"/>
          </w:tcPr>
          <w:p>
            <w:pPr>
              <w:pStyle w:val="TableContents"/>
              <w:bidi w:val="0"/>
              <w:spacing w:before="0" w:after="283"/>
              <w:jc w:val="left"/>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By:</w:t>
            </w:r>
          </w:p>
        </w:tc>
        <w:tc>
          <w:tcPr>
            <w:tcW w:w="415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left"/>
              <w:rPr/>
            </w:pPr>
            <w:r>
              <w:rPr/>
              <w:t> </w:t>
            </w:r>
          </w:p>
        </w:tc>
        <w:tc>
          <w:tcPr>
            <w:tcW w:w="41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728"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75"/>
        <w:gridCol w:w="502"/>
        <w:gridCol w:w="750"/>
        <w:gridCol w:w="2921"/>
      </w:tblGrid>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b/>
                <w:sz w:val="20"/>
              </w:rPr>
            </w:pPr>
            <w:r>
              <w:rPr>
                <w:b/>
                <w:sz w:val="20"/>
              </w:rPr>
              <w:t>OAKTREE DIVERSIFIED INCOME FUND INC.</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7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Fund Advisors, LLC</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67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Adviser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367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367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7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left"/>
              <w:rPr/>
            </w:pPr>
            <w:r>
              <w:rPr/>
              <w:t> </w:t>
            </w:r>
          </w:p>
        </w:tc>
        <w:tc>
          <w:tcPr>
            <w:tcW w:w="3671"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173"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5"/>
        <w:gridCol w:w="537"/>
        <w:gridCol w:w="802"/>
        <w:gridCol w:w="3120"/>
      </w:tblGrid>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OAKTREE AZ STRATEGIC LENDING FUND, L.P.</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AZ Strategic Lending Fund GP, L.P.</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92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Fund GP IIA, LLC</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92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Fund GP II, L.P.</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92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By:</w:t>
            </w:r>
          </w:p>
        </w:tc>
        <w:tc>
          <w:tcPr>
            <w:tcW w:w="3922"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20"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2"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20"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39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459"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75"/>
        <w:gridCol w:w="568"/>
        <w:gridCol w:w="849"/>
        <w:gridCol w:w="3116"/>
      </w:tblGrid>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b/>
                <w:caps/>
                <w:sz w:val="20"/>
              </w:rPr>
            </w:pPr>
            <w:r>
              <w:rPr>
                <w:b/>
                <w:caps/>
                <w:sz w:val="20"/>
              </w:rPr>
              <w:t>Oaktree LSL Fund Holdings EURRC S.à r.l.</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sz w:val="20"/>
              </w:rPr>
            </w:pPr>
            <w:r>
              <w:rPr>
                <w:sz w:val="20"/>
              </w:rPr>
              <w:t>26A, boulevard Royal L-2449</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sz w:val="20"/>
              </w:rPr>
            </w:pPr>
            <w:r>
              <w:rPr>
                <w:sz w:val="20"/>
              </w:rPr>
              <w:t>Luxembourg, Grand Duchy of Luxembourg</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sz w:val="20"/>
              </w:rPr>
            </w:pPr>
            <w:r>
              <w:rPr>
                <w:sz w:val="20"/>
              </w:rPr>
              <w:t>R.C.S Luxembourg Number: B269245</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39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By:</w:t>
            </w:r>
          </w:p>
        </w:tc>
        <w:tc>
          <w:tcPr>
            <w:tcW w:w="396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Eckel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16" w:type="dxa"/>
            <w:tcBorders/>
            <w:vAlign w:val="center"/>
          </w:tcPr>
          <w:p>
            <w:pPr>
              <w:pStyle w:val="TableContents"/>
              <w:bidi w:val="0"/>
              <w:spacing w:before="0" w:after="283"/>
              <w:jc w:val="left"/>
              <w:rPr>
                <w:sz w:val="20"/>
              </w:rPr>
            </w:pPr>
            <w:r>
              <w:rPr>
                <w:sz w:val="20"/>
              </w:rPr>
              <w:t>Manager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39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6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Flora Verrecchia</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16" w:type="dxa"/>
            <w:tcBorders/>
            <w:vAlign w:val="center"/>
          </w:tcPr>
          <w:p>
            <w:pPr>
              <w:pStyle w:val="TableContents"/>
              <w:bidi w:val="0"/>
              <w:spacing w:before="0" w:after="283"/>
              <w:jc w:val="left"/>
              <w:rPr>
                <w:sz w:val="20"/>
              </w:rPr>
            </w:pPr>
            <w:r>
              <w:rPr>
                <w:sz w:val="20"/>
              </w:rPr>
              <w:t>Manager</w:t>
            </w:r>
          </w:p>
        </w:tc>
      </w:tr>
      <w:tr>
        <w:trPr/>
        <w:tc>
          <w:tcPr>
            <w:tcW w:w="75"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left"/>
              <w:rPr/>
            </w:pPr>
            <w:r>
              <w:rPr/>
              <w:t> </w:t>
            </w:r>
          </w:p>
        </w:tc>
        <w:tc>
          <w:tcPr>
            <w:tcW w:w="39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4533"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75"/>
        <w:gridCol w:w="652"/>
        <w:gridCol w:w="974"/>
        <w:gridCol w:w="3792"/>
      </w:tblGrid>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b/>
                <w:sz w:val="20"/>
              </w:rPr>
            </w:pPr>
            <w:r>
              <w:rPr>
                <w:b/>
                <w:sz w:val="20"/>
              </w:rPr>
              <w:t>OAKTREE LSL FUND DELAWARE HOLDINGS EURRC, L.P.</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6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Life Sciences Lending Fund GP, L.P.</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76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476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6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Life Sciences Lending Fund GP Ltd.</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766" w:type="dxa"/>
            <w:gridSpan w:val="2"/>
            <w:tcBorders/>
            <w:vAlign w:val="center"/>
          </w:tcPr>
          <w:p>
            <w:pPr>
              <w:pStyle w:val="TableContents"/>
              <w:bidi w:val="0"/>
              <w:spacing w:before="0" w:after="283"/>
              <w:jc w:val="left"/>
              <w:rPr>
                <w:sz w:val="20"/>
              </w:rPr>
            </w:pPr>
            <w:r>
              <w:rPr>
                <w:sz w:val="20"/>
              </w:rPr>
              <w:t>General Partner</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476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6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 L.P.</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4766" w:type="dxa"/>
            <w:gridSpan w:val="2"/>
            <w:tcBorders/>
            <w:vAlign w:val="center"/>
          </w:tcPr>
          <w:p>
            <w:pPr>
              <w:pStyle w:val="TableContents"/>
              <w:bidi w:val="0"/>
              <w:spacing w:before="0" w:after="283"/>
              <w:jc w:val="left"/>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476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By:</w:t>
            </w:r>
          </w:p>
        </w:tc>
        <w:tc>
          <w:tcPr>
            <w:tcW w:w="4766"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Gallegly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476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66"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Jessica Dombroff</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476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Address for Notices:</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Oaktree Fund Administration, LLC</w:t>
              <w:br/>
              <w:t>333 S. Grand Avenue, 28</w:t>
            </w:r>
            <w:r>
              <w:rPr>
                <w:position w:val="8"/>
                <w:sz w:val="19"/>
              </w:rPr>
              <w:t>th</w:t>
            </w:r>
            <w:r>
              <w:rPr/>
              <w:t xml:space="preserve"> Fl. </w:t>
              <w:br/>
              <w:t xml:space="preserve">Los Angeles, CA 90071 </w:t>
              <w:br/>
              <w:t xml:space="preserve">Attn:  Oaktree Agency </w:t>
              <w:br/>
            </w:r>
            <w:r>
              <w:rPr>
                <w:sz w:val="20"/>
              </w:rPr>
              <w:t xml:space="preserve">Email: </w:t>
            </w:r>
            <w:r>
              <w:rPr/>
              <w:t>Oaktreeagency@alterdomus.com</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Oaktree Capital Management, L.P.</w:t>
              <w:br/>
              <w:t>333 S. Grand Avenue, 28</w:t>
            </w:r>
            <w:r>
              <w:rPr>
                <w:position w:val="8"/>
                <w:sz w:val="19"/>
              </w:rPr>
              <w:t>th</w:t>
            </w:r>
            <w:r>
              <w:rPr/>
              <w:t xml:space="preserve"> Fl.</w:t>
              <w:br/>
              <w:t>Los Angeles, CA 90071</w:t>
              <w:br/>
              <w:t xml:space="preserve">Attn:  Aman Kumar </w:t>
              <w:br/>
            </w:r>
            <w:r>
              <w:rPr>
                <w:sz w:val="20"/>
              </w:rPr>
              <w:t xml:space="preserve">Email: </w:t>
            </w:r>
            <w:r>
              <w:rPr/>
              <w:t>AmKumar@oaktreecapital.com</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5418" w:type="dxa"/>
            <w:gridSpan w:val="3"/>
            <w:tcBorders/>
            <w:vAlign w:val="center"/>
          </w:tcPr>
          <w:p>
            <w:pPr>
              <w:pStyle w:val="TableContents"/>
              <w:bidi w:val="0"/>
              <w:spacing w:before="0" w:after="283"/>
              <w:jc w:val="left"/>
              <w:rPr/>
            </w:pPr>
            <w:r>
              <w:rPr/>
              <w:t>Sullivan &amp; Cromwell LLP</w:t>
              <w:br/>
              <w:t xml:space="preserve">125 Broad Street </w:t>
              <w:br/>
              <w:t xml:space="preserve">New York, NY 10004 </w:t>
              <w:br/>
              <w:t xml:space="preserve">Attn:  Ari B. Blaut </w:t>
              <w:br/>
            </w:r>
            <w:r>
              <w:rPr>
                <w:sz w:val="20"/>
              </w:rPr>
              <w:t xml:space="preserve">Email: </w:t>
            </w:r>
            <w:r>
              <w:rPr/>
              <w:t>blauta@sullcrom.com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004" w:type="dxa"/>
        <w:jc w:val="left"/>
        <w:tblInd w:w="0" w:type="dxa"/>
        <w:tblLayout w:type="fixed"/>
        <w:tblCellMar>
          <w:top w:w="0" w:type="dxa"/>
          <w:left w:w="0" w:type="dxa"/>
          <w:bottom w:w="0" w:type="dxa"/>
          <w:right w:w="0" w:type="dxa"/>
        </w:tblCellMar>
      </w:tblPr>
      <w:tblGrid>
        <w:gridCol w:w="75"/>
        <w:gridCol w:w="1073"/>
        <w:gridCol w:w="4856"/>
      </w:tblGrid>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b/>
                <w:sz w:val="20"/>
              </w:rPr>
            </w:pPr>
            <w:r>
              <w:rPr>
                <w:b/>
                <w:sz w:val="20"/>
              </w:rPr>
              <w:t>Q BOOST HOLDING LLC</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By:</w:t>
            </w:r>
          </w:p>
        </w:tc>
        <w:tc>
          <w:tcPr>
            <w:tcW w:w="485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856" w:type="dxa"/>
            <w:tcBorders/>
            <w:vAlign w:val="center"/>
          </w:tcPr>
          <w:p>
            <w:pPr>
              <w:pStyle w:val="TableContents"/>
              <w:bidi w:val="0"/>
              <w:spacing w:before="0" w:after="283"/>
              <w:jc w:val="left"/>
              <w:rPr>
                <w:sz w:val="20"/>
              </w:rPr>
            </w:pPr>
            <w:r>
              <w:rPr>
                <w:sz w:val="20"/>
              </w:rPr>
              <w:t>Ahmed Nasser Al-Abdulghani</w:t>
            </w:r>
          </w:p>
        </w:tc>
      </w:tr>
      <w:tr>
        <w:trPr/>
        <w:tc>
          <w:tcPr>
            <w:tcW w:w="75"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856" w:type="dxa"/>
            <w:tcBorders/>
            <w:vAlign w:val="center"/>
          </w:tcPr>
          <w:p>
            <w:pPr>
              <w:pStyle w:val="TableContents"/>
              <w:bidi w:val="0"/>
              <w:spacing w:before="0" w:after="283"/>
              <w:jc w:val="left"/>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 </w:t>
            </w:r>
          </w:p>
        </w:tc>
        <w:tc>
          <w:tcPr>
            <w:tcW w:w="485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sz w:val="20"/>
              </w:rPr>
            </w:pPr>
            <w:r>
              <w:rPr>
                <w:sz w:val="20"/>
              </w:rPr>
              <w:t>Address for Notices:</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sz w:val="20"/>
              </w:rPr>
            </w:pPr>
            <w:r>
              <w:rPr>
                <w:sz w:val="20"/>
              </w:rPr>
              <w:t>c/o Qatar Investment Authority</w:t>
              <w:br/>
              <w:t>Ooredoo Tower (Building 14)</w:t>
              <w:br/>
              <w:t>Al Dafna Street (Street 801)</w:t>
              <w:br/>
              <w:t>Al Dafna (Zone 61) Doha, Qatar</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sz w:val="20"/>
              </w:rPr>
            </w:pPr>
            <w:r>
              <w:rPr>
                <w:sz w:val="20"/>
              </w:rPr>
              <w:t>A copy (which shall not constitute notice) shall also be sent to:</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sz w:val="20"/>
              </w:rPr>
            </w:pPr>
            <w:r>
              <w:rPr>
                <w:sz w:val="20"/>
              </w:rPr>
              <w:t>General Counsel</w:t>
              <w:br/>
              <w:t>Qatar Investment Authority</w:t>
              <w:br/>
              <w:t>Ooredoo Tower (Building 14)</w:t>
              <w:br/>
              <w:t>Al Dafna Street (Street 801)</w:t>
              <w:br/>
              <w:t>Al Dafna (Zone 61)</w:t>
              <w:br/>
              <w:t>Doha, Qatar</w:t>
              <w:br/>
              <w:t>Email:  notices.legal@qia.qa</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A copy (which shall not constitute notice) shall also be sent to:</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Michael Dorf</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DLA Piper LLP (US)</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michael.dorf@us.dlapiper.com</w:t>
              <w:br/>
              <w:t>+1 415 836 2580)</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555 Mission Street</w:t>
              <w:br/>
              <w:t>Suite 2400</w:t>
              <w:br/>
              <w:t>San Francisco, CA 94105-2933</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29" w:type="dxa"/>
            <w:gridSpan w:val="2"/>
            <w:tcBorders/>
            <w:vAlign w:val="center"/>
          </w:tcPr>
          <w:p>
            <w:pPr>
              <w:pStyle w:val="TableContents"/>
              <w:bidi w:val="0"/>
              <w:spacing w:before="0" w:after="283"/>
              <w:jc w:val="left"/>
              <w:rPr/>
            </w:pPr>
            <w:r>
              <w:rPr/>
              <w:t>3203 Hanover Street, Suite 100</w:t>
              <w:br/>
              <w:t>Palo Alto, CA 94304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Fourteenth Amendment to Credit Agreement and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Conformed Credit Agreement</w:t>
      </w:r>
    </w:p>
    <w:p>
      <w:pPr>
        <w:pStyle w:val="TextBody"/>
        <w:pBdr>
          <w:bottom w:val="double" w:sz="6" w:space="1" w:color="000000"/>
        </w:pBdr>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CREDIT AGREEMENT AND GUARANTY</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April 19, 2022</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amended through the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color w:val="FF0000"/>
          <w:sz w:val="20"/>
        </w:rPr>
        <w:t>Thirteenth</w:t>
      </w:r>
      <w:r>
        <w:rPr>
          <w:rFonts w:ascii="Times New Roman;Times;Serif" w:hAnsi="Times New Roman;Times;Serif"/>
          <w:b/>
          <w:i w:val="false"/>
          <w:caps w:val="false"/>
          <w:smallCaps w:val="false"/>
          <w:color w:val="0000FF"/>
          <w:sz w:val="20"/>
          <w:u w:val="single"/>
        </w:rPr>
        <w:t>Fourteenth</w:t>
      </w:r>
      <w:r>
        <w:rPr>
          <w:rFonts w:ascii="Times New Roman;Times;Serif" w:hAnsi="Times New Roman;Times;Serif"/>
          <w:b/>
          <w:i w:val="false"/>
          <w:caps w:val="false"/>
          <w:smallCaps w:val="false"/>
          <w:sz w:val="20"/>
        </w:rPr>
        <w:t xml:space="preserve"> Amendment, dated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August </w:t>
      </w:r>
      <w:r>
        <w:rPr>
          <w:rFonts w:ascii="Times New Roman;Times;Serif" w:hAnsi="Times New Roman;Times;Serif"/>
          <w:b/>
          <w:i w:val="false"/>
          <w:caps w:val="false"/>
          <w:smallCaps w:val="false"/>
          <w:strike/>
          <w:color w:val="FF0000"/>
          <w:sz w:val="20"/>
        </w:rPr>
        <w:t>21</w:t>
      </w:r>
      <w:r>
        <w:rPr>
          <w:rFonts w:ascii="Times New Roman;Times;Serif" w:hAnsi="Times New Roman;Times;Serif"/>
          <w:b/>
          <w:i w:val="false"/>
          <w:caps w:val="false"/>
          <w:smallCaps w:val="false"/>
          <w:color w:val="0000FF"/>
          <w:sz w:val="20"/>
          <w:u w:val="single"/>
        </w:rPr>
        <w:t>24</w:t>
      </w:r>
      <w:r>
        <w:rPr>
          <w:rFonts w:ascii="Times New Roman;Times;Serif" w:hAnsi="Times New Roman;Times;Serif"/>
          <w:b/>
          <w:i w:val="false"/>
          <w:caps w:val="false"/>
          <w:smallCaps w:val="false"/>
          <w:sz w:val="20"/>
        </w:rPr>
        <w:t>, 2026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by and among</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BIOXCEL THERAPEUTICS,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the Borrower,</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SUBSIDIARY GUARANTORS FROM TIME TO TIME PARTY HERETO,</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the Guarantors,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LENDERS FROM TIME TO TIME PARTY HERETO</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Lenders,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OAKTREE FUND ADMINISTRATION, LLC,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the Administrative Agent</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w:t>
      </w:r>
      <w:r>
        <w:rPr>
          <w:rFonts w:ascii="Times New Roman;Times;Serif" w:hAnsi="Times New Roman;Times;Serif"/>
          <w:b/>
          <w:i w:val="false"/>
          <w:caps w:val="false"/>
          <w:smallCaps w:val="false"/>
          <w:strike/>
          <w:color w:val="FF0000"/>
          <w:sz w:val="20"/>
        </w:rPr>
        <w:t>202,319,447</w:t>
      </w:r>
      <w:r>
        <w:rPr>
          <w:rFonts w:ascii="Times New Roman;Times;Serif" w:hAnsi="Times New Roman;Times;Serif"/>
          <w:b/>
          <w:i w:val="false"/>
          <w:caps w:val="false"/>
          <w:smallCaps w:val="false"/>
          <w:color w:val="0000FF"/>
          <w:sz w:val="20"/>
          <w:u w:val="single"/>
        </w:rPr>
        <w:t>203,569,447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395"/>
        <w:gridCol w:w="5270"/>
        <w:gridCol w:w="785"/>
      </w:tblGrid>
      <w:tr>
        <w:trPr/>
        <w:tc>
          <w:tcPr>
            <w:tcW w:w="5665" w:type="dxa"/>
            <w:gridSpan w:val="2"/>
            <w:tcBorders/>
            <w:vAlign w:val="center"/>
          </w:tcPr>
          <w:p>
            <w:pPr>
              <w:pStyle w:val="TableContents"/>
              <w:bidi w:val="0"/>
              <w:spacing w:before="0" w:after="283"/>
              <w:jc w:val="left"/>
              <w:rPr>
                <w:caps/>
                <w:sz w:val="20"/>
              </w:rPr>
            </w:pPr>
            <w:r>
              <w:rPr>
                <w:caps/>
                <w:sz w:val="20"/>
              </w:rPr>
              <w:t>Section 1. DEFINITIONS</w:t>
            </w:r>
          </w:p>
        </w:tc>
        <w:tc>
          <w:tcPr>
            <w:tcW w:w="785" w:type="dxa"/>
            <w:tcBorders/>
            <w:vAlign w:val="center"/>
          </w:tcPr>
          <w:p>
            <w:pPr>
              <w:pStyle w:val="TableContents"/>
              <w:bidi w:val="0"/>
              <w:spacing w:before="0" w:after="283"/>
              <w:jc w:val="right"/>
              <w:rPr/>
            </w:pPr>
            <w:r>
              <w:rPr>
                <w:caps/>
              </w:rPr>
              <w:t>     </w:t>
            </w:r>
            <w:r>
              <w:rPr>
                <w:caps/>
                <w:strike/>
                <w:color w:val="FF0000"/>
                <w:sz w:val="20"/>
              </w:rPr>
              <w:t>8</w:t>
            </w:r>
            <w:r>
              <w:rPr>
                <w:color w:val="0000FF"/>
                <w:u w:val="single"/>
              </w:rPr>
              <w:t>9</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sz w:val="20"/>
              </w:rPr>
            </w:pPr>
            <w:r>
              <w:rPr>
                <w:sz w:val="20"/>
              </w:rPr>
              <w:t>1.01</w:t>
            </w:r>
          </w:p>
        </w:tc>
        <w:tc>
          <w:tcPr>
            <w:tcW w:w="5270" w:type="dxa"/>
            <w:tcBorders/>
            <w:vAlign w:val="center"/>
          </w:tcPr>
          <w:p>
            <w:pPr>
              <w:pStyle w:val="TableContents"/>
              <w:bidi w:val="0"/>
              <w:spacing w:before="0" w:after="283"/>
              <w:jc w:val="left"/>
              <w:rPr>
                <w:sz w:val="20"/>
              </w:rPr>
            </w:pPr>
            <w:r>
              <w:rPr>
                <w:sz w:val="20"/>
              </w:rPr>
              <w:t>Certain Defined Terms</w:t>
            </w:r>
          </w:p>
        </w:tc>
        <w:tc>
          <w:tcPr>
            <w:tcW w:w="785" w:type="dxa"/>
            <w:tcBorders/>
            <w:vAlign w:val="center"/>
          </w:tcPr>
          <w:p>
            <w:pPr>
              <w:pStyle w:val="TableContents"/>
              <w:bidi w:val="0"/>
              <w:spacing w:before="0" w:after="283"/>
              <w:jc w:val="right"/>
              <w:rPr/>
            </w:pPr>
            <w:r>
              <w:rPr>
                <w:strike/>
                <w:color w:val="FF0000"/>
                <w:sz w:val="20"/>
              </w:rPr>
              <w:t>8</w:t>
            </w:r>
            <w:r>
              <w:rPr>
                <w:color w:val="0000FF"/>
                <w:u w:val="single"/>
              </w:rPr>
              <w:t>9</w:t>
            </w:r>
          </w:p>
        </w:tc>
      </w:tr>
      <w:tr>
        <w:trPr/>
        <w:tc>
          <w:tcPr>
            <w:tcW w:w="395" w:type="dxa"/>
            <w:tcBorders/>
            <w:vAlign w:val="center"/>
          </w:tcPr>
          <w:p>
            <w:pPr>
              <w:pStyle w:val="TableContents"/>
              <w:bidi w:val="0"/>
              <w:spacing w:before="0" w:after="283"/>
              <w:jc w:val="left"/>
              <w:rPr>
                <w:sz w:val="20"/>
              </w:rPr>
            </w:pPr>
            <w:r>
              <w:rPr>
                <w:sz w:val="20"/>
              </w:rPr>
              <w:t>1.02</w:t>
            </w:r>
          </w:p>
        </w:tc>
        <w:tc>
          <w:tcPr>
            <w:tcW w:w="5270" w:type="dxa"/>
            <w:tcBorders/>
            <w:vAlign w:val="center"/>
          </w:tcPr>
          <w:p>
            <w:pPr>
              <w:pStyle w:val="TableContents"/>
              <w:bidi w:val="0"/>
              <w:spacing w:before="0" w:after="283"/>
              <w:jc w:val="left"/>
              <w:rPr>
                <w:sz w:val="20"/>
              </w:rPr>
            </w:pPr>
            <w:r>
              <w:rPr>
                <w:sz w:val="20"/>
              </w:rPr>
              <w:t>Accounting Terms and Principles</w:t>
            </w:r>
          </w:p>
        </w:tc>
        <w:tc>
          <w:tcPr>
            <w:tcW w:w="785" w:type="dxa"/>
            <w:tcBorders/>
            <w:vAlign w:val="center"/>
          </w:tcPr>
          <w:p>
            <w:pPr>
              <w:pStyle w:val="TableContents"/>
              <w:bidi w:val="0"/>
              <w:spacing w:before="0" w:after="283"/>
              <w:jc w:val="right"/>
              <w:rPr/>
            </w:pPr>
            <w:r>
              <w:rPr>
                <w:strike/>
                <w:color w:val="FF0000"/>
                <w:sz w:val="20"/>
              </w:rPr>
              <w:t>39</w:t>
            </w:r>
            <w:r>
              <w:rPr>
                <w:color w:val="0000FF"/>
                <w:u w:val="single"/>
              </w:rPr>
              <w:t>41</w:t>
            </w:r>
          </w:p>
        </w:tc>
      </w:tr>
      <w:tr>
        <w:trPr/>
        <w:tc>
          <w:tcPr>
            <w:tcW w:w="395" w:type="dxa"/>
            <w:tcBorders/>
            <w:vAlign w:val="center"/>
          </w:tcPr>
          <w:p>
            <w:pPr>
              <w:pStyle w:val="TableContents"/>
              <w:bidi w:val="0"/>
              <w:spacing w:before="0" w:after="283"/>
              <w:jc w:val="left"/>
              <w:rPr>
                <w:sz w:val="20"/>
              </w:rPr>
            </w:pPr>
            <w:r>
              <w:rPr>
                <w:sz w:val="20"/>
              </w:rPr>
              <w:t>1.03</w:t>
            </w:r>
          </w:p>
        </w:tc>
        <w:tc>
          <w:tcPr>
            <w:tcW w:w="5270" w:type="dxa"/>
            <w:tcBorders/>
            <w:vAlign w:val="center"/>
          </w:tcPr>
          <w:p>
            <w:pPr>
              <w:pStyle w:val="TableContents"/>
              <w:bidi w:val="0"/>
              <w:spacing w:before="0" w:after="283"/>
              <w:jc w:val="left"/>
              <w:rPr>
                <w:sz w:val="20"/>
              </w:rPr>
            </w:pPr>
            <w:r>
              <w:rPr>
                <w:sz w:val="20"/>
              </w:rPr>
              <w:t>Interpretation</w:t>
            </w:r>
          </w:p>
        </w:tc>
        <w:tc>
          <w:tcPr>
            <w:tcW w:w="785" w:type="dxa"/>
            <w:tcBorders/>
            <w:vAlign w:val="center"/>
          </w:tcPr>
          <w:p>
            <w:pPr>
              <w:pStyle w:val="TableContents"/>
              <w:bidi w:val="0"/>
              <w:spacing w:before="0" w:after="283"/>
              <w:jc w:val="right"/>
              <w:rPr/>
            </w:pPr>
            <w:r>
              <w:rPr>
                <w:strike/>
                <w:color w:val="FF0000"/>
                <w:sz w:val="20"/>
              </w:rPr>
              <w:t>39</w:t>
            </w:r>
            <w:r>
              <w:rPr>
                <w:color w:val="0000FF"/>
                <w:u w:val="single"/>
              </w:rPr>
              <w:t>42</w:t>
            </w:r>
          </w:p>
        </w:tc>
      </w:tr>
      <w:tr>
        <w:trPr/>
        <w:tc>
          <w:tcPr>
            <w:tcW w:w="395" w:type="dxa"/>
            <w:tcBorders/>
            <w:vAlign w:val="center"/>
          </w:tcPr>
          <w:p>
            <w:pPr>
              <w:pStyle w:val="TableContents"/>
              <w:bidi w:val="0"/>
              <w:spacing w:before="0" w:after="283"/>
              <w:jc w:val="left"/>
              <w:rPr>
                <w:sz w:val="20"/>
              </w:rPr>
            </w:pPr>
            <w:r>
              <w:rPr>
                <w:sz w:val="20"/>
              </w:rPr>
              <w:t>1.04</w:t>
            </w:r>
          </w:p>
        </w:tc>
        <w:tc>
          <w:tcPr>
            <w:tcW w:w="5270" w:type="dxa"/>
            <w:tcBorders/>
            <w:vAlign w:val="center"/>
          </w:tcPr>
          <w:p>
            <w:pPr>
              <w:pStyle w:val="TableContents"/>
              <w:bidi w:val="0"/>
              <w:spacing w:before="0" w:after="283"/>
              <w:jc w:val="left"/>
              <w:rPr>
                <w:sz w:val="20"/>
              </w:rPr>
            </w:pPr>
            <w:r>
              <w:rPr>
                <w:sz w:val="20"/>
              </w:rPr>
              <w:t>Division</w:t>
            </w:r>
          </w:p>
        </w:tc>
        <w:tc>
          <w:tcPr>
            <w:tcW w:w="785" w:type="dxa"/>
            <w:tcBorders/>
            <w:vAlign w:val="center"/>
          </w:tcPr>
          <w:p>
            <w:pPr>
              <w:pStyle w:val="TableContents"/>
              <w:bidi w:val="0"/>
              <w:spacing w:before="0" w:after="283"/>
              <w:jc w:val="right"/>
              <w:rPr/>
            </w:pPr>
            <w:r>
              <w:rPr>
                <w:strike/>
                <w:color w:val="FF0000"/>
                <w:sz w:val="20"/>
              </w:rPr>
              <w:t>40</w:t>
            </w:r>
            <w:r>
              <w:rPr>
                <w:color w:val="0000FF"/>
                <w:u w:val="single"/>
              </w:rPr>
              <w:t>43</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5665" w:type="dxa"/>
            <w:gridSpan w:val="2"/>
            <w:tcBorders/>
            <w:vAlign w:val="center"/>
          </w:tcPr>
          <w:p>
            <w:pPr>
              <w:pStyle w:val="TableContents"/>
              <w:bidi w:val="0"/>
              <w:spacing w:before="0" w:after="283"/>
              <w:jc w:val="left"/>
              <w:rPr>
                <w:caps/>
                <w:sz w:val="20"/>
              </w:rPr>
            </w:pPr>
            <w:r>
              <w:rPr>
                <w:caps/>
                <w:sz w:val="20"/>
              </w:rPr>
              <w:t>Section 2. THE COMMITMENT AND THE LOANS</w:t>
            </w:r>
          </w:p>
        </w:tc>
        <w:tc>
          <w:tcPr>
            <w:tcW w:w="785" w:type="dxa"/>
            <w:tcBorders/>
            <w:vAlign w:val="center"/>
          </w:tcPr>
          <w:p>
            <w:pPr>
              <w:pStyle w:val="TableContents"/>
              <w:bidi w:val="0"/>
              <w:spacing w:before="0" w:after="283"/>
              <w:jc w:val="right"/>
              <w:rPr/>
            </w:pPr>
            <w:r>
              <w:rPr>
                <w:strike/>
                <w:color w:val="FF0000"/>
                <w:sz w:val="20"/>
              </w:rPr>
              <w:t>40</w:t>
            </w:r>
            <w:r>
              <w:rPr>
                <w:color w:val="0000FF"/>
                <w:u w:val="single"/>
              </w:rPr>
              <w:t>43</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sz w:val="20"/>
              </w:rPr>
            </w:pPr>
            <w:r>
              <w:rPr>
                <w:sz w:val="20"/>
              </w:rPr>
              <w:t>2.01</w:t>
            </w:r>
          </w:p>
        </w:tc>
        <w:tc>
          <w:tcPr>
            <w:tcW w:w="5270" w:type="dxa"/>
            <w:tcBorders/>
            <w:vAlign w:val="center"/>
          </w:tcPr>
          <w:p>
            <w:pPr>
              <w:pStyle w:val="TableContents"/>
              <w:bidi w:val="0"/>
              <w:spacing w:before="0" w:after="283"/>
              <w:jc w:val="left"/>
              <w:rPr>
                <w:sz w:val="20"/>
              </w:rPr>
            </w:pPr>
            <w:r>
              <w:rPr>
                <w:sz w:val="20"/>
              </w:rPr>
              <w:t>Loans</w:t>
            </w:r>
          </w:p>
        </w:tc>
        <w:tc>
          <w:tcPr>
            <w:tcW w:w="785" w:type="dxa"/>
            <w:tcBorders/>
            <w:vAlign w:val="center"/>
          </w:tcPr>
          <w:p>
            <w:pPr>
              <w:pStyle w:val="TableContents"/>
              <w:bidi w:val="0"/>
              <w:spacing w:before="0" w:after="283"/>
              <w:jc w:val="right"/>
              <w:rPr/>
            </w:pPr>
            <w:r>
              <w:rPr>
                <w:strike/>
                <w:color w:val="FF0000"/>
                <w:sz w:val="20"/>
              </w:rPr>
              <w:t>40</w:t>
            </w:r>
            <w:r>
              <w:rPr>
                <w:color w:val="0000FF"/>
                <w:u w:val="single"/>
              </w:rPr>
              <w:t>43</w:t>
            </w:r>
          </w:p>
        </w:tc>
      </w:tr>
      <w:tr>
        <w:trPr/>
        <w:tc>
          <w:tcPr>
            <w:tcW w:w="395" w:type="dxa"/>
            <w:tcBorders/>
            <w:vAlign w:val="center"/>
          </w:tcPr>
          <w:p>
            <w:pPr>
              <w:pStyle w:val="TableContents"/>
              <w:bidi w:val="0"/>
              <w:spacing w:before="0" w:after="283"/>
              <w:jc w:val="left"/>
              <w:rPr>
                <w:sz w:val="20"/>
              </w:rPr>
            </w:pPr>
            <w:r>
              <w:rPr>
                <w:sz w:val="20"/>
              </w:rPr>
              <w:t>2.02</w:t>
            </w:r>
          </w:p>
        </w:tc>
        <w:tc>
          <w:tcPr>
            <w:tcW w:w="5270" w:type="dxa"/>
            <w:tcBorders/>
            <w:vAlign w:val="center"/>
          </w:tcPr>
          <w:p>
            <w:pPr>
              <w:pStyle w:val="TableContents"/>
              <w:bidi w:val="0"/>
              <w:spacing w:before="0" w:after="283"/>
              <w:jc w:val="left"/>
              <w:rPr>
                <w:sz w:val="20"/>
              </w:rPr>
            </w:pPr>
            <w:r>
              <w:rPr>
                <w:sz w:val="20"/>
              </w:rPr>
              <w:t>Borrowing Procedures</w:t>
            </w:r>
          </w:p>
        </w:tc>
        <w:tc>
          <w:tcPr>
            <w:tcW w:w="785" w:type="dxa"/>
            <w:tcBorders/>
            <w:vAlign w:val="center"/>
          </w:tcPr>
          <w:p>
            <w:pPr>
              <w:pStyle w:val="TableContents"/>
              <w:bidi w:val="0"/>
              <w:spacing w:before="0" w:after="283"/>
              <w:jc w:val="right"/>
              <w:rPr/>
            </w:pPr>
            <w:r>
              <w:rPr>
                <w:strike/>
                <w:color w:val="FF0000"/>
                <w:sz w:val="20"/>
              </w:rPr>
              <w:t>41</w:t>
            </w:r>
            <w:r>
              <w:rPr>
                <w:color w:val="0000FF"/>
                <w:u w:val="single"/>
              </w:rPr>
              <w:t>44</w:t>
            </w:r>
          </w:p>
        </w:tc>
      </w:tr>
      <w:tr>
        <w:trPr/>
        <w:tc>
          <w:tcPr>
            <w:tcW w:w="395" w:type="dxa"/>
            <w:tcBorders/>
            <w:vAlign w:val="center"/>
          </w:tcPr>
          <w:p>
            <w:pPr>
              <w:pStyle w:val="TableContents"/>
              <w:bidi w:val="0"/>
              <w:spacing w:before="0" w:after="283"/>
              <w:jc w:val="left"/>
              <w:rPr>
                <w:sz w:val="20"/>
              </w:rPr>
            </w:pPr>
            <w:r>
              <w:rPr>
                <w:sz w:val="20"/>
              </w:rPr>
              <w:t>2.03</w:t>
            </w:r>
          </w:p>
        </w:tc>
        <w:tc>
          <w:tcPr>
            <w:tcW w:w="5270" w:type="dxa"/>
            <w:tcBorders/>
            <w:vAlign w:val="center"/>
          </w:tcPr>
          <w:p>
            <w:pPr>
              <w:pStyle w:val="TableContents"/>
              <w:bidi w:val="0"/>
              <w:spacing w:before="0" w:after="283"/>
              <w:jc w:val="left"/>
              <w:rPr>
                <w:sz w:val="20"/>
              </w:rPr>
            </w:pPr>
            <w:r>
              <w:rPr>
                <w:sz w:val="20"/>
              </w:rPr>
              <w:t>Funding of Borrowings</w:t>
            </w:r>
          </w:p>
        </w:tc>
        <w:tc>
          <w:tcPr>
            <w:tcW w:w="785" w:type="dxa"/>
            <w:tcBorders/>
            <w:vAlign w:val="center"/>
          </w:tcPr>
          <w:p>
            <w:pPr>
              <w:pStyle w:val="TableContents"/>
              <w:bidi w:val="0"/>
              <w:spacing w:before="0" w:after="283"/>
              <w:jc w:val="right"/>
              <w:rPr/>
            </w:pPr>
            <w:r>
              <w:rPr>
                <w:strike/>
                <w:color w:val="FF0000"/>
                <w:sz w:val="20"/>
              </w:rPr>
              <w:t>41</w:t>
            </w:r>
            <w:r>
              <w:rPr>
                <w:color w:val="0000FF"/>
                <w:u w:val="single"/>
              </w:rPr>
              <w:t>44</w:t>
            </w:r>
          </w:p>
        </w:tc>
      </w:tr>
      <w:tr>
        <w:trPr/>
        <w:tc>
          <w:tcPr>
            <w:tcW w:w="395" w:type="dxa"/>
            <w:tcBorders/>
            <w:vAlign w:val="center"/>
          </w:tcPr>
          <w:p>
            <w:pPr>
              <w:pStyle w:val="TableContents"/>
              <w:bidi w:val="0"/>
              <w:spacing w:before="0" w:after="283"/>
              <w:jc w:val="left"/>
              <w:rPr>
                <w:sz w:val="20"/>
              </w:rPr>
            </w:pPr>
            <w:r>
              <w:rPr>
                <w:sz w:val="20"/>
              </w:rPr>
              <w:t>2.04</w:t>
            </w:r>
          </w:p>
        </w:tc>
        <w:tc>
          <w:tcPr>
            <w:tcW w:w="5270" w:type="dxa"/>
            <w:tcBorders/>
            <w:vAlign w:val="center"/>
          </w:tcPr>
          <w:p>
            <w:pPr>
              <w:pStyle w:val="TableContents"/>
              <w:bidi w:val="0"/>
              <w:spacing w:before="0" w:after="283"/>
              <w:jc w:val="left"/>
              <w:rPr>
                <w:sz w:val="20"/>
              </w:rPr>
            </w:pPr>
            <w:r>
              <w:rPr>
                <w:sz w:val="20"/>
              </w:rPr>
              <w:t>Notes</w:t>
            </w:r>
          </w:p>
        </w:tc>
        <w:tc>
          <w:tcPr>
            <w:tcW w:w="785" w:type="dxa"/>
            <w:tcBorders/>
            <w:vAlign w:val="center"/>
          </w:tcPr>
          <w:p>
            <w:pPr>
              <w:pStyle w:val="TableContents"/>
              <w:bidi w:val="0"/>
              <w:spacing w:before="0" w:after="283"/>
              <w:jc w:val="right"/>
              <w:rPr/>
            </w:pPr>
            <w:r>
              <w:rPr>
                <w:strike/>
                <w:color w:val="FF0000"/>
                <w:sz w:val="20"/>
              </w:rPr>
              <w:t>42</w:t>
            </w:r>
            <w:r>
              <w:rPr>
                <w:color w:val="0000FF"/>
                <w:u w:val="single"/>
              </w:rPr>
              <w:t>44</w:t>
            </w:r>
          </w:p>
        </w:tc>
      </w:tr>
      <w:tr>
        <w:trPr/>
        <w:tc>
          <w:tcPr>
            <w:tcW w:w="395" w:type="dxa"/>
            <w:tcBorders/>
            <w:vAlign w:val="center"/>
          </w:tcPr>
          <w:p>
            <w:pPr>
              <w:pStyle w:val="TableContents"/>
              <w:bidi w:val="0"/>
              <w:spacing w:before="0" w:after="283"/>
              <w:jc w:val="left"/>
              <w:rPr>
                <w:sz w:val="20"/>
              </w:rPr>
            </w:pPr>
            <w:r>
              <w:rPr>
                <w:sz w:val="20"/>
              </w:rPr>
              <w:t>2.05</w:t>
            </w:r>
          </w:p>
        </w:tc>
        <w:tc>
          <w:tcPr>
            <w:tcW w:w="5270" w:type="dxa"/>
            <w:tcBorders/>
            <w:vAlign w:val="center"/>
          </w:tcPr>
          <w:p>
            <w:pPr>
              <w:pStyle w:val="TableContents"/>
              <w:bidi w:val="0"/>
              <w:spacing w:before="0" w:after="283"/>
              <w:jc w:val="left"/>
              <w:rPr>
                <w:sz w:val="20"/>
              </w:rPr>
            </w:pPr>
            <w:r>
              <w:rPr>
                <w:sz w:val="20"/>
              </w:rPr>
              <w:t>Use of Proceeds</w:t>
            </w:r>
          </w:p>
        </w:tc>
        <w:tc>
          <w:tcPr>
            <w:tcW w:w="785" w:type="dxa"/>
            <w:tcBorders/>
            <w:vAlign w:val="center"/>
          </w:tcPr>
          <w:p>
            <w:pPr>
              <w:pStyle w:val="TableContents"/>
              <w:bidi w:val="0"/>
              <w:spacing w:before="0" w:after="283"/>
              <w:jc w:val="right"/>
              <w:rPr/>
            </w:pPr>
            <w:r>
              <w:rPr>
                <w:strike/>
                <w:color w:val="FF0000"/>
                <w:sz w:val="20"/>
              </w:rPr>
              <w:t>42</w:t>
            </w:r>
            <w:r>
              <w:rPr>
                <w:color w:val="0000FF"/>
                <w:u w:val="single"/>
              </w:rPr>
              <w:t>44</w:t>
            </w:r>
          </w:p>
        </w:tc>
      </w:tr>
      <w:tr>
        <w:trPr/>
        <w:tc>
          <w:tcPr>
            <w:tcW w:w="395" w:type="dxa"/>
            <w:tcBorders/>
            <w:vAlign w:val="center"/>
          </w:tcPr>
          <w:p>
            <w:pPr>
              <w:pStyle w:val="TableContents"/>
              <w:bidi w:val="0"/>
              <w:spacing w:before="0" w:after="283"/>
              <w:jc w:val="left"/>
              <w:rPr>
                <w:sz w:val="20"/>
              </w:rPr>
            </w:pPr>
            <w:r>
              <w:rPr>
                <w:sz w:val="20"/>
              </w:rPr>
              <w:t>2.06</w:t>
            </w:r>
          </w:p>
        </w:tc>
        <w:tc>
          <w:tcPr>
            <w:tcW w:w="5270" w:type="dxa"/>
            <w:tcBorders/>
            <w:vAlign w:val="center"/>
          </w:tcPr>
          <w:p>
            <w:pPr>
              <w:pStyle w:val="TableContents"/>
              <w:bidi w:val="0"/>
              <w:spacing w:before="0" w:after="283"/>
              <w:jc w:val="left"/>
              <w:rPr>
                <w:sz w:val="20"/>
              </w:rPr>
            </w:pPr>
            <w:r>
              <w:rPr>
                <w:sz w:val="20"/>
              </w:rPr>
              <w:t>Ticking Fees</w:t>
            </w:r>
          </w:p>
        </w:tc>
        <w:tc>
          <w:tcPr>
            <w:tcW w:w="785" w:type="dxa"/>
            <w:tcBorders/>
            <w:vAlign w:val="center"/>
          </w:tcPr>
          <w:p>
            <w:pPr>
              <w:pStyle w:val="TableContents"/>
              <w:bidi w:val="0"/>
              <w:spacing w:before="0" w:after="283"/>
              <w:jc w:val="right"/>
              <w:rPr/>
            </w:pPr>
            <w:r>
              <w:rPr>
                <w:strike/>
                <w:color w:val="FF0000"/>
                <w:sz w:val="20"/>
              </w:rPr>
              <w:t>42</w:t>
            </w:r>
            <w:r>
              <w:rPr>
                <w:color w:val="0000FF"/>
                <w:u w:val="single"/>
              </w:rPr>
              <w:t>44</w:t>
            </w:r>
          </w:p>
        </w:tc>
      </w:tr>
      <w:tr>
        <w:trPr/>
        <w:tc>
          <w:tcPr>
            <w:tcW w:w="395" w:type="dxa"/>
            <w:tcBorders/>
            <w:vAlign w:val="center"/>
          </w:tcPr>
          <w:p>
            <w:pPr>
              <w:pStyle w:val="TableContents"/>
              <w:bidi w:val="0"/>
              <w:spacing w:before="0" w:after="283"/>
              <w:jc w:val="left"/>
              <w:rPr>
                <w:strike/>
                <w:color w:val="FF0000"/>
                <w:sz w:val="20"/>
              </w:rPr>
            </w:pPr>
            <w:r>
              <w:rPr>
                <w:strike/>
                <w:color w:val="FF0000"/>
                <w:sz w:val="20"/>
              </w:rPr>
              <w:t>2.07</w:t>
            </w:r>
          </w:p>
        </w:tc>
        <w:tc>
          <w:tcPr>
            <w:tcW w:w="5270" w:type="dxa"/>
            <w:tcBorders/>
            <w:vAlign w:val="center"/>
          </w:tcPr>
          <w:p>
            <w:pPr>
              <w:pStyle w:val="TableContents"/>
              <w:bidi w:val="0"/>
              <w:spacing w:before="0" w:after="283"/>
              <w:jc w:val="left"/>
              <w:rPr>
                <w:strike/>
                <w:color w:val="FF0000"/>
                <w:sz w:val="20"/>
              </w:rPr>
            </w:pPr>
            <w:r>
              <w:rPr>
                <w:strike/>
                <w:color w:val="FF0000"/>
                <w:sz w:val="20"/>
              </w:rPr>
              <w:t>Extension of Maturity Date</w:t>
            </w:r>
          </w:p>
        </w:tc>
        <w:tc>
          <w:tcPr>
            <w:tcW w:w="785" w:type="dxa"/>
            <w:tcBorders/>
            <w:vAlign w:val="center"/>
          </w:tcPr>
          <w:p>
            <w:pPr>
              <w:pStyle w:val="TableContents"/>
              <w:bidi w:val="0"/>
              <w:spacing w:before="0" w:after="283"/>
              <w:jc w:val="right"/>
              <w:rPr>
                <w:strike/>
                <w:color w:val="FF0000"/>
                <w:sz w:val="20"/>
              </w:rPr>
            </w:pPr>
            <w:r>
              <w:rPr>
                <w:strike/>
                <w:color w:val="FF0000"/>
                <w:sz w:val="20"/>
              </w:rPr>
              <w:t>42</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5665" w:type="dxa"/>
            <w:gridSpan w:val="2"/>
            <w:tcBorders/>
            <w:vAlign w:val="center"/>
          </w:tcPr>
          <w:p>
            <w:pPr>
              <w:pStyle w:val="TableContents"/>
              <w:bidi w:val="0"/>
              <w:spacing w:before="0" w:after="283"/>
              <w:jc w:val="left"/>
              <w:rPr>
                <w:caps/>
                <w:sz w:val="20"/>
              </w:rPr>
            </w:pPr>
            <w:r>
              <w:rPr>
                <w:caps/>
                <w:sz w:val="20"/>
              </w:rPr>
              <w:t>Section 3. PAYMENTS OF PRINCIPAL AND INTEREST, ETC.</w:t>
            </w:r>
          </w:p>
        </w:tc>
        <w:tc>
          <w:tcPr>
            <w:tcW w:w="785" w:type="dxa"/>
            <w:tcBorders/>
            <w:vAlign w:val="center"/>
          </w:tcPr>
          <w:p>
            <w:pPr>
              <w:pStyle w:val="TableContents"/>
              <w:bidi w:val="0"/>
              <w:spacing w:before="0" w:after="283"/>
              <w:jc w:val="right"/>
              <w:rPr/>
            </w:pPr>
            <w:r>
              <w:rPr>
                <w:caps/>
              </w:rPr>
              <w:t>     </w:t>
            </w:r>
            <w:r>
              <w:rPr>
                <w:caps/>
                <w:strike/>
                <w:color w:val="FF0000"/>
                <w:sz w:val="20"/>
              </w:rPr>
              <w:t>43</w:t>
            </w:r>
            <w:r>
              <w:rPr>
                <w:color w:val="0000FF"/>
                <w:u w:val="single"/>
              </w:rPr>
              <w:t>45</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sz w:val="20"/>
              </w:rPr>
            </w:pPr>
            <w:r>
              <w:rPr>
                <w:sz w:val="20"/>
              </w:rPr>
              <w:t>3.01</w:t>
            </w:r>
          </w:p>
        </w:tc>
        <w:tc>
          <w:tcPr>
            <w:tcW w:w="5270" w:type="dxa"/>
            <w:tcBorders/>
            <w:vAlign w:val="center"/>
          </w:tcPr>
          <w:p>
            <w:pPr>
              <w:pStyle w:val="TableContents"/>
              <w:bidi w:val="0"/>
              <w:spacing w:before="0" w:after="283"/>
              <w:jc w:val="left"/>
              <w:rPr>
                <w:sz w:val="20"/>
              </w:rPr>
            </w:pPr>
            <w:r>
              <w:rPr>
                <w:sz w:val="20"/>
              </w:rPr>
              <w:t>Scheduled Repayments and Prepayments Generally; Application</w:t>
            </w:r>
          </w:p>
        </w:tc>
        <w:tc>
          <w:tcPr>
            <w:tcW w:w="785" w:type="dxa"/>
            <w:tcBorders/>
            <w:vAlign w:val="center"/>
          </w:tcPr>
          <w:p>
            <w:pPr>
              <w:pStyle w:val="TableContents"/>
              <w:bidi w:val="0"/>
              <w:spacing w:before="0" w:after="283"/>
              <w:jc w:val="right"/>
              <w:rPr/>
            </w:pPr>
            <w:r>
              <w:rPr>
                <w:strike/>
                <w:color w:val="FF0000"/>
                <w:sz w:val="20"/>
              </w:rPr>
              <w:t>43</w:t>
            </w:r>
            <w:r>
              <w:rPr>
                <w:color w:val="0000FF"/>
                <w:u w:val="single"/>
              </w:rPr>
              <w:t>45</w:t>
            </w:r>
          </w:p>
        </w:tc>
      </w:tr>
      <w:tr>
        <w:trPr/>
        <w:tc>
          <w:tcPr>
            <w:tcW w:w="395" w:type="dxa"/>
            <w:tcBorders/>
            <w:vAlign w:val="center"/>
          </w:tcPr>
          <w:p>
            <w:pPr>
              <w:pStyle w:val="TableContents"/>
              <w:bidi w:val="0"/>
              <w:spacing w:before="0" w:after="283"/>
              <w:jc w:val="left"/>
              <w:rPr>
                <w:sz w:val="20"/>
              </w:rPr>
            </w:pPr>
            <w:r>
              <w:rPr>
                <w:sz w:val="20"/>
              </w:rPr>
              <w:t>3.02</w:t>
            </w:r>
          </w:p>
        </w:tc>
        <w:tc>
          <w:tcPr>
            <w:tcW w:w="5270" w:type="dxa"/>
            <w:tcBorders/>
            <w:vAlign w:val="center"/>
          </w:tcPr>
          <w:p>
            <w:pPr>
              <w:pStyle w:val="TableContents"/>
              <w:bidi w:val="0"/>
              <w:spacing w:before="0" w:after="283"/>
              <w:jc w:val="left"/>
              <w:rPr>
                <w:sz w:val="20"/>
              </w:rPr>
            </w:pPr>
            <w:r>
              <w:rPr>
                <w:sz w:val="20"/>
              </w:rPr>
              <w:t>Interest</w:t>
            </w:r>
          </w:p>
        </w:tc>
        <w:tc>
          <w:tcPr>
            <w:tcW w:w="785" w:type="dxa"/>
            <w:tcBorders/>
            <w:vAlign w:val="center"/>
          </w:tcPr>
          <w:p>
            <w:pPr>
              <w:pStyle w:val="TableContents"/>
              <w:bidi w:val="0"/>
              <w:spacing w:before="0" w:after="283"/>
              <w:jc w:val="right"/>
              <w:rPr/>
            </w:pPr>
            <w:r>
              <w:rPr>
                <w:strike/>
                <w:color w:val="FF0000"/>
                <w:sz w:val="20"/>
              </w:rPr>
              <w:t>43</w:t>
            </w:r>
            <w:r>
              <w:rPr>
                <w:color w:val="0000FF"/>
                <w:u w:val="single"/>
              </w:rPr>
              <w:t>46</w:t>
            </w:r>
          </w:p>
        </w:tc>
      </w:tr>
      <w:tr>
        <w:trPr/>
        <w:tc>
          <w:tcPr>
            <w:tcW w:w="395" w:type="dxa"/>
            <w:tcBorders/>
            <w:vAlign w:val="center"/>
          </w:tcPr>
          <w:p>
            <w:pPr>
              <w:pStyle w:val="TableContents"/>
              <w:bidi w:val="0"/>
              <w:spacing w:before="0" w:after="283"/>
              <w:jc w:val="left"/>
              <w:rPr>
                <w:sz w:val="20"/>
              </w:rPr>
            </w:pPr>
            <w:r>
              <w:rPr>
                <w:sz w:val="20"/>
              </w:rPr>
              <w:t>3.03</w:t>
            </w:r>
          </w:p>
        </w:tc>
        <w:tc>
          <w:tcPr>
            <w:tcW w:w="5270" w:type="dxa"/>
            <w:tcBorders/>
            <w:vAlign w:val="center"/>
          </w:tcPr>
          <w:p>
            <w:pPr>
              <w:pStyle w:val="TableContents"/>
              <w:bidi w:val="0"/>
              <w:spacing w:before="0" w:after="283"/>
              <w:jc w:val="left"/>
              <w:rPr>
                <w:sz w:val="20"/>
              </w:rPr>
            </w:pPr>
            <w:r>
              <w:rPr>
                <w:sz w:val="20"/>
              </w:rPr>
              <w:t>Prepayments</w:t>
            </w:r>
          </w:p>
        </w:tc>
        <w:tc>
          <w:tcPr>
            <w:tcW w:w="785" w:type="dxa"/>
            <w:tcBorders/>
            <w:vAlign w:val="center"/>
          </w:tcPr>
          <w:p>
            <w:pPr>
              <w:pStyle w:val="TableContents"/>
              <w:bidi w:val="0"/>
              <w:spacing w:before="0" w:after="283"/>
              <w:jc w:val="right"/>
              <w:rPr>
                <w:sz w:val="20"/>
              </w:rPr>
            </w:pPr>
            <w:r>
              <w:rPr>
                <w:sz w:val="20"/>
              </w:rPr>
              <w:t>47</w:t>
            </w:r>
          </w:p>
        </w:tc>
      </w:tr>
      <w:tr>
        <w:trPr/>
        <w:tc>
          <w:tcPr>
            <w:tcW w:w="395" w:type="dxa"/>
            <w:tcBorders/>
            <w:vAlign w:val="center"/>
          </w:tcPr>
          <w:p>
            <w:pPr>
              <w:pStyle w:val="TableContents"/>
              <w:bidi w:val="0"/>
              <w:spacing w:before="0" w:after="283"/>
              <w:jc w:val="left"/>
              <w:rPr>
                <w:sz w:val="20"/>
              </w:rPr>
            </w:pPr>
            <w:r>
              <w:rPr>
                <w:sz w:val="20"/>
              </w:rPr>
              <w:t>3.04</w:t>
            </w:r>
          </w:p>
        </w:tc>
        <w:tc>
          <w:tcPr>
            <w:tcW w:w="5270" w:type="dxa"/>
            <w:tcBorders/>
            <w:vAlign w:val="center"/>
          </w:tcPr>
          <w:p>
            <w:pPr>
              <w:pStyle w:val="TableContents"/>
              <w:bidi w:val="0"/>
              <w:spacing w:before="0" w:after="283"/>
              <w:jc w:val="left"/>
              <w:rPr>
                <w:sz w:val="20"/>
              </w:rPr>
            </w:pPr>
            <w:r>
              <w:rPr>
                <w:sz w:val="20"/>
              </w:rPr>
              <w:t>Commitment Termination</w:t>
            </w:r>
          </w:p>
        </w:tc>
        <w:tc>
          <w:tcPr>
            <w:tcW w:w="785" w:type="dxa"/>
            <w:tcBorders/>
            <w:vAlign w:val="center"/>
          </w:tcPr>
          <w:p>
            <w:pPr>
              <w:pStyle w:val="TableContents"/>
              <w:bidi w:val="0"/>
              <w:spacing w:before="0" w:after="283"/>
              <w:jc w:val="right"/>
              <w:rPr/>
            </w:pPr>
            <w:r>
              <w:rPr>
                <w:strike/>
                <w:color w:val="FF0000"/>
                <w:sz w:val="20"/>
              </w:rPr>
              <w:t>45</w:t>
            </w:r>
            <w:r>
              <w:rPr>
                <w:color w:val="0000FF"/>
                <w:u w:val="single"/>
              </w:rPr>
              <w:t>49</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5665" w:type="dxa"/>
            <w:gridSpan w:val="2"/>
            <w:tcBorders/>
            <w:vAlign w:val="center"/>
          </w:tcPr>
          <w:p>
            <w:pPr>
              <w:pStyle w:val="TableContents"/>
              <w:bidi w:val="0"/>
              <w:spacing w:before="0" w:after="283"/>
              <w:jc w:val="left"/>
              <w:rPr>
                <w:caps/>
                <w:sz w:val="20"/>
              </w:rPr>
            </w:pPr>
            <w:r>
              <w:rPr>
                <w:caps/>
                <w:sz w:val="20"/>
              </w:rPr>
              <w:t>Section 4. PAYMENTS, ETC.</w:t>
            </w:r>
          </w:p>
        </w:tc>
        <w:tc>
          <w:tcPr>
            <w:tcW w:w="785" w:type="dxa"/>
            <w:tcBorders/>
            <w:vAlign w:val="center"/>
          </w:tcPr>
          <w:p>
            <w:pPr>
              <w:pStyle w:val="TableContents"/>
              <w:bidi w:val="0"/>
              <w:spacing w:before="0" w:after="283"/>
              <w:jc w:val="right"/>
              <w:rPr/>
            </w:pPr>
            <w:r>
              <w:rPr/>
              <w:t>49</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sz w:val="20"/>
              </w:rPr>
            </w:pPr>
            <w:r>
              <w:rPr>
                <w:sz w:val="20"/>
              </w:rPr>
              <w:t>4.01</w:t>
            </w:r>
          </w:p>
        </w:tc>
        <w:tc>
          <w:tcPr>
            <w:tcW w:w="5270" w:type="dxa"/>
            <w:tcBorders/>
            <w:vAlign w:val="center"/>
          </w:tcPr>
          <w:p>
            <w:pPr>
              <w:pStyle w:val="TableContents"/>
              <w:bidi w:val="0"/>
              <w:spacing w:before="0" w:after="283"/>
              <w:jc w:val="left"/>
              <w:rPr>
                <w:sz w:val="20"/>
              </w:rPr>
            </w:pPr>
            <w:r>
              <w:rPr>
                <w:sz w:val="20"/>
              </w:rPr>
              <w:t>Payments</w:t>
            </w:r>
          </w:p>
        </w:tc>
        <w:tc>
          <w:tcPr>
            <w:tcW w:w="785" w:type="dxa"/>
            <w:tcBorders/>
            <w:vAlign w:val="center"/>
          </w:tcPr>
          <w:p>
            <w:pPr>
              <w:pStyle w:val="TableContents"/>
              <w:bidi w:val="0"/>
              <w:spacing w:before="0" w:after="283"/>
              <w:jc w:val="right"/>
              <w:rPr>
                <w:sz w:val="20"/>
              </w:rPr>
            </w:pPr>
            <w:r>
              <w:rPr>
                <w:sz w:val="20"/>
              </w:rPr>
              <w:t>49</w:t>
            </w:r>
          </w:p>
        </w:tc>
      </w:tr>
      <w:tr>
        <w:trPr/>
        <w:tc>
          <w:tcPr>
            <w:tcW w:w="395" w:type="dxa"/>
            <w:tcBorders/>
            <w:vAlign w:val="center"/>
          </w:tcPr>
          <w:p>
            <w:pPr>
              <w:pStyle w:val="TableContents"/>
              <w:bidi w:val="0"/>
              <w:spacing w:before="0" w:after="283"/>
              <w:jc w:val="left"/>
              <w:rPr>
                <w:sz w:val="20"/>
              </w:rPr>
            </w:pPr>
            <w:r>
              <w:rPr>
                <w:sz w:val="20"/>
              </w:rPr>
              <w:t>4.02</w:t>
            </w:r>
          </w:p>
        </w:tc>
        <w:tc>
          <w:tcPr>
            <w:tcW w:w="5270" w:type="dxa"/>
            <w:tcBorders/>
            <w:vAlign w:val="center"/>
          </w:tcPr>
          <w:p>
            <w:pPr>
              <w:pStyle w:val="TableContents"/>
              <w:bidi w:val="0"/>
              <w:spacing w:before="0" w:after="283"/>
              <w:jc w:val="left"/>
              <w:rPr>
                <w:sz w:val="20"/>
              </w:rPr>
            </w:pPr>
            <w:r>
              <w:rPr>
                <w:sz w:val="20"/>
              </w:rPr>
              <w:t>Computations</w:t>
            </w:r>
          </w:p>
        </w:tc>
        <w:tc>
          <w:tcPr>
            <w:tcW w:w="785" w:type="dxa"/>
            <w:tcBorders/>
            <w:vAlign w:val="center"/>
          </w:tcPr>
          <w:p>
            <w:pPr>
              <w:pStyle w:val="TableContents"/>
              <w:bidi w:val="0"/>
              <w:spacing w:before="0" w:after="283"/>
              <w:jc w:val="right"/>
              <w:rPr>
                <w:sz w:val="20"/>
              </w:rPr>
            </w:pPr>
            <w:r>
              <w:rPr>
                <w:sz w:val="20"/>
              </w:rPr>
              <w:t>50</w:t>
            </w:r>
          </w:p>
        </w:tc>
      </w:tr>
      <w:tr>
        <w:trPr/>
        <w:tc>
          <w:tcPr>
            <w:tcW w:w="395" w:type="dxa"/>
            <w:tcBorders/>
            <w:vAlign w:val="center"/>
          </w:tcPr>
          <w:p>
            <w:pPr>
              <w:pStyle w:val="TableContents"/>
              <w:bidi w:val="0"/>
              <w:spacing w:before="0" w:after="283"/>
              <w:jc w:val="left"/>
              <w:rPr>
                <w:sz w:val="20"/>
              </w:rPr>
            </w:pPr>
            <w:r>
              <w:rPr>
                <w:sz w:val="20"/>
              </w:rPr>
              <w:t>4.03</w:t>
            </w:r>
          </w:p>
        </w:tc>
        <w:tc>
          <w:tcPr>
            <w:tcW w:w="5270" w:type="dxa"/>
            <w:tcBorders/>
            <w:vAlign w:val="center"/>
          </w:tcPr>
          <w:p>
            <w:pPr>
              <w:pStyle w:val="TableContents"/>
              <w:bidi w:val="0"/>
              <w:spacing w:before="0" w:after="283"/>
              <w:jc w:val="left"/>
              <w:rPr>
                <w:sz w:val="20"/>
              </w:rPr>
            </w:pPr>
            <w:r>
              <w:rPr>
                <w:sz w:val="20"/>
              </w:rPr>
              <w:t>Set-Off</w:t>
            </w:r>
          </w:p>
        </w:tc>
        <w:tc>
          <w:tcPr>
            <w:tcW w:w="785" w:type="dxa"/>
            <w:tcBorders/>
            <w:vAlign w:val="center"/>
          </w:tcPr>
          <w:p>
            <w:pPr>
              <w:pStyle w:val="TableContents"/>
              <w:bidi w:val="0"/>
              <w:spacing w:before="0" w:after="283"/>
              <w:jc w:val="right"/>
              <w:rPr>
                <w:sz w:val="20"/>
              </w:rPr>
            </w:pPr>
            <w:r>
              <w:rPr>
                <w:sz w:val="20"/>
              </w:rPr>
              <w:t>50</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5665" w:type="dxa"/>
            <w:gridSpan w:val="2"/>
            <w:tcBorders/>
            <w:vAlign w:val="center"/>
          </w:tcPr>
          <w:p>
            <w:pPr>
              <w:pStyle w:val="TableContents"/>
              <w:bidi w:val="0"/>
              <w:spacing w:before="0" w:after="283"/>
              <w:jc w:val="left"/>
              <w:rPr>
                <w:caps/>
                <w:sz w:val="20"/>
              </w:rPr>
            </w:pPr>
            <w:r>
              <w:rPr>
                <w:caps/>
                <w:sz w:val="20"/>
              </w:rPr>
              <w:t>Section 5. YIELD PROTECTION, TAXES, ETC.</w:t>
            </w:r>
          </w:p>
        </w:tc>
        <w:tc>
          <w:tcPr>
            <w:tcW w:w="785" w:type="dxa"/>
            <w:tcBorders/>
            <w:vAlign w:val="center"/>
          </w:tcPr>
          <w:p>
            <w:pPr>
              <w:pStyle w:val="TableContents"/>
              <w:bidi w:val="0"/>
              <w:spacing w:before="0" w:after="283"/>
              <w:jc w:val="right"/>
              <w:rPr/>
            </w:pPr>
            <w:r>
              <w:rPr/>
              <w:t>51</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sz w:val="20"/>
              </w:rPr>
            </w:pPr>
            <w:r>
              <w:rPr>
                <w:sz w:val="20"/>
              </w:rPr>
              <w:t>5.01</w:t>
            </w:r>
          </w:p>
        </w:tc>
        <w:tc>
          <w:tcPr>
            <w:tcW w:w="5270" w:type="dxa"/>
            <w:tcBorders/>
            <w:vAlign w:val="center"/>
          </w:tcPr>
          <w:p>
            <w:pPr>
              <w:pStyle w:val="TableContents"/>
              <w:bidi w:val="0"/>
              <w:spacing w:before="0" w:after="283"/>
              <w:jc w:val="left"/>
              <w:rPr>
                <w:sz w:val="20"/>
              </w:rPr>
            </w:pPr>
            <w:r>
              <w:rPr>
                <w:sz w:val="20"/>
              </w:rPr>
              <w:t>Additional Costs</w:t>
            </w:r>
          </w:p>
        </w:tc>
        <w:tc>
          <w:tcPr>
            <w:tcW w:w="785" w:type="dxa"/>
            <w:tcBorders/>
            <w:vAlign w:val="center"/>
          </w:tcPr>
          <w:p>
            <w:pPr>
              <w:pStyle w:val="TableContents"/>
              <w:bidi w:val="0"/>
              <w:spacing w:before="0" w:after="283"/>
              <w:jc w:val="right"/>
              <w:rPr>
                <w:sz w:val="20"/>
              </w:rPr>
            </w:pPr>
            <w:r>
              <w:rPr>
                <w:sz w:val="20"/>
              </w:rPr>
              <w:t>51</w:t>
            </w:r>
          </w:p>
        </w:tc>
      </w:tr>
      <w:tr>
        <w:trPr/>
        <w:tc>
          <w:tcPr>
            <w:tcW w:w="395" w:type="dxa"/>
            <w:tcBorders/>
            <w:vAlign w:val="center"/>
          </w:tcPr>
          <w:p>
            <w:pPr>
              <w:pStyle w:val="TableContents"/>
              <w:bidi w:val="0"/>
              <w:spacing w:before="0" w:after="283"/>
              <w:jc w:val="left"/>
              <w:rPr>
                <w:sz w:val="20"/>
              </w:rPr>
            </w:pPr>
            <w:r>
              <w:rPr>
                <w:sz w:val="20"/>
              </w:rPr>
              <w:t>5.02</w:t>
            </w:r>
          </w:p>
        </w:tc>
        <w:tc>
          <w:tcPr>
            <w:tcW w:w="5270" w:type="dxa"/>
            <w:tcBorders/>
            <w:vAlign w:val="center"/>
          </w:tcPr>
          <w:p>
            <w:pPr>
              <w:pStyle w:val="TableContents"/>
              <w:bidi w:val="0"/>
              <w:spacing w:before="0" w:after="283"/>
              <w:jc w:val="left"/>
              <w:rPr>
                <w:sz w:val="20"/>
              </w:rPr>
            </w:pPr>
            <w:r>
              <w:rPr>
                <w:sz w:val="20"/>
              </w:rPr>
              <w:t>Illegality</w:t>
            </w:r>
          </w:p>
        </w:tc>
        <w:tc>
          <w:tcPr>
            <w:tcW w:w="785" w:type="dxa"/>
            <w:tcBorders/>
            <w:vAlign w:val="center"/>
          </w:tcPr>
          <w:p>
            <w:pPr>
              <w:pStyle w:val="TableContents"/>
              <w:bidi w:val="0"/>
              <w:spacing w:before="0" w:after="283"/>
              <w:jc w:val="right"/>
              <w:rPr>
                <w:sz w:val="20"/>
              </w:rPr>
            </w:pPr>
            <w:r>
              <w:rPr>
                <w:sz w:val="20"/>
              </w:rPr>
              <w:t>52</w:t>
            </w:r>
          </w:p>
        </w:tc>
      </w:tr>
      <w:tr>
        <w:trPr/>
        <w:tc>
          <w:tcPr>
            <w:tcW w:w="395" w:type="dxa"/>
            <w:tcBorders/>
            <w:vAlign w:val="center"/>
          </w:tcPr>
          <w:p>
            <w:pPr>
              <w:pStyle w:val="TableContents"/>
              <w:bidi w:val="0"/>
              <w:spacing w:before="0" w:after="283"/>
              <w:jc w:val="left"/>
              <w:rPr>
                <w:sz w:val="20"/>
              </w:rPr>
            </w:pPr>
            <w:r>
              <w:rPr>
                <w:sz w:val="20"/>
              </w:rPr>
              <w:t>5.03</w:t>
            </w:r>
          </w:p>
        </w:tc>
        <w:tc>
          <w:tcPr>
            <w:tcW w:w="5270" w:type="dxa"/>
            <w:tcBorders/>
            <w:vAlign w:val="center"/>
          </w:tcPr>
          <w:p>
            <w:pPr>
              <w:pStyle w:val="TableContents"/>
              <w:bidi w:val="0"/>
              <w:spacing w:before="0" w:after="283"/>
              <w:jc w:val="left"/>
              <w:rPr>
                <w:sz w:val="20"/>
              </w:rPr>
            </w:pPr>
            <w:r>
              <w:rPr>
                <w:sz w:val="20"/>
              </w:rPr>
              <w:t>Taxes</w:t>
            </w:r>
          </w:p>
        </w:tc>
        <w:tc>
          <w:tcPr>
            <w:tcW w:w="785" w:type="dxa"/>
            <w:tcBorders/>
            <w:vAlign w:val="center"/>
          </w:tcPr>
          <w:p>
            <w:pPr>
              <w:pStyle w:val="TableContents"/>
              <w:bidi w:val="0"/>
              <w:spacing w:before="0" w:after="283"/>
              <w:jc w:val="right"/>
              <w:rPr>
                <w:sz w:val="20"/>
              </w:rPr>
            </w:pPr>
            <w:r>
              <w:rPr>
                <w:sz w:val="20"/>
              </w:rPr>
              <w:t>52</w:t>
            </w:r>
          </w:p>
        </w:tc>
      </w:tr>
      <w:tr>
        <w:trPr/>
        <w:tc>
          <w:tcPr>
            <w:tcW w:w="395" w:type="dxa"/>
            <w:tcBorders/>
            <w:vAlign w:val="center"/>
          </w:tcPr>
          <w:p>
            <w:pPr>
              <w:pStyle w:val="TableContents"/>
              <w:bidi w:val="0"/>
              <w:spacing w:before="0" w:after="283"/>
              <w:jc w:val="left"/>
              <w:rPr>
                <w:sz w:val="20"/>
              </w:rPr>
            </w:pPr>
            <w:r>
              <w:rPr>
                <w:sz w:val="20"/>
              </w:rPr>
              <w:t>5.04</w:t>
            </w:r>
          </w:p>
        </w:tc>
        <w:tc>
          <w:tcPr>
            <w:tcW w:w="5270" w:type="dxa"/>
            <w:tcBorders/>
            <w:vAlign w:val="center"/>
          </w:tcPr>
          <w:p>
            <w:pPr>
              <w:pStyle w:val="TableContents"/>
              <w:bidi w:val="0"/>
              <w:spacing w:before="0" w:after="283"/>
              <w:jc w:val="left"/>
              <w:rPr>
                <w:sz w:val="20"/>
              </w:rPr>
            </w:pPr>
            <w:r>
              <w:rPr>
                <w:sz w:val="20"/>
              </w:rPr>
              <w:t>Mitigation Obligations</w:t>
            </w:r>
          </w:p>
        </w:tc>
        <w:tc>
          <w:tcPr>
            <w:tcW w:w="785" w:type="dxa"/>
            <w:tcBorders/>
            <w:vAlign w:val="center"/>
          </w:tcPr>
          <w:p>
            <w:pPr>
              <w:pStyle w:val="TableContents"/>
              <w:bidi w:val="0"/>
              <w:spacing w:before="0" w:after="283"/>
              <w:jc w:val="right"/>
              <w:rPr>
                <w:sz w:val="20"/>
              </w:rPr>
            </w:pPr>
            <w:r>
              <w:rPr>
                <w:sz w:val="20"/>
              </w:rPr>
              <w:t>56</w:t>
            </w:r>
          </w:p>
        </w:tc>
      </w:tr>
      <w:tr>
        <w:trPr/>
        <w:tc>
          <w:tcPr>
            <w:tcW w:w="395" w:type="dxa"/>
            <w:tcBorders/>
            <w:vAlign w:val="center"/>
          </w:tcPr>
          <w:p>
            <w:pPr>
              <w:pStyle w:val="TableContents"/>
              <w:bidi w:val="0"/>
              <w:spacing w:before="0" w:after="283"/>
              <w:jc w:val="left"/>
              <w:rPr>
                <w:sz w:val="20"/>
              </w:rPr>
            </w:pPr>
            <w:r>
              <w:rPr>
                <w:sz w:val="20"/>
              </w:rPr>
              <w:t>5.05</w:t>
            </w:r>
          </w:p>
        </w:tc>
        <w:tc>
          <w:tcPr>
            <w:tcW w:w="5270" w:type="dxa"/>
            <w:tcBorders/>
            <w:vAlign w:val="center"/>
          </w:tcPr>
          <w:p>
            <w:pPr>
              <w:pStyle w:val="TableContents"/>
              <w:bidi w:val="0"/>
              <w:spacing w:before="0" w:after="283"/>
              <w:jc w:val="left"/>
              <w:rPr>
                <w:sz w:val="20"/>
              </w:rPr>
            </w:pPr>
            <w:r>
              <w:rPr>
                <w:sz w:val="20"/>
              </w:rPr>
              <w:t>[Reserved]</w:t>
            </w:r>
          </w:p>
        </w:tc>
        <w:tc>
          <w:tcPr>
            <w:tcW w:w="785" w:type="dxa"/>
            <w:tcBorders/>
            <w:vAlign w:val="center"/>
          </w:tcPr>
          <w:p>
            <w:pPr>
              <w:pStyle w:val="TableContents"/>
              <w:bidi w:val="0"/>
              <w:spacing w:before="0" w:after="283"/>
              <w:jc w:val="right"/>
              <w:rPr>
                <w:sz w:val="20"/>
              </w:rPr>
            </w:pPr>
            <w:r>
              <w:rPr>
                <w:sz w:val="20"/>
              </w:rPr>
              <w:t>56</w:t>
            </w:r>
          </w:p>
        </w:tc>
      </w:tr>
      <w:tr>
        <w:trPr/>
        <w:tc>
          <w:tcPr>
            <w:tcW w:w="395" w:type="dxa"/>
            <w:tcBorders/>
            <w:vAlign w:val="center"/>
          </w:tcPr>
          <w:p>
            <w:pPr>
              <w:pStyle w:val="TableContents"/>
              <w:bidi w:val="0"/>
              <w:spacing w:before="0" w:after="283"/>
              <w:jc w:val="left"/>
              <w:rPr>
                <w:sz w:val="20"/>
              </w:rPr>
            </w:pPr>
            <w:r>
              <w:rPr>
                <w:sz w:val="20"/>
              </w:rPr>
              <w:t>5.06</w:t>
            </w:r>
          </w:p>
        </w:tc>
        <w:tc>
          <w:tcPr>
            <w:tcW w:w="5270" w:type="dxa"/>
            <w:tcBorders/>
            <w:vAlign w:val="center"/>
          </w:tcPr>
          <w:p>
            <w:pPr>
              <w:pStyle w:val="TableContents"/>
              <w:bidi w:val="0"/>
              <w:spacing w:before="0" w:after="283"/>
              <w:jc w:val="left"/>
              <w:rPr>
                <w:sz w:val="20"/>
              </w:rPr>
            </w:pPr>
            <w:r>
              <w:rPr>
                <w:sz w:val="20"/>
              </w:rPr>
              <w:t>Survival</w:t>
            </w:r>
          </w:p>
        </w:tc>
        <w:tc>
          <w:tcPr>
            <w:tcW w:w="785" w:type="dxa"/>
            <w:tcBorders/>
            <w:vAlign w:val="center"/>
          </w:tcPr>
          <w:p>
            <w:pPr>
              <w:pStyle w:val="TableContents"/>
              <w:bidi w:val="0"/>
              <w:spacing w:before="0" w:after="283"/>
              <w:jc w:val="right"/>
              <w:rPr>
                <w:sz w:val="20"/>
              </w:rPr>
            </w:pPr>
            <w:r>
              <w:rPr>
                <w:sz w:val="20"/>
              </w:rPr>
              <w:t>56</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5665" w:type="dxa"/>
            <w:gridSpan w:val="2"/>
            <w:tcBorders/>
            <w:vAlign w:val="center"/>
          </w:tcPr>
          <w:p>
            <w:pPr>
              <w:pStyle w:val="TableContents"/>
              <w:bidi w:val="0"/>
              <w:spacing w:before="0" w:after="283"/>
              <w:jc w:val="left"/>
              <w:rPr>
                <w:caps/>
                <w:sz w:val="20"/>
              </w:rPr>
            </w:pPr>
            <w:r>
              <w:rPr>
                <w:caps/>
                <w:sz w:val="20"/>
              </w:rPr>
              <w:t>Section 6. CONDITIONS</w:t>
            </w:r>
          </w:p>
        </w:tc>
        <w:tc>
          <w:tcPr>
            <w:tcW w:w="785" w:type="dxa"/>
            <w:tcBorders/>
            <w:vAlign w:val="center"/>
          </w:tcPr>
          <w:p>
            <w:pPr>
              <w:pStyle w:val="TableContents"/>
              <w:bidi w:val="0"/>
              <w:spacing w:before="0" w:after="283"/>
              <w:jc w:val="right"/>
              <w:rPr/>
            </w:pPr>
            <w:r>
              <w:rPr/>
              <w:t>57</w:t>
            </w:r>
          </w:p>
        </w:tc>
      </w:tr>
      <w:tr>
        <w:trPr/>
        <w:tc>
          <w:tcPr>
            <w:tcW w:w="395"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sz w:val="20"/>
              </w:rPr>
            </w:pPr>
            <w:r>
              <w:rPr>
                <w:sz w:val="20"/>
              </w:rPr>
              <w:t>6.01</w:t>
            </w:r>
          </w:p>
        </w:tc>
        <w:tc>
          <w:tcPr>
            <w:tcW w:w="5270" w:type="dxa"/>
            <w:tcBorders/>
            <w:vAlign w:val="center"/>
          </w:tcPr>
          <w:p>
            <w:pPr>
              <w:pStyle w:val="TableContents"/>
              <w:bidi w:val="0"/>
              <w:spacing w:before="0" w:after="283"/>
              <w:jc w:val="left"/>
              <w:rPr>
                <w:sz w:val="20"/>
              </w:rPr>
            </w:pPr>
            <w:r>
              <w:rPr>
                <w:sz w:val="20"/>
              </w:rPr>
              <w:t>Conditions to Closing</w:t>
            </w:r>
          </w:p>
        </w:tc>
        <w:tc>
          <w:tcPr>
            <w:tcW w:w="785" w:type="dxa"/>
            <w:tcBorders/>
            <w:vAlign w:val="center"/>
          </w:tcPr>
          <w:p>
            <w:pPr>
              <w:pStyle w:val="TableContents"/>
              <w:bidi w:val="0"/>
              <w:spacing w:before="0" w:after="283"/>
              <w:jc w:val="right"/>
              <w:rPr>
                <w:sz w:val="20"/>
              </w:rPr>
            </w:pPr>
            <w:r>
              <w:rPr>
                <w:sz w:val="20"/>
              </w:rPr>
              <w:t>57</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65" w:type="dxa"/>
        <w:jc w:val="left"/>
        <w:tblInd w:w="0" w:type="dxa"/>
        <w:tblLayout w:type="fixed"/>
        <w:tblCellMar>
          <w:top w:w="0" w:type="dxa"/>
          <w:left w:w="0" w:type="dxa"/>
          <w:bottom w:w="0" w:type="dxa"/>
          <w:right w:w="0" w:type="dxa"/>
        </w:tblCellMar>
      </w:tblPr>
      <w:tblGrid>
        <w:gridCol w:w="455"/>
        <w:gridCol w:w="7325"/>
        <w:gridCol w:w="785"/>
      </w:tblGrid>
      <w:tr>
        <w:trPr/>
        <w:tc>
          <w:tcPr>
            <w:tcW w:w="455" w:type="dxa"/>
            <w:tcBorders/>
            <w:vAlign w:val="center"/>
          </w:tcPr>
          <w:p>
            <w:pPr>
              <w:pStyle w:val="TableContents"/>
              <w:bidi w:val="0"/>
              <w:spacing w:before="0" w:after="283"/>
              <w:jc w:val="left"/>
              <w:rPr>
                <w:sz w:val="20"/>
              </w:rPr>
            </w:pPr>
            <w:r>
              <w:rPr>
                <w:sz w:val="20"/>
              </w:rPr>
              <w:t>6.02</w:t>
            </w:r>
          </w:p>
        </w:tc>
        <w:tc>
          <w:tcPr>
            <w:tcW w:w="7325" w:type="dxa"/>
            <w:tcBorders/>
            <w:vAlign w:val="center"/>
          </w:tcPr>
          <w:p>
            <w:pPr>
              <w:pStyle w:val="TableContents"/>
              <w:bidi w:val="0"/>
              <w:spacing w:before="0" w:after="283"/>
              <w:jc w:val="left"/>
              <w:rPr>
                <w:sz w:val="20"/>
              </w:rPr>
            </w:pPr>
            <w:r>
              <w:rPr>
                <w:sz w:val="20"/>
              </w:rPr>
              <w:t xml:space="preserve">Conditions to the Borrowing of All Loans </w:t>
            </w:r>
            <w:r>
              <w:rPr>
                <w:color w:val="0000FF"/>
                <w:sz w:val="20"/>
                <w:u w:val="single"/>
              </w:rPr>
              <w:t>(other than the Amendment No. 14 Term Loans)</w:t>
            </w:r>
          </w:p>
        </w:tc>
        <w:tc>
          <w:tcPr>
            <w:tcW w:w="785" w:type="dxa"/>
            <w:tcBorders/>
            <w:vAlign w:val="center"/>
          </w:tcPr>
          <w:p>
            <w:pPr>
              <w:pStyle w:val="TableContents"/>
              <w:bidi w:val="0"/>
              <w:spacing w:before="0" w:after="283"/>
              <w:jc w:val="right"/>
              <w:rPr>
                <w:sz w:val="20"/>
              </w:rPr>
            </w:pPr>
            <w:r>
              <w:rPr>
                <w:sz w:val="20"/>
              </w:rPr>
              <w:t>59</w:t>
            </w:r>
          </w:p>
        </w:tc>
      </w:tr>
      <w:tr>
        <w:trPr/>
        <w:tc>
          <w:tcPr>
            <w:tcW w:w="455" w:type="dxa"/>
            <w:tcBorders/>
            <w:vAlign w:val="center"/>
          </w:tcPr>
          <w:p>
            <w:pPr>
              <w:pStyle w:val="TableContents"/>
              <w:bidi w:val="0"/>
              <w:spacing w:before="0" w:after="283"/>
              <w:jc w:val="left"/>
              <w:rPr>
                <w:color w:val="0000FF"/>
                <w:u w:val="single"/>
              </w:rPr>
            </w:pPr>
            <w:r>
              <w:rPr>
                <w:color w:val="0000FF"/>
                <w:u w:val="single"/>
              </w:rPr>
              <w:t>6.03</w:t>
            </w:r>
          </w:p>
        </w:tc>
        <w:tc>
          <w:tcPr>
            <w:tcW w:w="7325" w:type="dxa"/>
            <w:tcBorders/>
            <w:vAlign w:val="center"/>
          </w:tcPr>
          <w:p>
            <w:pPr>
              <w:pStyle w:val="TableContents"/>
              <w:bidi w:val="0"/>
              <w:spacing w:before="0" w:after="283"/>
              <w:jc w:val="left"/>
              <w:rPr>
                <w:color w:val="0000FF"/>
                <w:u w:val="single"/>
              </w:rPr>
            </w:pPr>
            <w:r>
              <w:rPr>
                <w:color w:val="0000FF"/>
                <w:u w:val="single"/>
              </w:rPr>
              <w:t>Conditions to the Borrowing of the Amendment No. 14 Term Loans</w:t>
            </w:r>
          </w:p>
        </w:tc>
        <w:tc>
          <w:tcPr>
            <w:tcW w:w="785" w:type="dxa"/>
            <w:tcBorders/>
            <w:vAlign w:val="center"/>
          </w:tcPr>
          <w:p>
            <w:pPr>
              <w:pStyle w:val="TableContents"/>
              <w:bidi w:val="0"/>
              <w:spacing w:before="0" w:after="283"/>
              <w:jc w:val="right"/>
              <w:rPr>
                <w:color w:val="0000FF"/>
                <w:u w:val="single"/>
              </w:rPr>
            </w:pPr>
            <w:r>
              <w:rPr>
                <w:color w:val="0000FF"/>
                <w:u w:val="single"/>
              </w:rPr>
              <w:t>61</w:t>
            </w:r>
          </w:p>
        </w:tc>
      </w:tr>
      <w:tr>
        <w:trPr/>
        <w:tc>
          <w:tcPr>
            <w:tcW w:w="45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r>
      <w:tr>
        <w:trPr/>
        <w:tc>
          <w:tcPr>
            <w:tcW w:w="7780" w:type="dxa"/>
            <w:gridSpan w:val="2"/>
            <w:tcBorders/>
            <w:vAlign w:val="center"/>
          </w:tcPr>
          <w:p>
            <w:pPr>
              <w:pStyle w:val="TableContents"/>
              <w:bidi w:val="0"/>
              <w:spacing w:before="0" w:after="283"/>
              <w:jc w:val="left"/>
              <w:rPr>
                <w:caps/>
                <w:sz w:val="20"/>
              </w:rPr>
            </w:pPr>
            <w:r>
              <w:rPr>
                <w:caps/>
                <w:sz w:val="20"/>
              </w:rPr>
              <w:t>Section 7. REPRESENTATIONS AND WARRANTIES</w:t>
            </w:r>
          </w:p>
        </w:tc>
        <w:tc>
          <w:tcPr>
            <w:tcW w:w="785" w:type="dxa"/>
            <w:tcBorders/>
            <w:vAlign w:val="center"/>
          </w:tcPr>
          <w:p>
            <w:pPr>
              <w:pStyle w:val="TableContents"/>
              <w:bidi w:val="0"/>
              <w:spacing w:before="0" w:after="283"/>
              <w:jc w:val="right"/>
              <w:rPr/>
            </w:pPr>
            <w:r>
              <w:rPr>
                <w:caps/>
              </w:rPr>
              <w:t>     </w:t>
            </w:r>
            <w:r>
              <w:rPr>
                <w:caps/>
                <w:strike/>
                <w:color w:val="FF0000"/>
                <w:sz w:val="20"/>
              </w:rPr>
              <w:t>59</w:t>
            </w:r>
            <w:r>
              <w:rPr>
                <w:color w:val="0000FF"/>
                <w:u w:val="single"/>
              </w:rPr>
              <w:t>62</w:t>
            </w:r>
          </w:p>
        </w:tc>
      </w:tr>
      <w:tr>
        <w:trPr/>
        <w:tc>
          <w:tcPr>
            <w:tcW w:w="45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sz w:val="20"/>
              </w:rPr>
            </w:pPr>
            <w:r>
              <w:rPr>
                <w:sz w:val="20"/>
              </w:rPr>
              <w:t>7.01</w:t>
            </w:r>
          </w:p>
        </w:tc>
        <w:tc>
          <w:tcPr>
            <w:tcW w:w="7325" w:type="dxa"/>
            <w:tcBorders/>
            <w:vAlign w:val="center"/>
          </w:tcPr>
          <w:p>
            <w:pPr>
              <w:pStyle w:val="TableContents"/>
              <w:bidi w:val="0"/>
              <w:spacing w:before="0" w:after="283"/>
              <w:jc w:val="left"/>
              <w:rPr>
                <w:sz w:val="20"/>
              </w:rPr>
            </w:pPr>
            <w:r>
              <w:rPr>
                <w:sz w:val="20"/>
              </w:rPr>
              <w:t>Power and Authority</w:t>
            </w:r>
          </w:p>
        </w:tc>
        <w:tc>
          <w:tcPr>
            <w:tcW w:w="785" w:type="dxa"/>
            <w:tcBorders/>
            <w:vAlign w:val="center"/>
          </w:tcPr>
          <w:p>
            <w:pPr>
              <w:pStyle w:val="TableContents"/>
              <w:bidi w:val="0"/>
              <w:spacing w:before="0" w:after="283"/>
              <w:jc w:val="right"/>
              <w:rPr/>
            </w:pPr>
            <w:r>
              <w:rPr>
                <w:strike/>
                <w:color w:val="FF0000"/>
                <w:sz w:val="20"/>
              </w:rPr>
              <w:t>59</w:t>
            </w:r>
            <w:r>
              <w:rPr>
                <w:color w:val="0000FF"/>
                <w:u w:val="single"/>
              </w:rPr>
              <w:t>62</w:t>
            </w:r>
          </w:p>
        </w:tc>
      </w:tr>
      <w:tr>
        <w:trPr/>
        <w:tc>
          <w:tcPr>
            <w:tcW w:w="455" w:type="dxa"/>
            <w:tcBorders/>
            <w:vAlign w:val="center"/>
          </w:tcPr>
          <w:p>
            <w:pPr>
              <w:pStyle w:val="TableContents"/>
              <w:bidi w:val="0"/>
              <w:spacing w:before="0" w:after="283"/>
              <w:jc w:val="left"/>
              <w:rPr>
                <w:sz w:val="20"/>
              </w:rPr>
            </w:pPr>
            <w:r>
              <w:rPr>
                <w:sz w:val="20"/>
              </w:rPr>
              <w:t>7.02</w:t>
            </w:r>
          </w:p>
        </w:tc>
        <w:tc>
          <w:tcPr>
            <w:tcW w:w="7325" w:type="dxa"/>
            <w:tcBorders/>
            <w:vAlign w:val="center"/>
          </w:tcPr>
          <w:p>
            <w:pPr>
              <w:pStyle w:val="TableContents"/>
              <w:bidi w:val="0"/>
              <w:spacing w:before="0" w:after="283"/>
              <w:jc w:val="left"/>
              <w:rPr>
                <w:sz w:val="20"/>
              </w:rPr>
            </w:pPr>
            <w:r>
              <w:rPr>
                <w:sz w:val="20"/>
              </w:rPr>
              <w:t>Authorization; Enforceability</w:t>
            </w:r>
          </w:p>
        </w:tc>
        <w:tc>
          <w:tcPr>
            <w:tcW w:w="785" w:type="dxa"/>
            <w:tcBorders/>
            <w:vAlign w:val="center"/>
          </w:tcPr>
          <w:p>
            <w:pPr>
              <w:pStyle w:val="TableContents"/>
              <w:bidi w:val="0"/>
              <w:spacing w:before="0" w:after="283"/>
              <w:jc w:val="right"/>
              <w:rPr/>
            </w:pPr>
            <w:r>
              <w:rPr>
                <w:strike/>
                <w:color w:val="FF0000"/>
                <w:sz w:val="20"/>
              </w:rPr>
              <w:t>59</w:t>
            </w:r>
            <w:r>
              <w:rPr>
                <w:color w:val="0000FF"/>
                <w:u w:val="single"/>
              </w:rPr>
              <w:t>62</w:t>
            </w:r>
          </w:p>
        </w:tc>
      </w:tr>
      <w:tr>
        <w:trPr/>
        <w:tc>
          <w:tcPr>
            <w:tcW w:w="455" w:type="dxa"/>
            <w:tcBorders/>
            <w:vAlign w:val="center"/>
          </w:tcPr>
          <w:p>
            <w:pPr>
              <w:pStyle w:val="TableContents"/>
              <w:bidi w:val="0"/>
              <w:spacing w:before="0" w:after="283"/>
              <w:jc w:val="left"/>
              <w:rPr>
                <w:sz w:val="20"/>
              </w:rPr>
            </w:pPr>
            <w:r>
              <w:rPr>
                <w:sz w:val="20"/>
              </w:rPr>
              <w:t>7.03</w:t>
            </w:r>
          </w:p>
        </w:tc>
        <w:tc>
          <w:tcPr>
            <w:tcW w:w="7325" w:type="dxa"/>
            <w:tcBorders/>
            <w:vAlign w:val="center"/>
          </w:tcPr>
          <w:p>
            <w:pPr>
              <w:pStyle w:val="TableContents"/>
              <w:bidi w:val="0"/>
              <w:spacing w:before="0" w:after="283"/>
              <w:jc w:val="left"/>
              <w:rPr>
                <w:sz w:val="20"/>
              </w:rPr>
            </w:pPr>
            <w:r>
              <w:rPr>
                <w:sz w:val="20"/>
              </w:rPr>
              <w:t>Governmental and Other Approvals; No Conflicts</w:t>
            </w:r>
          </w:p>
        </w:tc>
        <w:tc>
          <w:tcPr>
            <w:tcW w:w="785" w:type="dxa"/>
            <w:tcBorders/>
            <w:vAlign w:val="center"/>
          </w:tcPr>
          <w:p>
            <w:pPr>
              <w:pStyle w:val="TableContents"/>
              <w:bidi w:val="0"/>
              <w:spacing w:before="0" w:after="283"/>
              <w:jc w:val="right"/>
              <w:rPr/>
            </w:pPr>
            <w:r>
              <w:rPr>
                <w:strike/>
                <w:color w:val="FF0000"/>
                <w:sz w:val="20"/>
              </w:rPr>
              <w:t>59</w:t>
            </w:r>
            <w:r>
              <w:rPr>
                <w:color w:val="0000FF"/>
                <w:u w:val="single"/>
              </w:rPr>
              <w:t>63</w:t>
            </w:r>
          </w:p>
        </w:tc>
      </w:tr>
      <w:tr>
        <w:trPr/>
        <w:tc>
          <w:tcPr>
            <w:tcW w:w="455" w:type="dxa"/>
            <w:tcBorders/>
            <w:vAlign w:val="center"/>
          </w:tcPr>
          <w:p>
            <w:pPr>
              <w:pStyle w:val="TableContents"/>
              <w:bidi w:val="0"/>
              <w:spacing w:before="0" w:after="283"/>
              <w:jc w:val="left"/>
              <w:rPr>
                <w:sz w:val="20"/>
              </w:rPr>
            </w:pPr>
            <w:r>
              <w:rPr>
                <w:sz w:val="20"/>
              </w:rPr>
              <w:t>7.04</w:t>
            </w:r>
          </w:p>
        </w:tc>
        <w:tc>
          <w:tcPr>
            <w:tcW w:w="7325" w:type="dxa"/>
            <w:tcBorders/>
            <w:vAlign w:val="center"/>
          </w:tcPr>
          <w:p>
            <w:pPr>
              <w:pStyle w:val="TableContents"/>
              <w:bidi w:val="0"/>
              <w:spacing w:before="0" w:after="283"/>
              <w:jc w:val="left"/>
              <w:rPr>
                <w:sz w:val="20"/>
              </w:rPr>
            </w:pPr>
            <w:r>
              <w:rPr>
                <w:sz w:val="20"/>
              </w:rPr>
              <w:t>Financial Statements; Material Adverse Change</w:t>
            </w:r>
          </w:p>
        </w:tc>
        <w:tc>
          <w:tcPr>
            <w:tcW w:w="785" w:type="dxa"/>
            <w:tcBorders/>
            <w:vAlign w:val="center"/>
          </w:tcPr>
          <w:p>
            <w:pPr>
              <w:pStyle w:val="TableContents"/>
              <w:bidi w:val="0"/>
              <w:spacing w:before="0" w:after="283"/>
              <w:jc w:val="right"/>
              <w:rPr/>
            </w:pPr>
            <w:r>
              <w:rPr>
                <w:strike/>
                <w:color w:val="FF0000"/>
                <w:sz w:val="20"/>
              </w:rPr>
              <w:t>60</w:t>
            </w:r>
            <w:r>
              <w:rPr>
                <w:color w:val="0000FF"/>
                <w:u w:val="single"/>
              </w:rPr>
              <w:t>63</w:t>
            </w:r>
          </w:p>
        </w:tc>
      </w:tr>
      <w:tr>
        <w:trPr/>
        <w:tc>
          <w:tcPr>
            <w:tcW w:w="455" w:type="dxa"/>
            <w:tcBorders/>
            <w:vAlign w:val="center"/>
          </w:tcPr>
          <w:p>
            <w:pPr>
              <w:pStyle w:val="TableContents"/>
              <w:bidi w:val="0"/>
              <w:spacing w:before="0" w:after="283"/>
              <w:jc w:val="left"/>
              <w:rPr>
                <w:sz w:val="20"/>
              </w:rPr>
            </w:pPr>
            <w:r>
              <w:rPr>
                <w:sz w:val="20"/>
              </w:rPr>
              <w:t>7.05</w:t>
            </w:r>
          </w:p>
        </w:tc>
        <w:tc>
          <w:tcPr>
            <w:tcW w:w="7325" w:type="dxa"/>
            <w:tcBorders/>
            <w:vAlign w:val="center"/>
          </w:tcPr>
          <w:p>
            <w:pPr>
              <w:pStyle w:val="TableContents"/>
              <w:bidi w:val="0"/>
              <w:spacing w:before="0" w:after="283"/>
              <w:jc w:val="left"/>
              <w:rPr>
                <w:sz w:val="20"/>
              </w:rPr>
            </w:pPr>
            <w:r>
              <w:rPr>
                <w:sz w:val="20"/>
              </w:rPr>
              <w:t>Properties</w:t>
            </w:r>
          </w:p>
        </w:tc>
        <w:tc>
          <w:tcPr>
            <w:tcW w:w="785" w:type="dxa"/>
            <w:tcBorders/>
            <w:vAlign w:val="center"/>
          </w:tcPr>
          <w:p>
            <w:pPr>
              <w:pStyle w:val="TableContents"/>
              <w:bidi w:val="0"/>
              <w:spacing w:before="0" w:after="283"/>
              <w:jc w:val="right"/>
              <w:rPr/>
            </w:pPr>
            <w:r>
              <w:rPr>
                <w:strike/>
                <w:color w:val="FF0000"/>
                <w:sz w:val="20"/>
              </w:rPr>
              <w:t>60</w:t>
            </w:r>
            <w:r>
              <w:rPr>
                <w:color w:val="0000FF"/>
                <w:u w:val="single"/>
              </w:rPr>
              <w:t>63</w:t>
            </w:r>
          </w:p>
        </w:tc>
      </w:tr>
      <w:tr>
        <w:trPr/>
        <w:tc>
          <w:tcPr>
            <w:tcW w:w="455" w:type="dxa"/>
            <w:tcBorders/>
            <w:vAlign w:val="center"/>
          </w:tcPr>
          <w:p>
            <w:pPr>
              <w:pStyle w:val="TableContents"/>
              <w:bidi w:val="0"/>
              <w:spacing w:before="0" w:after="283"/>
              <w:jc w:val="left"/>
              <w:rPr>
                <w:sz w:val="20"/>
              </w:rPr>
            </w:pPr>
            <w:r>
              <w:rPr>
                <w:sz w:val="20"/>
              </w:rPr>
              <w:t>7.06</w:t>
            </w:r>
          </w:p>
        </w:tc>
        <w:tc>
          <w:tcPr>
            <w:tcW w:w="7325" w:type="dxa"/>
            <w:tcBorders/>
            <w:vAlign w:val="center"/>
          </w:tcPr>
          <w:p>
            <w:pPr>
              <w:pStyle w:val="TableContents"/>
              <w:bidi w:val="0"/>
              <w:spacing w:before="0" w:after="283"/>
              <w:jc w:val="left"/>
              <w:rPr>
                <w:sz w:val="20"/>
              </w:rPr>
            </w:pPr>
            <w:r>
              <w:rPr>
                <w:sz w:val="20"/>
              </w:rPr>
              <w:t>No Actions or Proceedings</w:t>
            </w:r>
          </w:p>
        </w:tc>
        <w:tc>
          <w:tcPr>
            <w:tcW w:w="785" w:type="dxa"/>
            <w:tcBorders/>
            <w:vAlign w:val="center"/>
          </w:tcPr>
          <w:p>
            <w:pPr>
              <w:pStyle w:val="TableContents"/>
              <w:bidi w:val="0"/>
              <w:spacing w:before="0" w:after="283"/>
              <w:jc w:val="right"/>
              <w:rPr/>
            </w:pPr>
            <w:r>
              <w:rPr>
                <w:strike/>
                <w:color w:val="FF0000"/>
                <w:sz w:val="20"/>
              </w:rPr>
              <w:t>62</w:t>
            </w:r>
            <w:r>
              <w:rPr>
                <w:color w:val="0000FF"/>
                <w:u w:val="single"/>
              </w:rPr>
              <w:t>66</w:t>
            </w:r>
          </w:p>
        </w:tc>
      </w:tr>
      <w:tr>
        <w:trPr/>
        <w:tc>
          <w:tcPr>
            <w:tcW w:w="455" w:type="dxa"/>
            <w:tcBorders/>
            <w:vAlign w:val="center"/>
          </w:tcPr>
          <w:p>
            <w:pPr>
              <w:pStyle w:val="TableContents"/>
              <w:bidi w:val="0"/>
              <w:spacing w:before="0" w:after="283"/>
              <w:jc w:val="left"/>
              <w:rPr>
                <w:sz w:val="20"/>
              </w:rPr>
            </w:pPr>
            <w:r>
              <w:rPr>
                <w:sz w:val="20"/>
              </w:rPr>
              <w:t>7.07</w:t>
            </w:r>
          </w:p>
        </w:tc>
        <w:tc>
          <w:tcPr>
            <w:tcW w:w="7325" w:type="dxa"/>
            <w:tcBorders/>
            <w:vAlign w:val="center"/>
          </w:tcPr>
          <w:p>
            <w:pPr>
              <w:pStyle w:val="TableContents"/>
              <w:bidi w:val="0"/>
              <w:spacing w:before="0" w:after="283"/>
              <w:jc w:val="left"/>
              <w:rPr>
                <w:sz w:val="20"/>
              </w:rPr>
            </w:pPr>
            <w:r>
              <w:rPr>
                <w:sz w:val="20"/>
              </w:rPr>
              <w:t>Compliance with Laws and Agreements</w:t>
            </w:r>
          </w:p>
        </w:tc>
        <w:tc>
          <w:tcPr>
            <w:tcW w:w="785" w:type="dxa"/>
            <w:tcBorders/>
            <w:vAlign w:val="center"/>
          </w:tcPr>
          <w:p>
            <w:pPr>
              <w:pStyle w:val="TableContents"/>
              <w:bidi w:val="0"/>
              <w:spacing w:before="0" w:after="283"/>
              <w:jc w:val="right"/>
              <w:rPr/>
            </w:pPr>
            <w:r>
              <w:rPr>
                <w:strike/>
                <w:color w:val="FF0000"/>
                <w:sz w:val="20"/>
              </w:rPr>
              <w:t>63</w:t>
            </w:r>
            <w:r>
              <w:rPr>
                <w:color w:val="0000FF"/>
                <w:u w:val="single"/>
              </w:rPr>
              <w:t>66</w:t>
            </w:r>
          </w:p>
        </w:tc>
      </w:tr>
      <w:tr>
        <w:trPr/>
        <w:tc>
          <w:tcPr>
            <w:tcW w:w="455" w:type="dxa"/>
            <w:tcBorders/>
            <w:vAlign w:val="center"/>
          </w:tcPr>
          <w:p>
            <w:pPr>
              <w:pStyle w:val="TableContents"/>
              <w:bidi w:val="0"/>
              <w:spacing w:before="0" w:after="283"/>
              <w:jc w:val="left"/>
              <w:rPr>
                <w:sz w:val="20"/>
              </w:rPr>
            </w:pPr>
            <w:r>
              <w:rPr>
                <w:sz w:val="20"/>
              </w:rPr>
              <w:t>7.08</w:t>
            </w:r>
          </w:p>
        </w:tc>
        <w:tc>
          <w:tcPr>
            <w:tcW w:w="7325" w:type="dxa"/>
            <w:tcBorders/>
            <w:vAlign w:val="center"/>
          </w:tcPr>
          <w:p>
            <w:pPr>
              <w:pStyle w:val="TableContents"/>
              <w:bidi w:val="0"/>
              <w:spacing w:before="0" w:after="283"/>
              <w:jc w:val="left"/>
              <w:rPr>
                <w:sz w:val="20"/>
              </w:rPr>
            </w:pPr>
            <w:r>
              <w:rPr>
                <w:sz w:val="20"/>
              </w:rPr>
              <w:t>Taxes</w:t>
            </w:r>
          </w:p>
        </w:tc>
        <w:tc>
          <w:tcPr>
            <w:tcW w:w="785" w:type="dxa"/>
            <w:tcBorders/>
            <w:vAlign w:val="center"/>
          </w:tcPr>
          <w:p>
            <w:pPr>
              <w:pStyle w:val="TableContents"/>
              <w:bidi w:val="0"/>
              <w:spacing w:before="0" w:after="283"/>
              <w:jc w:val="right"/>
              <w:rPr/>
            </w:pPr>
            <w:r>
              <w:rPr>
                <w:strike/>
                <w:color w:val="FF0000"/>
                <w:sz w:val="20"/>
              </w:rPr>
              <w:t>64</w:t>
            </w:r>
            <w:r>
              <w:rPr>
                <w:color w:val="0000FF"/>
                <w:u w:val="single"/>
              </w:rPr>
              <w:t>67</w:t>
            </w:r>
          </w:p>
        </w:tc>
      </w:tr>
      <w:tr>
        <w:trPr/>
        <w:tc>
          <w:tcPr>
            <w:tcW w:w="455" w:type="dxa"/>
            <w:tcBorders/>
            <w:vAlign w:val="center"/>
          </w:tcPr>
          <w:p>
            <w:pPr>
              <w:pStyle w:val="TableContents"/>
              <w:bidi w:val="0"/>
              <w:spacing w:before="0" w:after="283"/>
              <w:jc w:val="left"/>
              <w:rPr>
                <w:sz w:val="20"/>
              </w:rPr>
            </w:pPr>
            <w:r>
              <w:rPr>
                <w:sz w:val="20"/>
              </w:rPr>
              <w:t>7.09</w:t>
            </w:r>
          </w:p>
        </w:tc>
        <w:tc>
          <w:tcPr>
            <w:tcW w:w="7325" w:type="dxa"/>
            <w:tcBorders/>
            <w:vAlign w:val="center"/>
          </w:tcPr>
          <w:p>
            <w:pPr>
              <w:pStyle w:val="TableContents"/>
              <w:bidi w:val="0"/>
              <w:spacing w:before="0" w:after="283"/>
              <w:jc w:val="left"/>
              <w:rPr>
                <w:sz w:val="20"/>
              </w:rPr>
            </w:pPr>
            <w:r>
              <w:rPr>
                <w:sz w:val="20"/>
              </w:rPr>
              <w:t>Full Disclosure</w:t>
            </w:r>
          </w:p>
        </w:tc>
        <w:tc>
          <w:tcPr>
            <w:tcW w:w="785" w:type="dxa"/>
            <w:tcBorders/>
            <w:vAlign w:val="center"/>
          </w:tcPr>
          <w:p>
            <w:pPr>
              <w:pStyle w:val="TableContents"/>
              <w:bidi w:val="0"/>
              <w:spacing w:before="0" w:after="283"/>
              <w:jc w:val="right"/>
              <w:rPr/>
            </w:pPr>
            <w:r>
              <w:rPr>
                <w:strike/>
                <w:color w:val="FF0000"/>
                <w:sz w:val="20"/>
              </w:rPr>
              <w:t>64</w:t>
            </w:r>
            <w:r>
              <w:rPr>
                <w:color w:val="0000FF"/>
                <w:u w:val="single"/>
              </w:rPr>
              <w:t>67</w:t>
            </w:r>
          </w:p>
        </w:tc>
      </w:tr>
      <w:tr>
        <w:trPr/>
        <w:tc>
          <w:tcPr>
            <w:tcW w:w="455" w:type="dxa"/>
            <w:tcBorders/>
            <w:vAlign w:val="center"/>
          </w:tcPr>
          <w:p>
            <w:pPr>
              <w:pStyle w:val="TableContents"/>
              <w:bidi w:val="0"/>
              <w:spacing w:before="0" w:after="283"/>
              <w:jc w:val="left"/>
              <w:rPr>
                <w:sz w:val="20"/>
              </w:rPr>
            </w:pPr>
            <w:r>
              <w:rPr>
                <w:sz w:val="20"/>
              </w:rPr>
              <w:t>7.10</w:t>
            </w:r>
          </w:p>
        </w:tc>
        <w:tc>
          <w:tcPr>
            <w:tcW w:w="7325" w:type="dxa"/>
            <w:tcBorders/>
            <w:vAlign w:val="center"/>
          </w:tcPr>
          <w:p>
            <w:pPr>
              <w:pStyle w:val="TableContents"/>
              <w:bidi w:val="0"/>
              <w:spacing w:before="0" w:after="283"/>
              <w:jc w:val="left"/>
              <w:rPr>
                <w:sz w:val="20"/>
              </w:rPr>
            </w:pPr>
            <w:r>
              <w:rPr>
                <w:sz w:val="20"/>
              </w:rPr>
              <w:t>Investment Company Act and Margin Stock Regulation</w:t>
            </w:r>
          </w:p>
        </w:tc>
        <w:tc>
          <w:tcPr>
            <w:tcW w:w="785" w:type="dxa"/>
            <w:tcBorders/>
            <w:vAlign w:val="center"/>
          </w:tcPr>
          <w:p>
            <w:pPr>
              <w:pStyle w:val="TableContents"/>
              <w:bidi w:val="0"/>
              <w:spacing w:before="0" w:after="283"/>
              <w:jc w:val="right"/>
              <w:rPr/>
            </w:pPr>
            <w:r>
              <w:rPr>
                <w:strike/>
                <w:color w:val="FF0000"/>
                <w:sz w:val="20"/>
              </w:rPr>
              <w:t>64</w:t>
            </w:r>
            <w:r>
              <w:rPr>
                <w:color w:val="0000FF"/>
                <w:u w:val="single"/>
              </w:rPr>
              <w:t>68</w:t>
            </w:r>
          </w:p>
        </w:tc>
      </w:tr>
      <w:tr>
        <w:trPr/>
        <w:tc>
          <w:tcPr>
            <w:tcW w:w="455" w:type="dxa"/>
            <w:tcBorders/>
            <w:vAlign w:val="center"/>
          </w:tcPr>
          <w:p>
            <w:pPr>
              <w:pStyle w:val="TableContents"/>
              <w:bidi w:val="0"/>
              <w:spacing w:before="0" w:after="283"/>
              <w:jc w:val="left"/>
              <w:rPr>
                <w:sz w:val="20"/>
              </w:rPr>
            </w:pPr>
            <w:r>
              <w:rPr>
                <w:sz w:val="20"/>
              </w:rPr>
              <w:t>7.11</w:t>
            </w:r>
          </w:p>
        </w:tc>
        <w:tc>
          <w:tcPr>
            <w:tcW w:w="7325" w:type="dxa"/>
            <w:tcBorders/>
            <w:vAlign w:val="center"/>
          </w:tcPr>
          <w:p>
            <w:pPr>
              <w:pStyle w:val="TableContents"/>
              <w:bidi w:val="0"/>
              <w:spacing w:before="0" w:after="283"/>
              <w:jc w:val="left"/>
              <w:rPr>
                <w:sz w:val="20"/>
              </w:rPr>
            </w:pPr>
            <w:r>
              <w:rPr>
                <w:sz w:val="20"/>
              </w:rPr>
              <w:t>Solvency</w:t>
            </w:r>
          </w:p>
        </w:tc>
        <w:tc>
          <w:tcPr>
            <w:tcW w:w="785" w:type="dxa"/>
            <w:tcBorders/>
            <w:vAlign w:val="center"/>
          </w:tcPr>
          <w:p>
            <w:pPr>
              <w:pStyle w:val="TableContents"/>
              <w:bidi w:val="0"/>
              <w:spacing w:before="0" w:after="283"/>
              <w:jc w:val="right"/>
              <w:rPr/>
            </w:pPr>
            <w:r>
              <w:rPr>
                <w:strike/>
                <w:color w:val="FF0000"/>
                <w:sz w:val="20"/>
              </w:rPr>
              <w:t>64</w:t>
            </w:r>
            <w:r>
              <w:rPr>
                <w:color w:val="0000FF"/>
                <w:u w:val="single"/>
              </w:rPr>
              <w:t>68</w:t>
            </w:r>
          </w:p>
        </w:tc>
      </w:tr>
      <w:tr>
        <w:trPr/>
        <w:tc>
          <w:tcPr>
            <w:tcW w:w="455" w:type="dxa"/>
            <w:tcBorders/>
            <w:vAlign w:val="center"/>
          </w:tcPr>
          <w:p>
            <w:pPr>
              <w:pStyle w:val="TableContents"/>
              <w:bidi w:val="0"/>
              <w:spacing w:before="0" w:after="283"/>
              <w:jc w:val="left"/>
              <w:rPr>
                <w:sz w:val="20"/>
              </w:rPr>
            </w:pPr>
            <w:r>
              <w:rPr>
                <w:sz w:val="20"/>
              </w:rPr>
              <w:t>7.12</w:t>
            </w:r>
          </w:p>
        </w:tc>
        <w:tc>
          <w:tcPr>
            <w:tcW w:w="7325" w:type="dxa"/>
            <w:tcBorders/>
            <w:vAlign w:val="center"/>
          </w:tcPr>
          <w:p>
            <w:pPr>
              <w:pStyle w:val="TableContents"/>
              <w:bidi w:val="0"/>
              <w:spacing w:before="0" w:after="283"/>
              <w:jc w:val="left"/>
              <w:rPr>
                <w:sz w:val="20"/>
              </w:rPr>
            </w:pPr>
            <w:r>
              <w:rPr>
                <w:sz w:val="20"/>
              </w:rPr>
              <w:t>Subsidiaries</w:t>
            </w:r>
          </w:p>
        </w:tc>
        <w:tc>
          <w:tcPr>
            <w:tcW w:w="785" w:type="dxa"/>
            <w:tcBorders/>
            <w:vAlign w:val="center"/>
          </w:tcPr>
          <w:p>
            <w:pPr>
              <w:pStyle w:val="TableContents"/>
              <w:bidi w:val="0"/>
              <w:spacing w:before="0" w:after="283"/>
              <w:jc w:val="right"/>
              <w:rPr/>
            </w:pPr>
            <w:r>
              <w:rPr>
                <w:strike/>
                <w:color w:val="FF0000"/>
                <w:sz w:val="20"/>
              </w:rPr>
              <w:t>64</w:t>
            </w:r>
            <w:r>
              <w:rPr>
                <w:color w:val="0000FF"/>
                <w:u w:val="single"/>
              </w:rPr>
              <w:t>68</w:t>
            </w:r>
          </w:p>
        </w:tc>
      </w:tr>
      <w:tr>
        <w:trPr/>
        <w:tc>
          <w:tcPr>
            <w:tcW w:w="455" w:type="dxa"/>
            <w:tcBorders/>
            <w:vAlign w:val="center"/>
          </w:tcPr>
          <w:p>
            <w:pPr>
              <w:pStyle w:val="TableContents"/>
              <w:bidi w:val="0"/>
              <w:spacing w:before="0" w:after="283"/>
              <w:jc w:val="left"/>
              <w:rPr>
                <w:sz w:val="20"/>
              </w:rPr>
            </w:pPr>
            <w:r>
              <w:rPr>
                <w:sz w:val="20"/>
              </w:rPr>
              <w:t>7.13</w:t>
            </w:r>
          </w:p>
        </w:tc>
        <w:tc>
          <w:tcPr>
            <w:tcW w:w="7325" w:type="dxa"/>
            <w:tcBorders/>
            <w:vAlign w:val="center"/>
          </w:tcPr>
          <w:p>
            <w:pPr>
              <w:pStyle w:val="TableContents"/>
              <w:bidi w:val="0"/>
              <w:spacing w:before="0" w:after="283"/>
              <w:jc w:val="left"/>
              <w:rPr>
                <w:sz w:val="20"/>
              </w:rPr>
            </w:pPr>
            <w:r>
              <w:rPr>
                <w:sz w:val="20"/>
              </w:rPr>
              <w:t>Indebtedness and Liens</w:t>
            </w:r>
          </w:p>
        </w:tc>
        <w:tc>
          <w:tcPr>
            <w:tcW w:w="785" w:type="dxa"/>
            <w:tcBorders/>
            <w:vAlign w:val="center"/>
          </w:tcPr>
          <w:p>
            <w:pPr>
              <w:pStyle w:val="TableContents"/>
              <w:bidi w:val="0"/>
              <w:spacing w:before="0" w:after="283"/>
              <w:jc w:val="right"/>
              <w:rPr/>
            </w:pPr>
            <w:r>
              <w:rPr>
                <w:strike/>
                <w:color w:val="FF0000"/>
                <w:sz w:val="20"/>
              </w:rPr>
              <w:t>65</w:t>
            </w:r>
            <w:r>
              <w:rPr>
                <w:color w:val="0000FF"/>
                <w:u w:val="single"/>
              </w:rPr>
              <w:t>68</w:t>
            </w:r>
          </w:p>
        </w:tc>
      </w:tr>
      <w:tr>
        <w:trPr/>
        <w:tc>
          <w:tcPr>
            <w:tcW w:w="455" w:type="dxa"/>
            <w:tcBorders/>
            <w:vAlign w:val="center"/>
          </w:tcPr>
          <w:p>
            <w:pPr>
              <w:pStyle w:val="TableContents"/>
              <w:bidi w:val="0"/>
              <w:spacing w:before="0" w:after="283"/>
              <w:jc w:val="left"/>
              <w:rPr>
                <w:sz w:val="20"/>
              </w:rPr>
            </w:pPr>
            <w:r>
              <w:rPr>
                <w:sz w:val="20"/>
              </w:rPr>
              <w:t>7.14</w:t>
            </w:r>
          </w:p>
        </w:tc>
        <w:tc>
          <w:tcPr>
            <w:tcW w:w="7325" w:type="dxa"/>
            <w:tcBorders/>
            <w:vAlign w:val="center"/>
          </w:tcPr>
          <w:p>
            <w:pPr>
              <w:pStyle w:val="TableContents"/>
              <w:bidi w:val="0"/>
              <w:spacing w:before="0" w:after="283"/>
              <w:jc w:val="left"/>
              <w:rPr>
                <w:sz w:val="20"/>
              </w:rPr>
            </w:pPr>
            <w:r>
              <w:rPr>
                <w:sz w:val="20"/>
              </w:rPr>
              <w:t>Material Agreements</w:t>
            </w:r>
          </w:p>
        </w:tc>
        <w:tc>
          <w:tcPr>
            <w:tcW w:w="785" w:type="dxa"/>
            <w:tcBorders/>
            <w:vAlign w:val="center"/>
          </w:tcPr>
          <w:p>
            <w:pPr>
              <w:pStyle w:val="TableContents"/>
              <w:bidi w:val="0"/>
              <w:spacing w:before="0" w:after="283"/>
              <w:jc w:val="right"/>
              <w:rPr/>
            </w:pPr>
            <w:r>
              <w:rPr>
                <w:strike/>
                <w:color w:val="FF0000"/>
                <w:sz w:val="20"/>
              </w:rPr>
              <w:t>65</w:t>
            </w:r>
            <w:r>
              <w:rPr>
                <w:color w:val="0000FF"/>
                <w:u w:val="single"/>
              </w:rPr>
              <w:t>68</w:t>
            </w:r>
          </w:p>
        </w:tc>
      </w:tr>
      <w:tr>
        <w:trPr/>
        <w:tc>
          <w:tcPr>
            <w:tcW w:w="455" w:type="dxa"/>
            <w:tcBorders/>
            <w:vAlign w:val="center"/>
          </w:tcPr>
          <w:p>
            <w:pPr>
              <w:pStyle w:val="TableContents"/>
              <w:bidi w:val="0"/>
              <w:spacing w:before="0" w:after="283"/>
              <w:jc w:val="left"/>
              <w:rPr>
                <w:sz w:val="20"/>
              </w:rPr>
            </w:pPr>
            <w:r>
              <w:rPr>
                <w:sz w:val="20"/>
              </w:rPr>
              <w:t>7.15</w:t>
            </w:r>
          </w:p>
        </w:tc>
        <w:tc>
          <w:tcPr>
            <w:tcW w:w="7325" w:type="dxa"/>
            <w:tcBorders/>
            <w:vAlign w:val="center"/>
          </w:tcPr>
          <w:p>
            <w:pPr>
              <w:pStyle w:val="TableContents"/>
              <w:bidi w:val="0"/>
              <w:spacing w:before="0" w:after="283"/>
              <w:jc w:val="left"/>
              <w:rPr>
                <w:sz w:val="20"/>
              </w:rPr>
            </w:pPr>
            <w:r>
              <w:rPr>
                <w:sz w:val="20"/>
              </w:rPr>
              <w:t>Restrictive Agreements</w:t>
            </w:r>
          </w:p>
        </w:tc>
        <w:tc>
          <w:tcPr>
            <w:tcW w:w="785" w:type="dxa"/>
            <w:tcBorders/>
            <w:vAlign w:val="center"/>
          </w:tcPr>
          <w:p>
            <w:pPr>
              <w:pStyle w:val="TableContents"/>
              <w:bidi w:val="0"/>
              <w:spacing w:before="0" w:after="283"/>
              <w:jc w:val="right"/>
              <w:rPr/>
            </w:pPr>
            <w:r>
              <w:rPr>
                <w:strike/>
                <w:color w:val="FF0000"/>
                <w:sz w:val="20"/>
              </w:rPr>
              <w:t>65</w:t>
            </w:r>
            <w:r>
              <w:rPr>
                <w:color w:val="0000FF"/>
                <w:u w:val="single"/>
              </w:rPr>
              <w:t>68</w:t>
            </w:r>
          </w:p>
        </w:tc>
      </w:tr>
      <w:tr>
        <w:trPr/>
        <w:tc>
          <w:tcPr>
            <w:tcW w:w="455" w:type="dxa"/>
            <w:tcBorders/>
            <w:vAlign w:val="center"/>
          </w:tcPr>
          <w:p>
            <w:pPr>
              <w:pStyle w:val="TableContents"/>
              <w:bidi w:val="0"/>
              <w:spacing w:before="0" w:after="283"/>
              <w:jc w:val="left"/>
              <w:rPr>
                <w:sz w:val="20"/>
              </w:rPr>
            </w:pPr>
            <w:r>
              <w:rPr>
                <w:sz w:val="20"/>
              </w:rPr>
              <w:t>7.16</w:t>
            </w:r>
          </w:p>
        </w:tc>
        <w:tc>
          <w:tcPr>
            <w:tcW w:w="7325" w:type="dxa"/>
            <w:tcBorders/>
            <w:vAlign w:val="center"/>
          </w:tcPr>
          <w:p>
            <w:pPr>
              <w:pStyle w:val="TableContents"/>
              <w:bidi w:val="0"/>
              <w:spacing w:before="0" w:after="283"/>
              <w:jc w:val="left"/>
              <w:rPr>
                <w:sz w:val="20"/>
              </w:rPr>
            </w:pPr>
            <w:r>
              <w:rPr>
                <w:sz w:val="20"/>
              </w:rPr>
              <w:t>Real Property</w:t>
            </w:r>
          </w:p>
        </w:tc>
        <w:tc>
          <w:tcPr>
            <w:tcW w:w="785" w:type="dxa"/>
            <w:tcBorders/>
            <w:vAlign w:val="center"/>
          </w:tcPr>
          <w:p>
            <w:pPr>
              <w:pStyle w:val="TableContents"/>
              <w:bidi w:val="0"/>
              <w:spacing w:before="0" w:after="283"/>
              <w:jc w:val="right"/>
              <w:rPr/>
            </w:pPr>
            <w:r>
              <w:rPr>
                <w:strike/>
                <w:color w:val="FF0000"/>
                <w:sz w:val="20"/>
              </w:rPr>
              <w:t>65</w:t>
            </w:r>
            <w:r>
              <w:rPr>
                <w:color w:val="0000FF"/>
                <w:u w:val="single"/>
              </w:rPr>
              <w:t>68</w:t>
            </w:r>
          </w:p>
        </w:tc>
      </w:tr>
      <w:tr>
        <w:trPr/>
        <w:tc>
          <w:tcPr>
            <w:tcW w:w="455" w:type="dxa"/>
            <w:tcBorders/>
            <w:vAlign w:val="center"/>
          </w:tcPr>
          <w:p>
            <w:pPr>
              <w:pStyle w:val="TableContents"/>
              <w:bidi w:val="0"/>
              <w:spacing w:before="0" w:after="283"/>
              <w:jc w:val="left"/>
              <w:rPr>
                <w:sz w:val="20"/>
              </w:rPr>
            </w:pPr>
            <w:r>
              <w:rPr>
                <w:sz w:val="20"/>
              </w:rPr>
              <w:t>7.17</w:t>
            </w:r>
          </w:p>
        </w:tc>
        <w:tc>
          <w:tcPr>
            <w:tcW w:w="7325" w:type="dxa"/>
            <w:tcBorders/>
            <w:vAlign w:val="center"/>
          </w:tcPr>
          <w:p>
            <w:pPr>
              <w:pStyle w:val="TableContents"/>
              <w:bidi w:val="0"/>
              <w:spacing w:before="0" w:after="283"/>
              <w:jc w:val="left"/>
              <w:rPr>
                <w:sz w:val="20"/>
              </w:rPr>
            </w:pPr>
            <w:r>
              <w:rPr>
                <w:sz w:val="20"/>
              </w:rPr>
              <w:t>Pension Matters</w:t>
            </w:r>
          </w:p>
        </w:tc>
        <w:tc>
          <w:tcPr>
            <w:tcW w:w="785" w:type="dxa"/>
            <w:tcBorders/>
            <w:vAlign w:val="center"/>
          </w:tcPr>
          <w:p>
            <w:pPr>
              <w:pStyle w:val="TableContents"/>
              <w:bidi w:val="0"/>
              <w:spacing w:before="0" w:after="283"/>
              <w:jc w:val="right"/>
              <w:rPr/>
            </w:pPr>
            <w:r>
              <w:rPr>
                <w:strike/>
                <w:color w:val="FF0000"/>
                <w:sz w:val="20"/>
              </w:rPr>
              <w:t>65</w:t>
            </w:r>
            <w:r>
              <w:rPr>
                <w:color w:val="0000FF"/>
                <w:u w:val="single"/>
              </w:rPr>
              <w:t>68</w:t>
            </w:r>
          </w:p>
        </w:tc>
      </w:tr>
      <w:tr>
        <w:trPr/>
        <w:tc>
          <w:tcPr>
            <w:tcW w:w="455" w:type="dxa"/>
            <w:tcBorders/>
            <w:vAlign w:val="center"/>
          </w:tcPr>
          <w:p>
            <w:pPr>
              <w:pStyle w:val="TableContents"/>
              <w:bidi w:val="0"/>
              <w:spacing w:before="0" w:after="283"/>
              <w:jc w:val="left"/>
              <w:rPr>
                <w:sz w:val="20"/>
              </w:rPr>
            </w:pPr>
            <w:r>
              <w:rPr>
                <w:sz w:val="20"/>
              </w:rPr>
              <w:t>7.18</w:t>
            </w:r>
          </w:p>
        </w:tc>
        <w:tc>
          <w:tcPr>
            <w:tcW w:w="7325" w:type="dxa"/>
            <w:tcBorders/>
            <w:vAlign w:val="center"/>
          </w:tcPr>
          <w:p>
            <w:pPr>
              <w:pStyle w:val="TableContents"/>
              <w:bidi w:val="0"/>
              <w:spacing w:before="0" w:after="283"/>
              <w:jc w:val="left"/>
              <w:rPr>
                <w:sz w:val="20"/>
              </w:rPr>
            </w:pPr>
            <w:r>
              <w:rPr>
                <w:sz w:val="20"/>
              </w:rPr>
              <w:t>Regulatory Approvals</w:t>
            </w:r>
          </w:p>
        </w:tc>
        <w:tc>
          <w:tcPr>
            <w:tcW w:w="785" w:type="dxa"/>
            <w:tcBorders/>
            <w:vAlign w:val="center"/>
          </w:tcPr>
          <w:p>
            <w:pPr>
              <w:pStyle w:val="TableContents"/>
              <w:bidi w:val="0"/>
              <w:spacing w:before="0" w:after="283"/>
              <w:jc w:val="right"/>
              <w:rPr/>
            </w:pPr>
            <w:r>
              <w:rPr>
                <w:strike/>
                <w:color w:val="FF0000"/>
                <w:sz w:val="20"/>
              </w:rPr>
              <w:t>66</w:t>
            </w:r>
            <w:r>
              <w:rPr>
                <w:color w:val="0000FF"/>
                <w:u w:val="single"/>
              </w:rPr>
              <w:t>69</w:t>
            </w:r>
          </w:p>
        </w:tc>
      </w:tr>
      <w:tr>
        <w:trPr/>
        <w:tc>
          <w:tcPr>
            <w:tcW w:w="455" w:type="dxa"/>
            <w:tcBorders/>
            <w:vAlign w:val="center"/>
          </w:tcPr>
          <w:p>
            <w:pPr>
              <w:pStyle w:val="TableContents"/>
              <w:bidi w:val="0"/>
              <w:spacing w:before="0" w:after="283"/>
              <w:jc w:val="left"/>
              <w:rPr>
                <w:sz w:val="20"/>
              </w:rPr>
            </w:pPr>
            <w:r>
              <w:rPr>
                <w:sz w:val="20"/>
              </w:rPr>
              <w:t>7.19</w:t>
            </w:r>
          </w:p>
        </w:tc>
        <w:tc>
          <w:tcPr>
            <w:tcW w:w="7325" w:type="dxa"/>
            <w:tcBorders/>
            <w:vAlign w:val="center"/>
          </w:tcPr>
          <w:p>
            <w:pPr>
              <w:pStyle w:val="TableContents"/>
              <w:bidi w:val="0"/>
              <w:spacing w:before="0" w:after="283"/>
              <w:jc w:val="left"/>
              <w:rPr>
                <w:sz w:val="20"/>
              </w:rPr>
            </w:pPr>
            <w:r>
              <w:rPr>
                <w:sz w:val="20"/>
              </w:rPr>
              <w:t>Transactions with Affiliates</w:t>
            </w:r>
          </w:p>
        </w:tc>
        <w:tc>
          <w:tcPr>
            <w:tcW w:w="785" w:type="dxa"/>
            <w:tcBorders/>
            <w:vAlign w:val="center"/>
          </w:tcPr>
          <w:p>
            <w:pPr>
              <w:pStyle w:val="TableContents"/>
              <w:bidi w:val="0"/>
              <w:spacing w:before="0" w:after="283"/>
              <w:jc w:val="right"/>
              <w:rPr/>
            </w:pPr>
            <w:r>
              <w:rPr>
                <w:strike/>
                <w:color w:val="FF0000"/>
                <w:sz w:val="20"/>
              </w:rPr>
              <w:t>67</w:t>
            </w:r>
            <w:r>
              <w:rPr>
                <w:color w:val="0000FF"/>
                <w:u w:val="single"/>
              </w:rPr>
              <w:t>70</w:t>
            </w:r>
          </w:p>
        </w:tc>
      </w:tr>
      <w:tr>
        <w:trPr/>
        <w:tc>
          <w:tcPr>
            <w:tcW w:w="455" w:type="dxa"/>
            <w:tcBorders/>
            <w:vAlign w:val="center"/>
          </w:tcPr>
          <w:p>
            <w:pPr>
              <w:pStyle w:val="TableContents"/>
              <w:bidi w:val="0"/>
              <w:spacing w:before="0" w:after="283"/>
              <w:jc w:val="left"/>
              <w:rPr>
                <w:sz w:val="20"/>
              </w:rPr>
            </w:pPr>
            <w:r>
              <w:rPr>
                <w:sz w:val="20"/>
              </w:rPr>
              <w:t>7.20</w:t>
            </w:r>
          </w:p>
        </w:tc>
        <w:tc>
          <w:tcPr>
            <w:tcW w:w="7325" w:type="dxa"/>
            <w:tcBorders/>
            <w:vAlign w:val="center"/>
          </w:tcPr>
          <w:p>
            <w:pPr>
              <w:pStyle w:val="TableContents"/>
              <w:bidi w:val="0"/>
              <w:spacing w:before="0" w:after="283"/>
              <w:jc w:val="left"/>
              <w:rPr>
                <w:sz w:val="20"/>
              </w:rPr>
            </w:pPr>
            <w:r>
              <w:rPr>
                <w:sz w:val="20"/>
              </w:rPr>
              <w:t>OFAC; Anti-Terrorism Laws</w:t>
            </w:r>
          </w:p>
        </w:tc>
        <w:tc>
          <w:tcPr>
            <w:tcW w:w="785" w:type="dxa"/>
            <w:tcBorders/>
            <w:vAlign w:val="center"/>
          </w:tcPr>
          <w:p>
            <w:pPr>
              <w:pStyle w:val="TableContents"/>
              <w:bidi w:val="0"/>
              <w:spacing w:before="0" w:after="283"/>
              <w:jc w:val="right"/>
              <w:rPr/>
            </w:pPr>
            <w:r>
              <w:rPr>
                <w:strike/>
                <w:color w:val="FF0000"/>
                <w:sz w:val="20"/>
              </w:rPr>
              <w:t>67</w:t>
            </w:r>
            <w:r>
              <w:rPr>
                <w:color w:val="0000FF"/>
                <w:u w:val="single"/>
              </w:rPr>
              <w:t>70</w:t>
            </w:r>
          </w:p>
        </w:tc>
      </w:tr>
      <w:tr>
        <w:trPr/>
        <w:tc>
          <w:tcPr>
            <w:tcW w:w="455" w:type="dxa"/>
            <w:tcBorders/>
            <w:vAlign w:val="center"/>
          </w:tcPr>
          <w:p>
            <w:pPr>
              <w:pStyle w:val="TableContents"/>
              <w:bidi w:val="0"/>
              <w:spacing w:before="0" w:after="283"/>
              <w:jc w:val="left"/>
              <w:rPr>
                <w:sz w:val="20"/>
              </w:rPr>
            </w:pPr>
            <w:r>
              <w:rPr>
                <w:sz w:val="20"/>
              </w:rPr>
              <w:t>7.21</w:t>
            </w:r>
          </w:p>
        </w:tc>
        <w:tc>
          <w:tcPr>
            <w:tcW w:w="7325" w:type="dxa"/>
            <w:tcBorders/>
            <w:vAlign w:val="center"/>
          </w:tcPr>
          <w:p>
            <w:pPr>
              <w:pStyle w:val="TableContents"/>
              <w:bidi w:val="0"/>
              <w:spacing w:before="0" w:after="283"/>
              <w:jc w:val="left"/>
              <w:rPr>
                <w:sz w:val="20"/>
              </w:rPr>
            </w:pPr>
            <w:r>
              <w:rPr>
                <w:sz w:val="20"/>
              </w:rPr>
              <w:t>Anti-Corruption</w:t>
            </w:r>
          </w:p>
        </w:tc>
        <w:tc>
          <w:tcPr>
            <w:tcW w:w="785" w:type="dxa"/>
            <w:tcBorders/>
            <w:vAlign w:val="center"/>
          </w:tcPr>
          <w:p>
            <w:pPr>
              <w:pStyle w:val="TableContents"/>
              <w:bidi w:val="0"/>
              <w:spacing w:before="0" w:after="283"/>
              <w:jc w:val="right"/>
              <w:rPr/>
            </w:pPr>
            <w:r>
              <w:rPr>
                <w:strike/>
                <w:color w:val="FF0000"/>
                <w:sz w:val="20"/>
              </w:rPr>
              <w:t>67</w:t>
            </w:r>
            <w:r>
              <w:rPr>
                <w:color w:val="0000FF"/>
                <w:u w:val="single"/>
              </w:rPr>
              <w:t>71</w:t>
            </w:r>
          </w:p>
        </w:tc>
      </w:tr>
      <w:tr>
        <w:trPr/>
        <w:tc>
          <w:tcPr>
            <w:tcW w:w="455" w:type="dxa"/>
            <w:tcBorders/>
            <w:vAlign w:val="center"/>
          </w:tcPr>
          <w:p>
            <w:pPr>
              <w:pStyle w:val="TableContents"/>
              <w:bidi w:val="0"/>
              <w:spacing w:before="0" w:after="283"/>
              <w:jc w:val="left"/>
              <w:rPr>
                <w:sz w:val="20"/>
              </w:rPr>
            </w:pPr>
            <w:r>
              <w:rPr>
                <w:sz w:val="20"/>
              </w:rPr>
              <w:t>7.22</w:t>
            </w:r>
          </w:p>
        </w:tc>
        <w:tc>
          <w:tcPr>
            <w:tcW w:w="7325" w:type="dxa"/>
            <w:tcBorders/>
            <w:vAlign w:val="center"/>
          </w:tcPr>
          <w:p>
            <w:pPr>
              <w:pStyle w:val="TableContents"/>
              <w:bidi w:val="0"/>
              <w:spacing w:before="0" w:after="283"/>
              <w:jc w:val="left"/>
              <w:rPr>
                <w:sz w:val="20"/>
              </w:rPr>
            </w:pPr>
            <w:r>
              <w:rPr>
                <w:sz w:val="20"/>
              </w:rPr>
              <w:t>[Reserved]</w:t>
            </w:r>
          </w:p>
        </w:tc>
        <w:tc>
          <w:tcPr>
            <w:tcW w:w="785" w:type="dxa"/>
            <w:tcBorders/>
            <w:vAlign w:val="center"/>
          </w:tcPr>
          <w:p>
            <w:pPr>
              <w:pStyle w:val="TableContents"/>
              <w:bidi w:val="0"/>
              <w:spacing w:before="0" w:after="283"/>
              <w:jc w:val="right"/>
              <w:rPr/>
            </w:pPr>
            <w:r>
              <w:rPr>
                <w:strike/>
                <w:color w:val="FF0000"/>
                <w:sz w:val="20"/>
              </w:rPr>
              <w:t>68</w:t>
            </w:r>
            <w:r>
              <w:rPr>
                <w:color w:val="0000FF"/>
                <w:u w:val="single"/>
              </w:rPr>
              <w:t>71</w:t>
            </w:r>
          </w:p>
        </w:tc>
      </w:tr>
      <w:tr>
        <w:trPr/>
        <w:tc>
          <w:tcPr>
            <w:tcW w:w="455" w:type="dxa"/>
            <w:tcBorders/>
            <w:vAlign w:val="center"/>
          </w:tcPr>
          <w:p>
            <w:pPr>
              <w:pStyle w:val="TableContents"/>
              <w:bidi w:val="0"/>
              <w:spacing w:before="0" w:after="283"/>
              <w:jc w:val="left"/>
              <w:rPr>
                <w:sz w:val="20"/>
              </w:rPr>
            </w:pPr>
            <w:r>
              <w:rPr>
                <w:sz w:val="20"/>
              </w:rPr>
              <w:t>7.23</w:t>
            </w:r>
          </w:p>
        </w:tc>
        <w:tc>
          <w:tcPr>
            <w:tcW w:w="7325" w:type="dxa"/>
            <w:tcBorders/>
            <w:vAlign w:val="center"/>
          </w:tcPr>
          <w:p>
            <w:pPr>
              <w:pStyle w:val="TableContents"/>
              <w:bidi w:val="0"/>
              <w:spacing w:before="0" w:after="283"/>
              <w:jc w:val="left"/>
              <w:rPr>
                <w:sz w:val="20"/>
              </w:rPr>
            </w:pPr>
            <w:r>
              <w:rPr>
                <w:sz w:val="20"/>
              </w:rPr>
              <w:t>Priority of Obligations</w:t>
            </w:r>
          </w:p>
        </w:tc>
        <w:tc>
          <w:tcPr>
            <w:tcW w:w="785" w:type="dxa"/>
            <w:tcBorders/>
            <w:vAlign w:val="center"/>
          </w:tcPr>
          <w:p>
            <w:pPr>
              <w:pStyle w:val="TableContents"/>
              <w:bidi w:val="0"/>
              <w:spacing w:before="0" w:after="283"/>
              <w:jc w:val="right"/>
              <w:rPr/>
            </w:pPr>
            <w:r>
              <w:rPr>
                <w:strike/>
                <w:color w:val="FF0000"/>
                <w:sz w:val="20"/>
              </w:rPr>
              <w:t>68</w:t>
            </w:r>
            <w:r>
              <w:rPr>
                <w:color w:val="0000FF"/>
                <w:u w:val="single"/>
              </w:rPr>
              <w:t>71</w:t>
            </w:r>
          </w:p>
        </w:tc>
      </w:tr>
      <w:tr>
        <w:trPr/>
        <w:tc>
          <w:tcPr>
            <w:tcW w:w="455" w:type="dxa"/>
            <w:tcBorders/>
            <w:vAlign w:val="center"/>
          </w:tcPr>
          <w:p>
            <w:pPr>
              <w:pStyle w:val="TableContents"/>
              <w:bidi w:val="0"/>
              <w:spacing w:before="0" w:after="283"/>
              <w:jc w:val="left"/>
              <w:rPr>
                <w:sz w:val="20"/>
              </w:rPr>
            </w:pPr>
            <w:r>
              <w:rPr>
                <w:sz w:val="20"/>
              </w:rPr>
              <w:t>7.24</w:t>
            </w:r>
          </w:p>
        </w:tc>
        <w:tc>
          <w:tcPr>
            <w:tcW w:w="7325" w:type="dxa"/>
            <w:tcBorders/>
            <w:vAlign w:val="center"/>
          </w:tcPr>
          <w:p>
            <w:pPr>
              <w:pStyle w:val="TableContents"/>
              <w:bidi w:val="0"/>
              <w:spacing w:before="0" w:after="283"/>
              <w:jc w:val="left"/>
              <w:rPr>
                <w:sz w:val="20"/>
              </w:rPr>
            </w:pPr>
            <w:r>
              <w:rPr>
                <w:sz w:val="20"/>
              </w:rPr>
              <w:t>Royalty and Other Payments</w:t>
            </w:r>
          </w:p>
        </w:tc>
        <w:tc>
          <w:tcPr>
            <w:tcW w:w="785" w:type="dxa"/>
            <w:tcBorders/>
            <w:vAlign w:val="center"/>
          </w:tcPr>
          <w:p>
            <w:pPr>
              <w:pStyle w:val="TableContents"/>
              <w:bidi w:val="0"/>
              <w:spacing w:before="0" w:after="283"/>
              <w:jc w:val="right"/>
              <w:rPr/>
            </w:pPr>
            <w:r>
              <w:rPr>
                <w:strike/>
                <w:color w:val="FF0000"/>
                <w:sz w:val="20"/>
              </w:rPr>
              <w:t>68</w:t>
            </w:r>
            <w:r>
              <w:rPr>
                <w:color w:val="0000FF"/>
                <w:u w:val="single"/>
              </w:rPr>
              <w:t>71</w:t>
            </w:r>
          </w:p>
        </w:tc>
      </w:tr>
      <w:tr>
        <w:trPr/>
        <w:tc>
          <w:tcPr>
            <w:tcW w:w="455" w:type="dxa"/>
            <w:tcBorders/>
            <w:vAlign w:val="center"/>
          </w:tcPr>
          <w:p>
            <w:pPr>
              <w:pStyle w:val="TableContents"/>
              <w:bidi w:val="0"/>
              <w:spacing w:before="0" w:after="283"/>
              <w:jc w:val="left"/>
              <w:rPr>
                <w:sz w:val="20"/>
              </w:rPr>
            </w:pPr>
            <w:r>
              <w:rPr>
                <w:sz w:val="20"/>
              </w:rPr>
              <w:t>7.25</w:t>
            </w:r>
          </w:p>
        </w:tc>
        <w:tc>
          <w:tcPr>
            <w:tcW w:w="7325" w:type="dxa"/>
            <w:tcBorders/>
            <w:vAlign w:val="center"/>
          </w:tcPr>
          <w:p>
            <w:pPr>
              <w:pStyle w:val="TableContents"/>
              <w:bidi w:val="0"/>
              <w:spacing w:before="0" w:after="283"/>
              <w:jc w:val="left"/>
              <w:rPr>
                <w:sz w:val="20"/>
              </w:rPr>
            </w:pPr>
            <w:r>
              <w:rPr>
                <w:sz w:val="20"/>
              </w:rPr>
              <w:t>Non-Competes</w:t>
            </w:r>
          </w:p>
        </w:tc>
        <w:tc>
          <w:tcPr>
            <w:tcW w:w="785" w:type="dxa"/>
            <w:tcBorders/>
            <w:vAlign w:val="center"/>
          </w:tcPr>
          <w:p>
            <w:pPr>
              <w:pStyle w:val="TableContents"/>
              <w:bidi w:val="0"/>
              <w:spacing w:before="0" w:after="283"/>
              <w:jc w:val="right"/>
              <w:rPr/>
            </w:pPr>
            <w:r>
              <w:rPr>
                <w:strike/>
                <w:color w:val="FF0000"/>
                <w:sz w:val="20"/>
              </w:rPr>
              <w:t>68</w:t>
            </w:r>
            <w:r>
              <w:rPr>
                <w:color w:val="0000FF"/>
                <w:u w:val="single"/>
              </w:rPr>
              <w:t>71</w:t>
            </w:r>
          </w:p>
        </w:tc>
      </w:tr>
      <w:tr>
        <w:trPr/>
        <w:tc>
          <w:tcPr>
            <w:tcW w:w="455" w:type="dxa"/>
            <w:tcBorders/>
            <w:vAlign w:val="center"/>
          </w:tcPr>
          <w:p>
            <w:pPr>
              <w:pStyle w:val="TableContents"/>
              <w:bidi w:val="0"/>
              <w:spacing w:before="0" w:after="283"/>
              <w:jc w:val="left"/>
              <w:rPr>
                <w:sz w:val="20"/>
              </w:rPr>
            </w:pPr>
            <w:r>
              <w:rPr>
                <w:sz w:val="20"/>
              </w:rPr>
              <w:t>7.26</w:t>
            </w:r>
          </w:p>
        </w:tc>
        <w:tc>
          <w:tcPr>
            <w:tcW w:w="7325" w:type="dxa"/>
            <w:tcBorders/>
            <w:vAlign w:val="center"/>
          </w:tcPr>
          <w:p>
            <w:pPr>
              <w:pStyle w:val="TableContents"/>
              <w:bidi w:val="0"/>
              <w:spacing w:before="0" w:after="283"/>
              <w:jc w:val="left"/>
              <w:rPr>
                <w:sz w:val="20"/>
              </w:rPr>
            </w:pPr>
            <w:r>
              <w:rPr>
                <w:sz w:val="20"/>
              </w:rPr>
              <w:t>Security Interest</w:t>
            </w:r>
          </w:p>
        </w:tc>
        <w:tc>
          <w:tcPr>
            <w:tcW w:w="785" w:type="dxa"/>
            <w:tcBorders/>
            <w:vAlign w:val="center"/>
          </w:tcPr>
          <w:p>
            <w:pPr>
              <w:pStyle w:val="TableContents"/>
              <w:bidi w:val="0"/>
              <w:spacing w:before="0" w:after="283"/>
              <w:jc w:val="right"/>
              <w:rPr/>
            </w:pPr>
            <w:r>
              <w:rPr>
                <w:strike/>
                <w:color w:val="FF0000"/>
                <w:sz w:val="20"/>
              </w:rPr>
              <w:t>68</w:t>
            </w:r>
            <w:r>
              <w:rPr>
                <w:color w:val="0000FF"/>
                <w:u w:val="single"/>
              </w:rPr>
              <w:t>71</w:t>
            </w:r>
          </w:p>
        </w:tc>
      </w:tr>
      <w:tr>
        <w:trPr/>
        <w:tc>
          <w:tcPr>
            <w:tcW w:w="455" w:type="dxa"/>
            <w:tcBorders/>
            <w:vAlign w:val="center"/>
          </w:tcPr>
          <w:p>
            <w:pPr>
              <w:pStyle w:val="TableContents"/>
              <w:bidi w:val="0"/>
              <w:spacing w:before="0" w:after="283"/>
              <w:jc w:val="left"/>
              <w:rPr>
                <w:sz w:val="20"/>
              </w:rPr>
            </w:pPr>
            <w:r>
              <w:rPr>
                <w:sz w:val="20"/>
              </w:rPr>
              <w:t>7.27</w:t>
            </w:r>
          </w:p>
        </w:tc>
        <w:tc>
          <w:tcPr>
            <w:tcW w:w="7325" w:type="dxa"/>
            <w:tcBorders/>
            <w:vAlign w:val="center"/>
          </w:tcPr>
          <w:p>
            <w:pPr>
              <w:pStyle w:val="TableContents"/>
              <w:bidi w:val="0"/>
              <w:spacing w:before="0" w:after="283"/>
              <w:jc w:val="left"/>
              <w:rPr>
                <w:sz w:val="20"/>
              </w:rPr>
            </w:pPr>
            <w:r>
              <w:rPr>
                <w:sz w:val="20"/>
              </w:rPr>
              <w:t>Data Privacy</w:t>
            </w:r>
          </w:p>
        </w:tc>
        <w:tc>
          <w:tcPr>
            <w:tcW w:w="785" w:type="dxa"/>
            <w:tcBorders/>
            <w:vAlign w:val="center"/>
          </w:tcPr>
          <w:p>
            <w:pPr>
              <w:pStyle w:val="TableContents"/>
              <w:bidi w:val="0"/>
              <w:spacing w:before="0" w:after="283"/>
              <w:jc w:val="right"/>
              <w:rPr/>
            </w:pPr>
            <w:r>
              <w:rPr>
                <w:strike/>
                <w:color w:val="FF0000"/>
                <w:sz w:val="20"/>
              </w:rPr>
              <w:t>68</w:t>
            </w:r>
            <w:r>
              <w:rPr>
                <w:color w:val="0000FF"/>
                <w:u w:val="single"/>
              </w:rPr>
              <w:t>71</w:t>
            </w:r>
          </w:p>
        </w:tc>
      </w:tr>
      <w:tr>
        <w:trPr/>
        <w:tc>
          <w:tcPr>
            <w:tcW w:w="45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7780" w:type="dxa"/>
            <w:gridSpan w:val="2"/>
            <w:tcBorders/>
            <w:vAlign w:val="center"/>
          </w:tcPr>
          <w:p>
            <w:pPr>
              <w:pStyle w:val="TableContents"/>
              <w:bidi w:val="0"/>
              <w:spacing w:before="0" w:after="283"/>
              <w:jc w:val="left"/>
              <w:rPr>
                <w:caps/>
                <w:sz w:val="20"/>
              </w:rPr>
            </w:pPr>
            <w:r>
              <w:rPr>
                <w:caps/>
                <w:sz w:val="20"/>
              </w:rPr>
              <w:t>Section 8. AFFIRMATIVE COVENANTS</w:t>
            </w:r>
          </w:p>
        </w:tc>
        <w:tc>
          <w:tcPr>
            <w:tcW w:w="785" w:type="dxa"/>
            <w:tcBorders/>
            <w:vAlign w:val="center"/>
          </w:tcPr>
          <w:p>
            <w:pPr>
              <w:pStyle w:val="TableContents"/>
              <w:bidi w:val="0"/>
              <w:spacing w:before="0" w:after="283"/>
              <w:jc w:val="right"/>
              <w:rPr/>
            </w:pPr>
            <w:r>
              <w:rPr>
                <w:caps/>
              </w:rPr>
              <w:t>     </w:t>
            </w:r>
            <w:r>
              <w:rPr>
                <w:caps/>
                <w:strike/>
                <w:color w:val="FF0000"/>
                <w:sz w:val="20"/>
              </w:rPr>
              <w:t>68</w:t>
            </w:r>
            <w:r>
              <w:rPr>
                <w:color w:val="0000FF"/>
                <w:u w:val="single"/>
              </w:rPr>
              <w:t>72</w:t>
            </w:r>
          </w:p>
        </w:tc>
      </w:tr>
      <w:tr>
        <w:trPr/>
        <w:tc>
          <w:tcPr>
            <w:tcW w:w="45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r>
      <w:tr>
        <w:trPr/>
        <w:tc>
          <w:tcPr>
            <w:tcW w:w="455" w:type="dxa"/>
            <w:tcBorders/>
            <w:vAlign w:val="center"/>
          </w:tcPr>
          <w:p>
            <w:pPr>
              <w:pStyle w:val="TableContents"/>
              <w:bidi w:val="0"/>
              <w:spacing w:before="0" w:after="283"/>
              <w:jc w:val="left"/>
              <w:rPr>
                <w:sz w:val="20"/>
              </w:rPr>
            </w:pPr>
            <w:r>
              <w:rPr>
                <w:sz w:val="20"/>
              </w:rPr>
              <w:t>8.01</w:t>
            </w:r>
          </w:p>
        </w:tc>
        <w:tc>
          <w:tcPr>
            <w:tcW w:w="7325" w:type="dxa"/>
            <w:tcBorders/>
            <w:vAlign w:val="center"/>
          </w:tcPr>
          <w:p>
            <w:pPr>
              <w:pStyle w:val="TableContents"/>
              <w:bidi w:val="0"/>
              <w:spacing w:before="0" w:after="283"/>
              <w:jc w:val="left"/>
              <w:rPr>
                <w:sz w:val="20"/>
              </w:rPr>
            </w:pPr>
            <w:r>
              <w:rPr>
                <w:sz w:val="20"/>
              </w:rPr>
              <w:t>Financial Statements and Other Information</w:t>
            </w:r>
          </w:p>
        </w:tc>
        <w:tc>
          <w:tcPr>
            <w:tcW w:w="785" w:type="dxa"/>
            <w:tcBorders/>
            <w:vAlign w:val="center"/>
          </w:tcPr>
          <w:p>
            <w:pPr>
              <w:pStyle w:val="TableContents"/>
              <w:bidi w:val="0"/>
              <w:spacing w:before="0" w:after="283"/>
              <w:jc w:val="right"/>
              <w:rPr/>
            </w:pPr>
            <w:r>
              <w:rPr>
                <w:strike/>
                <w:color w:val="FF0000"/>
                <w:sz w:val="20"/>
              </w:rPr>
              <w:t>68</w:t>
            </w:r>
            <w:r>
              <w:rPr>
                <w:color w:val="0000FF"/>
                <w:u w:val="single"/>
              </w:rPr>
              <w:t>72</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410" w:type="dxa"/>
        <w:jc w:val="left"/>
        <w:tblInd w:w="0" w:type="dxa"/>
        <w:tblLayout w:type="fixed"/>
        <w:tblCellMar>
          <w:top w:w="0" w:type="dxa"/>
          <w:left w:w="0" w:type="dxa"/>
          <w:bottom w:w="0" w:type="dxa"/>
          <w:right w:w="0" w:type="dxa"/>
        </w:tblCellMar>
      </w:tblPr>
      <w:tblGrid>
        <w:gridCol w:w="395"/>
        <w:gridCol w:w="6170"/>
        <w:gridCol w:w="845"/>
      </w:tblGrid>
      <w:tr>
        <w:trPr/>
        <w:tc>
          <w:tcPr>
            <w:tcW w:w="395" w:type="dxa"/>
            <w:tcBorders/>
            <w:vAlign w:val="center"/>
          </w:tcPr>
          <w:p>
            <w:pPr>
              <w:pStyle w:val="TableContents"/>
              <w:bidi w:val="0"/>
              <w:spacing w:before="0" w:after="283"/>
              <w:jc w:val="left"/>
              <w:rPr>
                <w:sz w:val="20"/>
              </w:rPr>
            </w:pPr>
            <w:r>
              <w:rPr>
                <w:sz w:val="20"/>
              </w:rPr>
              <w:t>8.02</w:t>
            </w:r>
          </w:p>
        </w:tc>
        <w:tc>
          <w:tcPr>
            <w:tcW w:w="6170" w:type="dxa"/>
            <w:tcBorders/>
            <w:vAlign w:val="center"/>
          </w:tcPr>
          <w:p>
            <w:pPr>
              <w:pStyle w:val="TableContents"/>
              <w:bidi w:val="0"/>
              <w:spacing w:before="0" w:after="283"/>
              <w:jc w:val="left"/>
              <w:rPr>
                <w:sz w:val="20"/>
              </w:rPr>
            </w:pPr>
            <w:r>
              <w:rPr>
                <w:sz w:val="20"/>
              </w:rPr>
              <w:t>Notices of Material Events</w:t>
            </w:r>
          </w:p>
        </w:tc>
        <w:tc>
          <w:tcPr>
            <w:tcW w:w="845" w:type="dxa"/>
            <w:tcBorders/>
            <w:vAlign w:val="center"/>
          </w:tcPr>
          <w:p>
            <w:pPr>
              <w:pStyle w:val="TableContents"/>
              <w:bidi w:val="0"/>
              <w:spacing w:before="0" w:after="283"/>
              <w:jc w:val="right"/>
              <w:rPr/>
            </w:pPr>
            <w:r>
              <w:rPr>
                <w:strike/>
                <w:color w:val="FF0000"/>
                <w:sz w:val="20"/>
              </w:rPr>
              <w:t>71</w:t>
            </w:r>
            <w:r>
              <w:rPr>
                <w:color w:val="0000FF"/>
                <w:u w:val="single"/>
              </w:rPr>
              <w:t>74</w:t>
            </w:r>
          </w:p>
        </w:tc>
      </w:tr>
      <w:tr>
        <w:trPr/>
        <w:tc>
          <w:tcPr>
            <w:tcW w:w="395" w:type="dxa"/>
            <w:tcBorders/>
            <w:vAlign w:val="center"/>
          </w:tcPr>
          <w:p>
            <w:pPr>
              <w:pStyle w:val="TableContents"/>
              <w:bidi w:val="0"/>
              <w:spacing w:before="0" w:after="283"/>
              <w:jc w:val="left"/>
              <w:rPr>
                <w:sz w:val="20"/>
              </w:rPr>
            </w:pPr>
            <w:r>
              <w:rPr>
                <w:sz w:val="20"/>
              </w:rPr>
              <w:t>8.03</w:t>
            </w:r>
          </w:p>
        </w:tc>
        <w:tc>
          <w:tcPr>
            <w:tcW w:w="6170" w:type="dxa"/>
            <w:tcBorders/>
            <w:vAlign w:val="center"/>
          </w:tcPr>
          <w:p>
            <w:pPr>
              <w:pStyle w:val="TableContents"/>
              <w:bidi w:val="0"/>
              <w:spacing w:before="0" w:after="283"/>
              <w:jc w:val="left"/>
              <w:rPr>
                <w:sz w:val="20"/>
              </w:rPr>
            </w:pPr>
            <w:r>
              <w:rPr>
                <w:sz w:val="20"/>
              </w:rPr>
              <w:t>Existence</w:t>
            </w:r>
          </w:p>
        </w:tc>
        <w:tc>
          <w:tcPr>
            <w:tcW w:w="845" w:type="dxa"/>
            <w:tcBorders/>
            <w:vAlign w:val="center"/>
          </w:tcPr>
          <w:p>
            <w:pPr>
              <w:pStyle w:val="TableContents"/>
              <w:bidi w:val="0"/>
              <w:spacing w:before="0" w:after="283"/>
              <w:jc w:val="right"/>
              <w:rPr/>
            </w:pPr>
            <w:r>
              <w:rPr>
                <w:strike/>
                <w:color w:val="FF0000"/>
                <w:sz w:val="20"/>
              </w:rPr>
              <w:t>73</w:t>
            </w:r>
            <w:r>
              <w:rPr>
                <w:color w:val="0000FF"/>
                <w:u w:val="single"/>
              </w:rPr>
              <w:t>76</w:t>
            </w:r>
          </w:p>
        </w:tc>
      </w:tr>
      <w:tr>
        <w:trPr/>
        <w:tc>
          <w:tcPr>
            <w:tcW w:w="395" w:type="dxa"/>
            <w:tcBorders/>
            <w:vAlign w:val="center"/>
          </w:tcPr>
          <w:p>
            <w:pPr>
              <w:pStyle w:val="TableContents"/>
              <w:bidi w:val="0"/>
              <w:spacing w:before="0" w:after="283"/>
              <w:jc w:val="left"/>
              <w:rPr>
                <w:sz w:val="20"/>
              </w:rPr>
            </w:pPr>
            <w:r>
              <w:rPr>
                <w:sz w:val="20"/>
              </w:rPr>
              <w:t>8.04</w:t>
            </w:r>
          </w:p>
        </w:tc>
        <w:tc>
          <w:tcPr>
            <w:tcW w:w="6170" w:type="dxa"/>
            <w:tcBorders/>
            <w:vAlign w:val="center"/>
          </w:tcPr>
          <w:p>
            <w:pPr>
              <w:pStyle w:val="TableContents"/>
              <w:bidi w:val="0"/>
              <w:spacing w:before="0" w:after="283"/>
              <w:jc w:val="left"/>
              <w:rPr>
                <w:sz w:val="20"/>
              </w:rPr>
            </w:pPr>
            <w:r>
              <w:rPr>
                <w:sz w:val="20"/>
              </w:rPr>
              <w:t>Payment of Obligations</w:t>
            </w:r>
          </w:p>
        </w:tc>
        <w:tc>
          <w:tcPr>
            <w:tcW w:w="845" w:type="dxa"/>
            <w:tcBorders/>
            <w:vAlign w:val="center"/>
          </w:tcPr>
          <w:p>
            <w:pPr>
              <w:pStyle w:val="TableContents"/>
              <w:bidi w:val="0"/>
              <w:spacing w:before="0" w:after="283"/>
              <w:jc w:val="right"/>
              <w:rPr/>
            </w:pPr>
            <w:r>
              <w:rPr>
                <w:strike/>
                <w:color w:val="FF0000"/>
                <w:sz w:val="20"/>
              </w:rPr>
              <w:t>73</w:t>
            </w:r>
            <w:r>
              <w:rPr>
                <w:color w:val="0000FF"/>
                <w:u w:val="single"/>
              </w:rPr>
              <w:t>76</w:t>
            </w:r>
          </w:p>
        </w:tc>
      </w:tr>
      <w:tr>
        <w:trPr/>
        <w:tc>
          <w:tcPr>
            <w:tcW w:w="395" w:type="dxa"/>
            <w:tcBorders/>
            <w:vAlign w:val="center"/>
          </w:tcPr>
          <w:p>
            <w:pPr>
              <w:pStyle w:val="TableContents"/>
              <w:bidi w:val="0"/>
              <w:spacing w:before="0" w:after="283"/>
              <w:jc w:val="left"/>
              <w:rPr>
                <w:sz w:val="20"/>
              </w:rPr>
            </w:pPr>
            <w:r>
              <w:rPr>
                <w:sz w:val="20"/>
              </w:rPr>
              <w:t>8.05</w:t>
            </w:r>
          </w:p>
        </w:tc>
        <w:tc>
          <w:tcPr>
            <w:tcW w:w="6170" w:type="dxa"/>
            <w:tcBorders/>
            <w:vAlign w:val="center"/>
          </w:tcPr>
          <w:p>
            <w:pPr>
              <w:pStyle w:val="TableContents"/>
              <w:bidi w:val="0"/>
              <w:spacing w:before="0" w:after="283"/>
              <w:jc w:val="left"/>
              <w:rPr>
                <w:sz w:val="20"/>
              </w:rPr>
            </w:pPr>
            <w:r>
              <w:rPr>
                <w:sz w:val="20"/>
              </w:rPr>
              <w:t>Insurance</w:t>
            </w:r>
          </w:p>
        </w:tc>
        <w:tc>
          <w:tcPr>
            <w:tcW w:w="845" w:type="dxa"/>
            <w:tcBorders/>
            <w:vAlign w:val="center"/>
          </w:tcPr>
          <w:p>
            <w:pPr>
              <w:pStyle w:val="TableContents"/>
              <w:bidi w:val="0"/>
              <w:spacing w:before="0" w:after="283"/>
              <w:jc w:val="right"/>
              <w:rPr/>
            </w:pPr>
            <w:r>
              <w:rPr>
                <w:strike/>
                <w:color w:val="FF0000"/>
                <w:sz w:val="20"/>
              </w:rPr>
              <w:t>73</w:t>
            </w:r>
            <w:r>
              <w:rPr>
                <w:color w:val="0000FF"/>
                <w:u w:val="single"/>
              </w:rPr>
              <w:t>76</w:t>
            </w:r>
          </w:p>
        </w:tc>
      </w:tr>
      <w:tr>
        <w:trPr/>
        <w:tc>
          <w:tcPr>
            <w:tcW w:w="395" w:type="dxa"/>
            <w:tcBorders/>
            <w:vAlign w:val="center"/>
          </w:tcPr>
          <w:p>
            <w:pPr>
              <w:pStyle w:val="TableContents"/>
              <w:bidi w:val="0"/>
              <w:spacing w:before="0" w:after="283"/>
              <w:jc w:val="left"/>
              <w:rPr>
                <w:sz w:val="20"/>
              </w:rPr>
            </w:pPr>
            <w:r>
              <w:rPr>
                <w:sz w:val="20"/>
              </w:rPr>
              <w:t>8.06</w:t>
            </w:r>
          </w:p>
        </w:tc>
        <w:tc>
          <w:tcPr>
            <w:tcW w:w="6170" w:type="dxa"/>
            <w:tcBorders/>
            <w:vAlign w:val="center"/>
          </w:tcPr>
          <w:p>
            <w:pPr>
              <w:pStyle w:val="TableContents"/>
              <w:bidi w:val="0"/>
              <w:spacing w:before="0" w:after="283"/>
              <w:jc w:val="left"/>
              <w:rPr>
                <w:sz w:val="20"/>
              </w:rPr>
            </w:pPr>
            <w:r>
              <w:rPr>
                <w:sz w:val="20"/>
              </w:rPr>
              <w:t>Books and Records; Inspection Rights</w:t>
            </w:r>
          </w:p>
        </w:tc>
        <w:tc>
          <w:tcPr>
            <w:tcW w:w="845" w:type="dxa"/>
            <w:tcBorders/>
            <w:vAlign w:val="center"/>
          </w:tcPr>
          <w:p>
            <w:pPr>
              <w:pStyle w:val="TableContents"/>
              <w:bidi w:val="0"/>
              <w:spacing w:before="0" w:after="283"/>
              <w:jc w:val="right"/>
              <w:rPr/>
            </w:pPr>
            <w:r>
              <w:rPr>
                <w:strike/>
                <w:color w:val="FF0000"/>
                <w:sz w:val="20"/>
              </w:rPr>
              <w:t>74</w:t>
            </w:r>
            <w:r>
              <w:rPr>
                <w:color w:val="0000FF"/>
                <w:u w:val="single"/>
              </w:rPr>
              <w:t>77</w:t>
            </w:r>
          </w:p>
        </w:tc>
      </w:tr>
      <w:tr>
        <w:trPr/>
        <w:tc>
          <w:tcPr>
            <w:tcW w:w="395" w:type="dxa"/>
            <w:tcBorders/>
            <w:vAlign w:val="center"/>
          </w:tcPr>
          <w:p>
            <w:pPr>
              <w:pStyle w:val="TableContents"/>
              <w:bidi w:val="0"/>
              <w:spacing w:before="0" w:after="283"/>
              <w:jc w:val="left"/>
              <w:rPr>
                <w:sz w:val="20"/>
              </w:rPr>
            </w:pPr>
            <w:r>
              <w:rPr>
                <w:sz w:val="20"/>
              </w:rPr>
              <w:t>8.07</w:t>
            </w:r>
          </w:p>
        </w:tc>
        <w:tc>
          <w:tcPr>
            <w:tcW w:w="6170" w:type="dxa"/>
            <w:tcBorders/>
            <w:vAlign w:val="center"/>
          </w:tcPr>
          <w:p>
            <w:pPr>
              <w:pStyle w:val="TableContents"/>
              <w:bidi w:val="0"/>
              <w:spacing w:before="0" w:after="283"/>
              <w:jc w:val="left"/>
              <w:rPr>
                <w:sz w:val="20"/>
              </w:rPr>
            </w:pPr>
            <w:r>
              <w:rPr>
                <w:sz w:val="20"/>
              </w:rPr>
              <w:t>Compliance with Laws and Other Obligations</w:t>
            </w:r>
          </w:p>
        </w:tc>
        <w:tc>
          <w:tcPr>
            <w:tcW w:w="845" w:type="dxa"/>
            <w:tcBorders/>
            <w:vAlign w:val="center"/>
          </w:tcPr>
          <w:p>
            <w:pPr>
              <w:pStyle w:val="TableContents"/>
              <w:bidi w:val="0"/>
              <w:spacing w:before="0" w:after="283"/>
              <w:jc w:val="right"/>
              <w:rPr/>
            </w:pPr>
            <w:r>
              <w:rPr>
                <w:strike/>
                <w:color w:val="FF0000"/>
                <w:sz w:val="20"/>
              </w:rPr>
              <w:t>74</w:t>
            </w:r>
            <w:r>
              <w:rPr>
                <w:color w:val="0000FF"/>
                <w:u w:val="single"/>
              </w:rPr>
              <w:t>77</w:t>
            </w:r>
          </w:p>
        </w:tc>
      </w:tr>
      <w:tr>
        <w:trPr/>
        <w:tc>
          <w:tcPr>
            <w:tcW w:w="395" w:type="dxa"/>
            <w:tcBorders/>
            <w:vAlign w:val="center"/>
          </w:tcPr>
          <w:p>
            <w:pPr>
              <w:pStyle w:val="TableContents"/>
              <w:bidi w:val="0"/>
              <w:spacing w:before="0" w:after="283"/>
              <w:jc w:val="left"/>
              <w:rPr>
                <w:sz w:val="20"/>
              </w:rPr>
            </w:pPr>
            <w:r>
              <w:rPr>
                <w:sz w:val="20"/>
              </w:rPr>
              <w:t>8.08</w:t>
            </w:r>
          </w:p>
        </w:tc>
        <w:tc>
          <w:tcPr>
            <w:tcW w:w="6170" w:type="dxa"/>
            <w:tcBorders/>
            <w:vAlign w:val="center"/>
          </w:tcPr>
          <w:p>
            <w:pPr>
              <w:pStyle w:val="TableContents"/>
              <w:bidi w:val="0"/>
              <w:spacing w:before="0" w:after="283"/>
              <w:jc w:val="left"/>
              <w:rPr>
                <w:sz w:val="20"/>
              </w:rPr>
            </w:pPr>
            <w:r>
              <w:rPr>
                <w:sz w:val="20"/>
              </w:rPr>
              <w:t>Maintenance of Properties, Etc.</w:t>
            </w:r>
          </w:p>
        </w:tc>
        <w:tc>
          <w:tcPr>
            <w:tcW w:w="845" w:type="dxa"/>
            <w:tcBorders/>
            <w:vAlign w:val="center"/>
          </w:tcPr>
          <w:p>
            <w:pPr>
              <w:pStyle w:val="TableContents"/>
              <w:bidi w:val="0"/>
              <w:spacing w:before="0" w:after="283"/>
              <w:jc w:val="right"/>
              <w:rPr/>
            </w:pPr>
            <w:r>
              <w:rPr>
                <w:strike/>
                <w:color w:val="FF0000"/>
                <w:sz w:val="20"/>
              </w:rPr>
              <w:t>74</w:t>
            </w:r>
            <w:r>
              <w:rPr>
                <w:color w:val="0000FF"/>
                <w:u w:val="single"/>
              </w:rPr>
              <w:t>78</w:t>
            </w:r>
          </w:p>
        </w:tc>
      </w:tr>
      <w:tr>
        <w:trPr/>
        <w:tc>
          <w:tcPr>
            <w:tcW w:w="395" w:type="dxa"/>
            <w:tcBorders/>
            <w:vAlign w:val="center"/>
          </w:tcPr>
          <w:p>
            <w:pPr>
              <w:pStyle w:val="TableContents"/>
              <w:bidi w:val="0"/>
              <w:spacing w:before="0" w:after="283"/>
              <w:jc w:val="left"/>
              <w:rPr>
                <w:sz w:val="20"/>
              </w:rPr>
            </w:pPr>
            <w:r>
              <w:rPr>
                <w:sz w:val="20"/>
              </w:rPr>
              <w:t>8.09</w:t>
            </w:r>
          </w:p>
        </w:tc>
        <w:tc>
          <w:tcPr>
            <w:tcW w:w="6170" w:type="dxa"/>
            <w:tcBorders/>
            <w:vAlign w:val="center"/>
          </w:tcPr>
          <w:p>
            <w:pPr>
              <w:pStyle w:val="TableContents"/>
              <w:bidi w:val="0"/>
              <w:spacing w:before="0" w:after="283"/>
              <w:jc w:val="left"/>
              <w:rPr>
                <w:sz w:val="20"/>
              </w:rPr>
            </w:pPr>
            <w:r>
              <w:rPr>
                <w:sz w:val="20"/>
              </w:rPr>
              <w:t>Licenses</w:t>
            </w:r>
          </w:p>
        </w:tc>
        <w:tc>
          <w:tcPr>
            <w:tcW w:w="845" w:type="dxa"/>
            <w:tcBorders/>
            <w:vAlign w:val="center"/>
          </w:tcPr>
          <w:p>
            <w:pPr>
              <w:pStyle w:val="TableContents"/>
              <w:bidi w:val="0"/>
              <w:spacing w:before="0" w:after="283"/>
              <w:jc w:val="right"/>
              <w:rPr/>
            </w:pPr>
            <w:r>
              <w:rPr>
                <w:strike/>
                <w:color w:val="FF0000"/>
                <w:sz w:val="20"/>
              </w:rPr>
              <w:t>74</w:t>
            </w:r>
            <w:r>
              <w:rPr>
                <w:color w:val="0000FF"/>
                <w:u w:val="single"/>
              </w:rPr>
              <w:t>78</w:t>
            </w:r>
          </w:p>
        </w:tc>
      </w:tr>
      <w:tr>
        <w:trPr/>
        <w:tc>
          <w:tcPr>
            <w:tcW w:w="395" w:type="dxa"/>
            <w:tcBorders/>
            <w:vAlign w:val="center"/>
          </w:tcPr>
          <w:p>
            <w:pPr>
              <w:pStyle w:val="TableContents"/>
              <w:bidi w:val="0"/>
              <w:spacing w:before="0" w:after="283"/>
              <w:jc w:val="left"/>
              <w:rPr>
                <w:sz w:val="20"/>
              </w:rPr>
            </w:pPr>
            <w:r>
              <w:rPr>
                <w:sz w:val="20"/>
              </w:rPr>
              <w:t>8.10</w:t>
            </w:r>
          </w:p>
        </w:tc>
        <w:tc>
          <w:tcPr>
            <w:tcW w:w="6170" w:type="dxa"/>
            <w:tcBorders/>
            <w:vAlign w:val="center"/>
          </w:tcPr>
          <w:p>
            <w:pPr>
              <w:pStyle w:val="TableContents"/>
              <w:bidi w:val="0"/>
              <w:spacing w:before="0" w:after="283"/>
              <w:jc w:val="left"/>
              <w:rPr>
                <w:sz w:val="20"/>
              </w:rPr>
            </w:pPr>
            <w:r>
              <w:rPr>
                <w:sz w:val="20"/>
              </w:rPr>
              <w:t>Use of Proceeds</w:t>
            </w:r>
          </w:p>
        </w:tc>
        <w:tc>
          <w:tcPr>
            <w:tcW w:w="845" w:type="dxa"/>
            <w:tcBorders/>
            <w:vAlign w:val="center"/>
          </w:tcPr>
          <w:p>
            <w:pPr>
              <w:pStyle w:val="TableContents"/>
              <w:bidi w:val="0"/>
              <w:spacing w:before="0" w:after="283"/>
              <w:jc w:val="right"/>
              <w:rPr/>
            </w:pPr>
            <w:r>
              <w:rPr>
                <w:strike/>
                <w:color w:val="FF0000"/>
                <w:sz w:val="20"/>
              </w:rPr>
              <w:t>75</w:t>
            </w:r>
            <w:r>
              <w:rPr>
                <w:color w:val="0000FF"/>
                <w:u w:val="single"/>
              </w:rPr>
              <w:t>78</w:t>
            </w:r>
          </w:p>
        </w:tc>
      </w:tr>
      <w:tr>
        <w:trPr/>
        <w:tc>
          <w:tcPr>
            <w:tcW w:w="395" w:type="dxa"/>
            <w:tcBorders/>
            <w:vAlign w:val="center"/>
          </w:tcPr>
          <w:p>
            <w:pPr>
              <w:pStyle w:val="TableContents"/>
              <w:bidi w:val="0"/>
              <w:spacing w:before="0" w:after="283"/>
              <w:jc w:val="left"/>
              <w:rPr>
                <w:sz w:val="20"/>
              </w:rPr>
            </w:pPr>
            <w:r>
              <w:rPr>
                <w:sz w:val="20"/>
              </w:rPr>
              <w:t>8.11</w:t>
            </w:r>
          </w:p>
        </w:tc>
        <w:tc>
          <w:tcPr>
            <w:tcW w:w="6170" w:type="dxa"/>
            <w:tcBorders/>
            <w:vAlign w:val="center"/>
          </w:tcPr>
          <w:p>
            <w:pPr>
              <w:pStyle w:val="TableContents"/>
              <w:bidi w:val="0"/>
              <w:spacing w:before="0" w:after="283"/>
              <w:jc w:val="left"/>
              <w:rPr>
                <w:sz w:val="20"/>
              </w:rPr>
            </w:pPr>
            <w:r>
              <w:rPr>
                <w:sz w:val="20"/>
              </w:rPr>
              <w:t>Certain Obligations Respecting Subsidiaries; Further Assurances</w:t>
            </w:r>
          </w:p>
        </w:tc>
        <w:tc>
          <w:tcPr>
            <w:tcW w:w="845" w:type="dxa"/>
            <w:tcBorders/>
            <w:vAlign w:val="center"/>
          </w:tcPr>
          <w:p>
            <w:pPr>
              <w:pStyle w:val="TableContents"/>
              <w:bidi w:val="0"/>
              <w:spacing w:before="0" w:after="283"/>
              <w:jc w:val="right"/>
              <w:rPr/>
            </w:pPr>
            <w:r>
              <w:rPr>
                <w:strike/>
                <w:color w:val="FF0000"/>
                <w:sz w:val="20"/>
              </w:rPr>
              <w:t>75</w:t>
            </w:r>
            <w:r>
              <w:rPr>
                <w:color w:val="0000FF"/>
                <w:u w:val="single"/>
              </w:rPr>
              <w:t>78</w:t>
            </w:r>
          </w:p>
        </w:tc>
      </w:tr>
      <w:tr>
        <w:trPr/>
        <w:tc>
          <w:tcPr>
            <w:tcW w:w="395" w:type="dxa"/>
            <w:tcBorders/>
            <w:vAlign w:val="center"/>
          </w:tcPr>
          <w:p>
            <w:pPr>
              <w:pStyle w:val="TableContents"/>
              <w:bidi w:val="0"/>
              <w:spacing w:before="0" w:after="283"/>
              <w:jc w:val="left"/>
              <w:rPr>
                <w:sz w:val="20"/>
              </w:rPr>
            </w:pPr>
            <w:r>
              <w:rPr>
                <w:sz w:val="20"/>
              </w:rPr>
              <w:t>8.12</w:t>
            </w:r>
          </w:p>
        </w:tc>
        <w:tc>
          <w:tcPr>
            <w:tcW w:w="6170" w:type="dxa"/>
            <w:tcBorders/>
            <w:vAlign w:val="center"/>
          </w:tcPr>
          <w:p>
            <w:pPr>
              <w:pStyle w:val="TableContents"/>
              <w:bidi w:val="0"/>
              <w:spacing w:before="0" w:after="283"/>
              <w:jc w:val="left"/>
              <w:rPr>
                <w:sz w:val="20"/>
              </w:rPr>
            </w:pPr>
            <w:r>
              <w:rPr>
                <w:sz w:val="20"/>
              </w:rPr>
              <w:t>Termination of Non-Permitted Liens</w:t>
            </w:r>
          </w:p>
        </w:tc>
        <w:tc>
          <w:tcPr>
            <w:tcW w:w="845" w:type="dxa"/>
            <w:tcBorders/>
            <w:vAlign w:val="center"/>
          </w:tcPr>
          <w:p>
            <w:pPr>
              <w:pStyle w:val="TableContents"/>
              <w:bidi w:val="0"/>
              <w:spacing w:before="0" w:after="283"/>
              <w:jc w:val="right"/>
              <w:rPr/>
            </w:pPr>
            <w:r>
              <w:rPr>
                <w:strike/>
                <w:color w:val="FF0000"/>
                <w:sz w:val="20"/>
              </w:rPr>
              <w:t>77</w:t>
            </w:r>
            <w:r>
              <w:rPr>
                <w:color w:val="0000FF"/>
                <w:u w:val="single"/>
              </w:rPr>
              <w:t>80</w:t>
            </w:r>
          </w:p>
        </w:tc>
      </w:tr>
      <w:tr>
        <w:trPr/>
        <w:tc>
          <w:tcPr>
            <w:tcW w:w="395" w:type="dxa"/>
            <w:tcBorders/>
            <w:vAlign w:val="center"/>
          </w:tcPr>
          <w:p>
            <w:pPr>
              <w:pStyle w:val="TableContents"/>
              <w:bidi w:val="0"/>
              <w:spacing w:before="0" w:after="283"/>
              <w:jc w:val="left"/>
              <w:rPr>
                <w:sz w:val="20"/>
              </w:rPr>
            </w:pPr>
            <w:r>
              <w:rPr>
                <w:sz w:val="20"/>
              </w:rPr>
              <w:t>8.13</w:t>
            </w:r>
          </w:p>
        </w:tc>
        <w:tc>
          <w:tcPr>
            <w:tcW w:w="6170" w:type="dxa"/>
            <w:tcBorders/>
            <w:vAlign w:val="center"/>
          </w:tcPr>
          <w:p>
            <w:pPr>
              <w:pStyle w:val="TableContents"/>
              <w:bidi w:val="0"/>
              <w:spacing w:before="0" w:after="283"/>
              <w:jc w:val="left"/>
              <w:rPr>
                <w:sz w:val="20"/>
              </w:rPr>
            </w:pPr>
            <w:r>
              <w:rPr>
                <w:sz w:val="20"/>
              </w:rPr>
              <w:t>Board Materials; Oaktree Lender Board Observer</w:t>
            </w:r>
          </w:p>
        </w:tc>
        <w:tc>
          <w:tcPr>
            <w:tcW w:w="845" w:type="dxa"/>
            <w:tcBorders/>
            <w:vAlign w:val="center"/>
          </w:tcPr>
          <w:p>
            <w:pPr>
              <w:pStyle w:val="TableContents"/>
              <w:bidi w:val="0"/>
              <w:spacing w:before="0" w:after="283"/>
              <w:jc w:val="right"/>
              <w:rPr/>
            </w:pPr>
            <w:r>
              <w:rPr>
                <w:strike/>
                <w:color w:val="FF0000"/>
                <w:sz w:val="20"/>
              </w:rPr>
              <w:t>77</w:t>
            </w:r>
            <w:r>
              <w:rPr>
                <w:color w:val="0000FF"/>
                <w:u w:val="single"/>
              </w:rPr>
              <w:t>81</w:t>
            </w:r>
          </w:p>
        </w:tc>
      </w:tr>
      <w:tr>
        <w:trPr/>
        <w:tc>
          <w:tcPr>
            <w:tcW w:w="395" w:type="dxa"/>
            <w:tcBorders/>
            <w:vAlign w:val="center"/>
          </w:tcPr>
          <w:p>
            <w:pPr>
              <w:pStyle w:val="TableContents"/>
              <w:bidi w:val="0"/>
              <w:spacing w:before="0" w:after="283"/>
              <w:jc w:val="left"/>
              <w:rPr>
                <w:sz w:val="20"/>
              </w:rPr>
            </w:pPr>
            <w:r>
              <w:rPr>
                <w:sz w:val="20"/>
              </w:rPr>
              <w:t>8.14</w:t>
            </w:r>
          </w:p>
        </w:tc>
        <w:tc>
          <w:tcPr>
            <w:tcW w:w="6170" w:type="dxa"/>
            <w:tcBorders/>
            <w:vAlign w:val="center"/>
          </w:tcPr>
          <w:p>
            <w:pPr>
              <w:pStyle w:val="TableContents"/>
              <w:bidi w:val="0"/>
              <w:spacing w:before="0" w:after="283"/>
              <w:jc w:val="left"/>
              <w:rPr>
                <w:sz w:val="20"/>
              </w:rPr>
            </w:pPr>
            <w:r>
              <w:rPr>
                <w:sz w:val="20"/>
              </w:rPr>
              <w:t>[Reserved]</w:t>
            </w:r>
          </w:p>
        </w:tc>
        <w:tc>
          <w:tcPr>
            <w:tcW w:w="845" w:type="dxa"/>
            <w:tcBorders/>
            <w:vAlign w:val="center"/>
          </w:tcPr>
          <w:p>
            <w:pPr>
              <w:pStyle w:val="TableContents"/>
              <w:bidi w:val="0"/>
              <w:spacing w:before="0" w:after="283"/>
              <w:jc w:val="right"/>
              <w:rPr/>
            </w:pPr>
            <w:r>
              <w:rPr>
                <w:strike/>
                <w:color w:val="FF0000"/>
                <w:sz w:val="20"/>
              </w:rPr>
              <w:t>78</w:t>
            </w:r>
            <w:r>
              <w:rPr>
                <w:color w:val="0000FF"/>
                <w:u w:val="single"/>
              </w:rPr>
              <w:t>82</w:t>
            </w:r>
          </w:p>
        </w:tc>
      </w:tr>
      <w:tr>
        <w:trPr/>
        <w:tc>
          <w:tcPr>
            <w:tcW w:w="395" w:type="dxa"/>
            <w:tcBorders/>
            <w:vAlign w:val="center"/>
          </w:tcPr>
          <w:p>
            <w:pPr>
              <w:pStyle w:val="TableContents"/>
              <w:bidi w:val="0"/>
              <w:spacing w:before="0" w:after="283"/>
              <w:jc w:val="left"/>
              <w:rPr>
                <w:sz w:val="20"/>
              </w:rPr>
            </w:pPr>
            <w:r>
              <w:rPr>
                <w:sz w:val="20"/>
              </w:rPr>
              <w:t>8.15</w:t>
            </w:r>
          </w:p>
        </w:tc>
        <w:tc>
          <w:tcPr>
            <w:tcW w:w="6170" w:type="dxa"/>
            <w:tcBorders/>
            <w:vAlign w:val="center"/>
          </w:tcPr>
          <w:p>
            <w:pPr>
              <w:pStyle w:val="TableContents"/>
              <w:bidi w:val="0"/>
              <w:spacing w:before="0" w:after="283"/>
              <w:jc w:val="left"/>
              <w:rPr>
                <w:sz w:val="20"/>
              </w:rPr>
            </w:pPr>
            <w:r>
              <w:rPr>
                <w:sz w:val="20"/>
              </w:rPr>
              <w:t>Maintenance of Regulatory Approvals, Contracts, Intellectual Property, Etc.</w:t>
            </w:r>
          </w:p>
        </w:tc>
        <w:tc>
          <w:tcPr>
            <w:tcW w:w="845" w:type="dxa"/>
            <w:tcBorders/>
            <w:vAlign w:val="center"/>
          </w:tcPr>
          <w:p>
            <w:pPr>
              <w:pStyle w:val="TableContents"/>
              <w:bidi w:val="0"/>
              <w:spacing w:before="0" w:after="283"/>
              <w:jc w:val="right"/>
              <w:rPr/>
            </w:pPr>
            <w:r>
              <w:rPr>
                <w:strike/>
                <w:color w:val="FF0000"/>
                <w:sz w:val="20"/>
              </w:rPr>
              <w:t>78</w:t>
            </w:r>
            <w:r>
              <w:rPr>
                <w:color w:val="0000FF"/>
                <w:u w:val="single"/>
              </w:rPr>
              <w:t>82</w:t>
            </w:r>
          </w:p>
        </w:tc>
      </w:tr>
      <w:tr>
        <w:trPr/>
        <w:tc>
          <w:tcPr>
            <w:tcW w:w="395" w:type="dxa"/>
            <w:tcBorders/>
            <w:vAlign w:val="center"/>
          </w:tcPr>
          <w:p>
            <w:pPr>
              <w:pStyle w:val="TableContents"/>
              <w:bidi w:val="0"/>
              <w:spacing w:before="0" w:after="283"/>
              <w:jc w:val="left"/>
              <w:rPr>
                <w:sz w:val="20"/>
              </w:rPr>
            </w:pPr>
            <w:r>
              <w:rPr>
                <w:sz w:val="20"/>
              </w:rPr>
              <w:t>8.16</w:t>
            </w:r>
          </w:p>
        </w:tc>
        <w:tc>
          <w:tcPr>
            <w:tcW w:w="6170" w:type="dxa"/>
            <w:tcBorders/>
            <w:vAlign w:val="center"/>
          </w:tcPr>
          <w:p>
            <w:pPr>
              <w:pStyle w:val="TableContents"/>
              <w:bidi w:val="0"/>
              <w:spacing w:before="0" w:after="283"/>
              <w:jc w:val="left"/>
              <w:rPr>
                <w:sz w:val="20"/>
              </w:rPr>
            </w:pPr>
            <w:r>
              <w:rPr>
                <w:sz w:val="20"/>
              </w:rPr>
              <w:t>ERISA Compliance</w:t>
            </w:r>
          </w:p>
        </w:tc>
        <w:tc>
          <w:tcPr>
            <w:tcW w:w="845" w:type="dxa"/>
            <w:tcBorders/>
            <w:vAlign w:val="center"/>
          </w:tcPr>
          <w:p>
            <w:pPr>
              <w:pStyle w:val="TableContents"/>
              <w:bidi w:val="0"/>
              <w:spacing w:before="0" w:after="283"/>
              <w:jc w:val="right"/>
              <w:rPr/>
            </w:pPr>
            <w:r>
              <w:rPr>
                <w:strike/>
                <w:color w:val="FF0000"/>
                <w:sz w:val="20"/>
              </w:rPr>
              <w:t>79</w:t>
            </w:r>
            <w:r>
              <w:rPr>
                <w:color w:val="0000FF"/>
                <w:u w:val="single"/>
              </w:rPr>
              <w:t>82</w:t>
            </w:r>
          </w:p>
        </w:tc>
      </w:tr>
      <w:tr>
        <w:trPr/>
        <w:tc>
          <w:tcPr>
            <w:tcW w:w="395" w:type="dxa"/>
            <w:tcBorders/>
            <w:vAlign w:val="center"/>
          </w:tcPr>
          <w:p>
            <w:pPr>
              <w:pStyle w:val="TableContents"/>
              <w:bidi w:val="0"/>
              <w:spacing w:before="0" w:after="283"/>
              <w:jc w:val="left"/>
              <w:rPr>
                <w:sz w:val="20"/>
              </w:rPr>
            </w:pPr>
            <w:r>
              <w:rPr>
                <w:sz w:val="20"/>
              </w:rPr>
              <w:t>8.17</w:t>
            </w:r>
          </w:p>
        </w:tc>
        <w:tc>
          <w:tcPr>
            <w:tcW w:w="6170" w:type="dxa"/>
            <w:tcBorders/>
            <w:vAlign w:val="center"/>
          </w:tcPr>
          <w:p>
            <w:pPr>
              <w:pStyle w:val="TableContents"/>
              <w:bidi w:val="0"/>
              <w:spacing w:before="0" w:after="283"/>
              <w:jc w:val="left"/>
              <w:rPr>
                <w:sz w:val="20"/>
              </w:rPr>
            </w:pPr>
            <w:r>
              <w:rPr>
                <w:sz w:val="20"/>
              </w:rPr>
              <w:t>Cash Management</w:t>
            </w:r>
          </w:p>
        </w:tc>
        <w:tc>
          <w:tcPr>
            <w:tcW w:w="845" w:type="dxa"/>
            <w:tcBorders/>
            <w:vAlign w:val="center"/>
          </w:tcPr>
          <w:p>
            <w:pPr>
              <w:pStyle w:val="TableContents"/>
              <w:bidi w:val="0"/>
              <w:spacing w:before="0" w:after="283"/>
              <w:jc w:val="right"/>
              <w:rPr/>
            </w:pPr>
            <w:r>
              <w:rPr>
                <w:strike/>
                <w:color w:val="FF0000"/>
                <w:sz w:val="20"/>
              </w:rPr>
              <w:t>79</w:t>
            </w:r>
            <w:r>
              <w:rPr>
                <w:color w:val="0000FF"/>
                <w:u w:val="single"/>
              </w:rPr>
              <w:t>82</w:t>
            </w:r>
          </w:p>
        </w:tc>
      </w:tr>
      <w:tr>
        <w:trPr/>
        <w:tc>
          <w:tcPr>
            <w:tcW w:w="395" w:type="dxa"/>
            <w:tcBorders/>
            <w:vAlign w:val="center"/>
          </w:tcPr>
          <w:p>
            <w:pPr>
              <w:pStyle w:val="TableContents"/>
              <w:bidi w:val="0"/>
              <w:spacing w:before="0" w:after="283"/>
              <w:jc w:val="left"/>
              <w:rPr>
                <w:sz w:val="20"/>
              </w:rPr>
            </w:pPr>
            <w:r>
              <w:rPr>
                <w:sz w:val="20"/>
              </w:rPr>
              <w:t>8.18</w:t>
            </w:r>
          </w:p>
        </w:tc>
        <w:tc>
          <w:tcPr>
            <w:tcW w:w="6170" w:type="dxa"/>
            <w:tcBorders/>
            <w:vAlign w:val="center"/>
          </w:tcPr>
          <w:p>
            <w:pPr>
              <w:pStyle w:val="TableContents"/>
              <w:bidi w:val="0"/>
              <w:spacing w:before="0" w:after="283"/>
              <w:jc w:val="left"/>
              <w:rPr>
                <w:sz w:val="20"/>
              </w:rPr>
            </w:pPr>
            <w:r>
              <w:rPr>
                <w:sz w:val="20"/>
              </w:rPr>
              <w:t>Amendments to Agreements</w:t>
            </w:r>
          </w:p>
        </w:tc>
        <w:tc>
          <w:tcPr>
            <w:tcW w:w="845" w:type="dxa"/>
            <w:tcBorders/>
            <w:vAlign w:val="center"/>
          </w:tcPr>
          <w:p>
            <w:pPr>
              <w:pStyle w:val="TableContents"/>
              <w:bidi w:val="0"/>
              <w:spacing w:before="0" w:after="283"/>
              <w:jc w:val="right"/>
              <w:rPr/>
            </w:pPr>
            <w:r>
              <w:rPr>
                <w:strike/>
                <w:color w:val="FF0000"/>
                <w:sz w:val="20"/>
              </w:rPr>
              <w:t>79</w:t>
            </w:r>
            <w:r>
              <w:rPr>
                <w:color w:val="0000FF"/>
                <w:u w:val="single"/>
              </w:rPr>
              <w:t>83</w:t>
            </w:r>
          </w:p>
        </w:tc>
      </w:tr>
      <w:tr>
        <w:trPr/>
        <w:tc>
          <w:tcPr>
            <w:tcW w:w="395" w:type="dxa"/>
            <w:tcBorders/>
            <w:vAlign w:val="center"/>
          </w:tcPr>
          <w:p>
            <w:pPr>
              <w:pStyle w:val="TableContents"/>
              <w:bidi w:val="0"/>
              <w:spacing w:before="0" w:after="283"/>
              <w:jc w:val="left"/>
              <w:rPr>
                <w:sz w:val="20"/>
              </w:rPr>
            </w:pPr>
            <w:r>
              <w:rPr>
                <w:sz w:val="20"/>
              </w:rPr>
              <w:t>8.19</w:t>
            </w:r>
          </w:p>
        </w:tc>
        <w:tc>
          <w:tcPr>
            <w:tcW w:w="6170" w:type="dxa"/>
            <w:tcBorders/>
            <w:vAlign w:val="center"/>
          </w:tcPr>
          <w:p>
            <w:pPr>
              <w:pStyle w:val="TableContents"/>
              <w:bidi w:val="0"/>
              <w:spacing w:before="0" w:after="283"/>
              <w:jc w:val="left"/>
              <w:rPr>
                <w:sz w:val="20"/>
              </w:rPr>
            </w:pPr>
            <w:r>
              <w:rPr>
                <w:sz w:val="20"/>
              </w:rPr>
              <w:t>Post-Closing Obligations</w:t>
            </w:r>
          </w:p>
        </w:tc>
        <w:tc>
          <w:tcPr>
            <w:tcW w:w="845" w:type="dxa"/>
            <w:tcBorders/>
            <w:vAlign w:val="center"/>
          </w:tcPr>
          <w:p>
            <w:pPr>
              <w:pStyle w:val="TableContents"/>
              <w:bidi w:val="0"/>
              <w:spacing w:before="0" w:after="283"/>
              <w:jc w:val="right"/>
              <w:rPr/>
            </w:pPr>
            <w:r>
              <w:rPr>
                <w:strike/>
                <w:color w:val="FF0000"/>
                <w:sz w:val="20"/>
              </w:rPr>
              <w:t>79</w:t>
            </w:r>
            <w:r>
              <w:rPr>
                <w:color w:val="0000FF"/>
                <w:u w:val="single"/>
              </w:rPr>
              <w:t>83</w:t>
            </w:r>
          </w:p>
        </w:tc>
      </w:tr>
      <w:tr>
        <w:trPr/>
        <w:tc>
          <w:tcPr>
            <w:tcW w:w="395" w:type="dxa"/>
            <w:tcBorders/>
            <w:vAlign w:val="center"/>
          </w:tcPr>
          <w:p>
            <w:pPr>
              <w:pStyle w:val="TableContents"/>
              <w:bidi w:val="0"/>
              <w:spacing w:before="0" w:after="283"/>
              <w:jc w:val="left"/>
              <w:rPr>
                <w:sz w:val="20"/>
              </w:rPr>
            </w:pPr>
            <w:r>
              <w:rPr>
                <w:sz w:val="20"/>
              </w:rPr>
              <w:t>8.20</w:t>
            </w:r>
          </w:p>
        </w:tc>
        <w:tc>
          <w:tcPr>
            <w:tcW w:w="6170" w:type="dxa"/>
            <w:tcBorders/>
            <w:vAlign w:val="center"/>
          </w:tcPr>
          <w:p>
            <w:pPr>
              <w:pStyle w:val="TableContents"/>
              <w:bidi w:val="0"/>
              <w:spacing w:before="0" w:after="283"/>
              <w:jc w:val="left"/>
              <w:rPr>
                <w:sz w:val="20"/>
              </w:rPr>
            </w:pPr>
            <w:r>
              <w:rPr>
                <w:sz w:val="20"/>
              </w:rPr>
              <w:t>Enforcement of Trademark Rights</w:t>
            </w:r>
          </w:p>
        </w:tc>
        <w:tc>
          <w:tcPr>
            <w:tcW w:w="845" w:type="dxa"/>
            <w:tcBorders/>
            <w:vAlign w:val="center"/>
          </w:tcPr>
          <w:p>
            <w:pPr>
              <w:pStyle w:val="TableContents"/>
              <w:bidi w:val="0"/>
              <w:spacing w:before="0" w:after="283"/>
              <w:jc w:val="right"/>
              <w:rPr/>
            </w:pPr>
            <w:r>
              <w:rPr>
                <w:strike/>
                <w:color w:val="FF0000"/>
                <w:sz w:val="20"/>
              </w:rPr>
              <w:t>80</w:t>
            </w:r>
            <w:r>
              <w:rPr>
                <w:color w:val="0000FF"/>
                <w:u w:val="single"/>
              </w:rPr>
              <w:t>84</w:t>
            </w:r>
          </w:p>
        </w:tc>
      </w:tr>
      <w:tr>
        <w:trPr/>
        <w:tc>
          <w:tcPr>
            <w:tcW w:w="395" w:type="dxa"/>
            <w:tcBorders/>
            <w:vAlign w:val="center"/>
          </w:tcPr>
          <w:p>
            <w:pPr>
              <w:pStyle w:val="TableContents"/>
              <w:bidi w:val="0"/>
              <w:spacing w:before="0" w:after="283"/>
              <w:jc w:val="left"/>
              <w:rPr>
                <w:sz w:val="20"/>
              </w:rPr>
            </w:pPr>
            <w:r>
              <w:rPr>
                <w:sz w:val="20"/>
              </w:rPr>
              <w:t>8.21</w:t>
            </w:r>
          </w:p>
        </w:tc>
        <w:tc>
          <w:tcPr>
            <w:tcW w:w="6170" w:type="dxa"/>
            <w:tcBorders/>
            <w:vAlign w:val="center"/>
          </w:tcPr>
          <w:p>
            <w:pPr>
              <w:pStyle w:val="TableContents"/>
              <w:bidi w:val="0"/>
              <w:spacing w:before="0" w:after="283"/>
              <w:jc w:val="left"/>
              <w:rPr>
                <w:sz w:val="20"/>
              </w:rPr>
            </w:pPr>
            <w:r>
              <w:rPr>
                <w:sz w:val="20"/>
              </w:rPr>
              <w:t>Budget Variance Covenant</w:t>
            </w:r>
          </w:p>
        </w:tc>
        <w:tc>
          <w:tcPr>
            <w:tcW w:w="845" w:type="dxa"/>
            <w:tcBorders/>
            <w:vAlign w:val="center"/>
          </w:tcPr>
          <w:p>
            <w:pPr>
              <w:pStyle w:val="TableContents"/>
              <w:bidi w:val="0"/>
              <w:spacing w:before="0" w:after="283"/>
              <w:jc w:val="right"/>
              <w:rPr/>
            </w:pPr>
            <w:r>
              <w:rPr>
                <w:strike/>
                <w:color w:val="FF0000"/>
                <w:sz w:val="20"/>
              </w:rPr>
              <w:t>81</w:t>
            </w:r>
            <w:r>
              <w:rPr>
                <w:color w:val="0000FF"/>
                <w:u w:val="single"/>
              </w:rPr>
              <w:t>84</w:t>
            </w:r>
          </w:p>
        </w:tc>
      </w:tr>
      <w:tr>
        <w:trPr/>
        <w:tc>
          <w:tcPr>
            <w:tcW w:w="395" w:type="dxa"/>
            <w:tcBorders/>
            <w:vAlign w:val="center"/>
          </w:tcPr>
          <w:p>
            <w:pPr>
              <w:pStyle w:val="TableContents"/>
              <w:bidi w:val="0"/>
              <w:spacing w:before="0" w:after="283"/>
              <w:jc w:val="left"/>
              <w:rPr>
                <w:sz w:val="20"/>
              </w:rPr>
            </w:pPr>
            <w:r>
              <w:rPr>
                <w:sz w:val="20"/>
              </w:rPr>
              <w:t>8.22</w:t>
            </w:r>
          </w:p>
        </w:tc>
        <w:tc>
          <w:tcPr>
            <w:tcW w:w="6170" w:type="dxa"/>
            <w:tcBorders/>
            <w:vAlign w:val="center"/>
          </w:tcPr>
          <w:p>
            <w:pPr>
              <w:pStyle w:val="TableContents"/>
              <w:bidi w:val="0"/>
              <w:spacing w:before="0" w:after="283"/>
              <w:jc w:val="left"/>
              <w:rPr>
                <w:sz w:val="20"/>
              </w:rPr>
            </w:pPr>
            <w:r>
              <w:rPr>
                <w:sz w:val="20"/>
              </w:rPr>
              <w:t>Investment Bank</w:t>
            </w:r>
          </w:p>
        </w:tc>
        <w:tc>
          <w:tcPr>
            <w:tcW w:w="845" w:type="dxa"/>
            <w:tcBorders/>
            <w:vAlign w:val="center"/>
          </w:tcPr>
          <w:p>
            <w:pPr>
              <w:pStyle w:val="TableContents"/>
              <w:bidi w:val="0"/>
              <w:spacing w:before="0" w:after="283"/>
              <w:jc w:val="right"/>
              <w:rPr/>
            </w:pPr>
            <w:r>
              <w:rPr>
                <w:strike/>
                <w:color w:val="FF0000"/>
                <w:sz w:val="20"/>
              </w:rPr>
              <w:t>81</w:t>
            </w:r>
            <w:r>
              <w:rPr>
                <w:color w:val="0000FF"/>
                <w:u w:val="single"/>
              </w:rPr>
              <w:t>84</w:t>
            </w:r>
          </w:p>
        </w:tc>
      </w:tr>
      <w:tr>
        <w:trPr/>
        <w:tc>
          <w:tcPr>
            <w:tcW w:w="395" w:type="dxa"/>
            <w:tcBorders/>
            <w:vAlign w:val="center"/>
          </w:tcPr>
          <w:p>
            <w:pPr>
              <w:pStyle w:val="TableContents"/>
              <w:bidi w:val="0"/>
              <w:spacing w:before="0" w:after="283"/>
              <w:jc w:val="left"/>
              <w:rPr>
                <w:sz w:val="20"/>
              </w:rPr>
            </w:pPr>
            <w:r>
              <w:rPr>
                <w:sz w:val="20"/>
              </w:rPr>
              <w:t>8.23</w:t>
            </w:r>
          </w:p>
        </w:tc>
        <w:tc>
          <w:tcPr>
            <w:tcW w:w="6170" w:type="dxa"/>
            <w:tcBorders/>
            <w:vAlign w:val="center"/>
          </w:tcPr>
          <w:p>
            <w:pPr>
              <w:pStyle w:val="TableContents"/>
              <w:bidi w:val="0"/>
              <w:spacing w:before="0" w:after="283"/>
              <w:jc w:val="left"/>
              <w:rPr>
                <w:sz w:val="20"/>
              </w:rPr>
            </w:pPr>
            <w:r>
              <w:rPr>
                <w:sz w:val="20"/>
              </w:rPr>
              <w:t>Payroll</w:t>
            </w:r>
          </w:p>
        </w:tc>
        <w:tc>
          <w:tcPr>
            <w:tcW w:w="845" w:type="dxa"/>
            <w:tcBorders/>
            <w:vAlign w:val="center"/>
          </w:tcPr>
          <w:p>
            <w:pPr>
              <w:pStyle w:val="TableContents"/>
              <w:bidi w:val="0"/>
              <w:spacing w:before="0" w:after="283"/>
              <w:jc w:val="right"/>
              <w:rPr/>
            </w:pPr>
            <w:r>
              <w:rPr>
                <w:strike/>
                <w:color w:val="FF0000"/>
                <w:sz w:val="20"/>
              </w:rPr>
              <w:t>81</w:t>
            </w:r>
            <w:r>
              <w:rPr>
                <w:color w:val="0000FF"/>
                <w:u w:val="single"/>
              </w:rPr>
              <w:t>84</w:t>
            </w:r>
          </w:p>
        </w:tc>
      </w:tr>
      <w:tr>
        <w:trPr/>
        <w:tc>
          <w:tcPr>
            <w:tcW w:w="395" w:type="dxa"/>
            <w:tcBorders/>
            <w:vAlign w:val="center"/>
          </w:tcPr>
          <w:p>
            <w:pPr>
              <w:pStyle w:val="TableContents"/>
              <w:bidi w:val="0"/>
              <w:spacing w:before="0" w:after="283"/>
              <w:jc w:val="left"/>
              <w:rPr>
                <w:sz w:val="20"/>
              </w:rPr>
            </w:pPr>
            <w:r>
              <w:rPr>
                <w:sz w:val="20"/>
              </w:rPr>
              <w:t>8.24</w:t>
            </w:r>
          </w:p>
        </w:tc>
        <w:tc>
          <w:tcPr>
            <w:tcW w:w="6170" w:type="dxa"/>
            <w:tcBorders/>
            <w:vAlign w:val="center"/>
          </w:tcPr>
          <w:p>
            <w:pPr>
              <w:pStyle w:val="TableContents"/>
              <w:bidi w:val="0"/>
              <w:spacing w:before="0" w:after="283"/>
              <w:jc w:val="left"/>
              <w:rPr>
                <w:sz w:val="20"/>
              </w:rPr>
            </w:pPr>
            <w:r>
              <w:rPr>
                <w:sz w:val="20"/>
              </w:rPr>
              <w:t>Fifth Amendment Capital Raise</w:t>
            </w:r>
          </w:p>
        </w:tc>
        <w:tc>
          <w:tcPr>
            <w:tcW w:w="845" w:type="dxa"/>
            <w:tcBorders/>
            <w:vAlign w:val="center"/>
          </w:tcPr>
          <w:p>
            <w:pPr>
              <w:pStyle w:val="TableContents"/>
              <w:bidi w:val="0"/>
              <w:spacing w:before="0" w:after="283"/>
              <w:jc w:val="right"/>
              <w:rPr/>
            </w:pPr>
            <w:r>
              <w:rPr>
                <w:strike/>
                <w:color w:val="FF0000"/>
                <w:sz w:val="20"/>
              </w:rPr>
              <w:t>81</w:t>
            </w:r>
            <w:r>
              <w:rPr>
                <w:color w:val="0000FF"/>
                <w:u w:val="single"/>
              </w:rPr>
              <w:t>85</w:t>
            </w:r>
          </w:p>
        </w:tc>
      </w:tr>
      <w:tr>
        <w:trPr/>
        <w:tc>
          <w:tcPr>
            <w:tcW w:w="395" w:type="dxa"/>
            <w:tcBorders/>
            <w:vAlign w:val="center"/>
          </w:tcPr>
          <w:p>
            <w:pPr>
              <w:pStyle w:val="TableContents"/>
              <w:bidi w:val="0"/>
              <w:spacing w:before="0" w:after="283"/>
              <w:jc w:val="left"/>
              <w:rPr>
                <w:sz w:val="20"/>
              </w:rPr>
            </w:pPr>
            <w:r>
              <w:rPr>
                <w:sz w:val="20"/>
              </w:rPr>
              <w:t>8.25</w:t>
            </w:r>
          </w:p>
        </w:tc>
        <w:tc>
          <w:tcPr>
            <w:tcW w:w="6170" w:type="dxa"/>
            <w:tcBorders/>
            <w:vAlign w:val="center"/>
          </w:tcPr>
          <w:p>
            <w:pPr>
              <w:pStyle w:val="TableContents"/>
              <w:bidi w:val="0"/>
              <w:spacing w:before="0" w:after="283"/>
              <w:jc w:val="left"/>
              <w:rPr>
                <w:sz w:val="20"/>
              </w:rPr>
            </w:pPr>
            <w:r>
              <w:rPr>
                <w:sz w:val="20"/>
              </w:rPr>
              <w:t>Fifth Amendment Warrant</w:t>
            </w:r>
          </w:p>
        </w:tc>
        <w:tc>
          <w:tcPr>
            <w:tcW w:w="845" w:type="dxa"/>
            <w:tcBorders/>
            <w:vAlign w:val="center"/>
          </w:tcPr>
          <w:p>
            <w:pPr>
              <w:pStyle w:val="TableContents"/>
              <w:bidi w:val="0"/>
              <w:spacing w:before="0" w:after="283"/>
              <w:jc w:val="right"/>
              <w:rPr/>
            </w:pPr>
            <w:r>
              <w:rPr>
                <w:strike/>
                <w:color w:val="FF0000"/>
                <w:sz w:val="20"/>
              </w:rPr>
              <w:t>82</w:t>
            </w:r>
            <w:r>
              <w:rPr>
                <w:color w:val="0000FF"/>
                <w:u w:val="single"/>
              </w:rPr>
              <w:t>85</w:t>
            </w:r>
          </w:p>
        </w:tc>
      </w:tr>
      <w:tr>
        <w:trPr/>
        <w:tc>
          <w:tcPr>
            <w:tcW w:w="39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r>
      <w:tr>
        <w:trPr/>
        <w:tc>
          <w:tcPr>
            <w:tcW w:w="6565" w:type="dxa"/>
            <w:gridSpan w:val="2"/>
            <w:tcBorders/>
            <w:vAlign w:val="center"/>
          </w:tcPr>
          <w:p>
            <w:pPr>
              <w:pStyle w:val="TableContents"/>
              <w:bidi w:val="0"/>
              <w:spacing w:before="0" w:after="283"/>
              <w:jc w:val="left"/>
              <w:rPr>
                <w:caps/>
                <w:sz w:val="20"/>
              </w:rPr>
            </w:pPr>
            <w:r>
              <w:rPr>
                <w:caps/>
                <w:sz w:val="20"/>
              </w:rPr>
              <w:t>Section 9. NEGATIVE COVENANTS</w:t>
            </w:r>
          </w:p>
        </w:tc>
        <w:tc>
          <w:tcPr>
            <w:tcW w:w="845" w:type="dxa"/>
            <w:tcBorders/>
            <w:vAlign w:val="center"/>
          </w:tcPr>
          <w:p>
            <w:pPr>
              <w:pStyle w:val="TableContents"/>
              <w:bidi w:val="0"/>
              <w:spacing w:before="0" w:after="283"/>
              <w:jc w:val="right"/>
              <w:rPr/>
            </w:pPr>
            <w:r>
              <w:rPr/>
              <w:t> </w:t>
            </w:r>
            <w:r>
              <w:rPr>
                <w:caps/>
              </w:rPr>
              <w:t>     </w:t>
            </w:r>
            <w:r>
              <w:rPr>
                <w:caps/>
                <w:strike/>
                <w:color w:val="FF0000"/>
                <w:sz w:val="20"/>
              </w:rPr>
              <w:t>82</w:t>
            </w:r>
            <w:r>
              <w:rPr>
                <w:color w:val="0000FF"/>
                <w:u w:val="single"/>
              </w:rPr>
              <w:t>86</w:t>
            </w:r>
          </w:p>
        </w:tc>
      </w:tr>
      <w:tr>
        <w:trPr/>
        <w:tc>
          <w:tcPr>
            <w:tcW w:w="395"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r>
      <w:tr>
        <w:trPr/>
        <w:tc>
          <w:tcPr>
            <w:tcW w:w="395" w:type="dxa"/>
            <w:tcBorders/>
            <w:vAlign w:val="center"/>
          </w:tcPr>
          <w:p>
            <w:pPr>
              <w:pStyle w:val="TableContents"/>
              <w:bidi w:val="0"/>
              <w:spacing w:before="0" w:after="283"/>
              <w:jc w:val="left"/>
              <w:rPr>
                <w:sz w:val="20"/>
              </w:rPr>
            </w:pPr>
            <w:r>
              <w:rPr>
                <w:sz w:val="20"/>
              </w:rPr>
              <w:t>9.01</w:t>
            </w:r>
          </w:p>
        </w:tc>
        <w:tc>
          <w:tcPr>
            <w:tcW w:w="6170" w:type="dxa"/>
            <w:tcBorders/>
            <w:vAlign w:val="center"/>
          </w:tcPr>
          <w:p>
            <w:pPr>
              <w:pStyle w:val="TableContents"/>
              <w:bidi w:val="0"/>
              <w:spacing w:before="0" w:after="283"/>
              <w:jc w:val="left"/>
              <w:rPr>
                <w:sz w:val="20"/>
              </w:rPr>
            </w:pPr>
            <w:r>
              <w:rPr>
                <w:sz w:val="20"/>
              </w:rPr>
              <w:t>Indebtedness</w:t>
            </w:r>
          </w:p>
        </w:tc>
        <w:tc>
          <w:tcPr>
            <w:tcW w:w="845" w:type="dxa"/>
            <w:tcBorders/>
            <w:vAlign w:val="center"/>
          </w:tcPr>
          <w:p>
            <w:pPr>
              <w:pStyle w:val="TableContents"/>
              <w:bidi w:val="0"/>
              <w:spacing w:before="0" w:after="283"/>
              <w:jc w:val="right"/>
              <w:rPr/>
            </w:pPr>
            <w:r>
              <w:rPr>
                <w:strike/>
                <w:color w:val="FF0000"/>
                <w:sz w:val="20"/>
              </w:rPr>
              <w:t>83</w:t>
            </w:r>
            <w:r>
              <w:rPr>
                <w:color w:val="0000FF"/>
                <w:u w:val="single"/>
              </w:rPr>
              <w:t>86</w:t>
            </w:r>
          </w:p>
        </w:tc>
      </w:tr>
      <w:tr>
        <w:trPr/>
        <w:tc>
          <w:tcPr>
            <w:tcW w:w="395" w:type="dxa"/>
            <w:tcBorders/>
            <w:vAlign w:val="center"/>
          </w:tcPr>
          <w:p>
            <w:pPr>
              <w:pStyle w:val="TableContents"/>
              <w:bidi w:val="0"/>
              <w:spacing w:before="0" w:after="283"/>
              <w:jc w:val="left"/>
              <w:rPr>
                <w:sz w:val="20"/>
              </w:rPr>
            </w:pPr>
            <w:r>
              <w:rPr>
                <w:sz w:val="20"/>
              </w:rPr>
              <w:t>9.02</w:t>
            </w:r>
          </w:p>
        </w:tc>
        <w:tc>
          <w:tcPr>
            <w:tcW w:w="6170" w:type="dxa"/>
            <w:tcBorders/>
            <w:vAlign w:val="center"/>
          </w:tcPr>
          <w:p>
            <w:pPr>
              <w:pStyle w:val="TableContents"/>
              <w:bidi w:val="0"/>
              <w:spacing w:before="0" w:after="283"/>
              <w:jc w:val="left"/>
              <w:rPr>
                <w:sz w:val="20"/>
              </w:rPr>
            </w:pPr>
            <w:r>
              <w:rPr>
                <w:sz w:val="20"/>
              </w:rPr>
              <w:t>Liens</w:t>
            </w:r>
          </w:p>
        </w:tc>
        <w:tc>
          <w:tcPr>
            <w:tcW w:w="845" w:type="dxa"/>
            <w:tcBorders/>
            <w:vAlign w:val="center"/>
          </w:tcPr>
          <w:p>
            <w:pPr>
              <w:pStyle w:val="TableContents"/>
              <w:bidi w:val="0"/>
              <w:spacing w:before="0" w:after="283"/>
              <w:jc w:val="right"/>
              <w:rPr/>
            </w:pPr>
            <w:r>
              <w:rPr>
                <w:strike/>
                <w:color w:val="FF0000"/>
                <w:sz w:val="20"/>
              </w:rPr>
              <w:t>84</w:t>
            </w:r>
            <w:r>
              <w:rPr>
                <w:color w:val="0000FF"/>
                <w:u w:val="single"/>
              </w:rPr>
              <w:t>87</w:t>
            </w:r>
          </w:p>
        </w:tc>
      </w:tr>
      <w:tr>
        <w:trPr/>
        <w:tc>
          <w:tcPr>
            <w:tcW w:w="395" w:type="dxa"/>
            <w:tcBorders/>
            <w:vAlign w:val="center"/>
          </w:tcPr>
          <w:p>
            <w:pPr>
              <w:pStyle w:val="TableContents"/>
              <w:bidi w:val="0"/>
              <w:spacing w:before="0" w:after="283"/>
              <w:jc w:val="left"/>
              <w:rPr>
                <w:sz w:val="20"/>
              </w:rPr>
            </w:pPr>
            <w:r>
              <w:rPr>
                <w:sz w:val="20"/>
              </w:rPr>
              <w:t>9.03</w:t>
            </w:r>
          </w:p>
        </w:tc>
        <w:tc>
          <w:tcPr>
            <w:tcW w:w="6170" w:type="dxa"/>
            <w:tcBorders/>
            <w:vAlign w:val="center"/>
          </w:tcPr>
          <w:p>
            <w:pPr>
              <w:pStyle w:val="TableContents"/>
              <w:bidi w:val="0"/>
              <w:spacing w:before="0" w:after="283"/>
              <w:jc w:val="left"/>
              <w:rPr>
                <w:sz w:val="20"/>
              </w:rPr>
            </w:pPr>
            <w:r>
              <w:rPr>
                <w:sz w:val="20"/>
              </w:rPr>
              <w:t>Fundamental Changes and Acquisitions</w:t>
            </w:r>
          </w:p>
        </w:tc>
        <w:tc>
          <w:tcPr>
            <w:tcW w:w="845" w:type="dxa"/>
            <w:tcBorders/>
            <w:vAlign w:val="center"/>
          </w:tcPr>
          <w:p>
            <w:pPr>
              <w:pStyle w:val="TableContents"/>
              <w:bidi w:val="0"/>
              <w:spacing w:before="0" w:after="283"/>
              <w:jc w:val="right"/>
              <w:rPr/>
            </w:pPr>
            <w:r>
              <w:rPr>
                <w:strike/>
                <w:color w:val="FF0000"/>
                <w:sz w:val="20"/>
              </w:rPr>
              <w:t>86</w:t>
            </w:r>
            <w:r>
              <w:rPr>
                <w:color w:val="0000FF"/>
                <w:u w:val="single"/>
              </w:rPr>
              <w:t>89</w:t>
            </w:r>
          </w:p>
        </w:tc>
      </w:tr>
      <w:tr>
        <w:trPr/>
        <w:tc>
          <w:tcPr>
            <w:tcW w:w="395" w:type="dxa"/>
            <w:tcBorders/>
            <w:vAlign w:val="center"/>
          </w:tcPr>
          <w:p>
            <w:pPr>
              <w:pStyle w:val="TableContents"/>
              <w:bidi w:val="0"/>
              <w:spacing w:before="0" w:after="283"/>
              <w:jc w:val="left"/>
              <w:rPr>
                <w:sz w:val="20"/>
              </w:rPr>
            </w:pPr>
            <w:r>
              <w:rPr>
                <w:sz w:val="20"/>
              </w:rPr>
              <w:t>9.04</w:t>
            </w:r>
          </w:p>
        </w:tc>
        <w:tc>
          <w:tcPr>
            <w:tcW w:w="6170" w:type="dxa"/>
            <w:tcBorders/>
            <w:vAlign w:val="center"/>
          </w:tcPr>
          <w:p>
            <w:pPr>
              <w:pStyle w:val="TableContents"/>
              <w:bidi w:val="0"/>
              <w:spacing w:before="0" w:after="283"/>
              <w:jc w:val="left"/>
              <w:rPr>
                <w:sz w:val="20"/>
              </w:rPr>
            </w:pPr>
            <w:r>
              <w:rPr>
                <w:sz w:val="20"/>
              </w:rPr>
              <w:t>Lines of Business</w:t>
            </w:r>
          </w:p>
        </w:tc>
        <w:tc>
          <w:tcPr>
            <w:tcW w:w="845" w:type="dxa"/>
            <w:tcBorders/>
            <w:vAlign w:val="center"/>
          </w:tcPr>
          <w:p>
            <w:pPr>
              <w:pStyle w:val="TableContents"/>
              <w:bidi w:val="0"/>
              <w:spacing w:before="0" w:after="283"/>
              <w:jc w:val="right"/>
              <w:rPr/>
            </w:pPr>
            <w:r>
              <w:rPr>
                <w:strike/>
                <w:color w:val="FF0000"/>
                <w:sz w:val="20"/>
              </w:rPr>
              <w:t>86</w:t>
            </w:r>
            <w:r>
              <w:rPr>
                <w:color w:val="0000FF"/>
                <w:u w:val="single"/>
              </w:rPr>
              <w:t>89</w:t>
            </w:r>
          </w:p>
        </w:tc>
      </w:tr>
      <w:tr>
        <w:trPr/>
        <w:tc>
          <w:tcPr>
            <w:tcW w:w="395" w:type="dxa"/>
            <w:tcBorders/>
            <w:vAlign w:val="center"/>
          </w:tcPr>
          <w:p>
            <w:pPr>
              <w:pStyle w:val="TableContents"/>
              <w:bidi w:val="0"/>
              <w:spacing w:before="0" w:after="283"/>
              <w:jc w:val="left"/>
              <w:rPr>
                <w:sz w:val="20"/>
              </w:rPr>
            </w:pPr>
            <w:r>
              <w:rPr>
                <w:sz w:val="20"/>
              </w:rPr>
              <w:t>9.05</w:t>
            </w:r>
          </w:p>
        </w:tc>
        <w:tc>
          <w:tcPr>
            <w:tcW w:w="6170" w:type="dxa"/>
            <w:tcBorders/>
            <w:vAlign w:val="center"/>
          </w:tcPr>
          <w:p>
            <w:pPr>
              <w:pStyle w:val="TableContents"/>
              <w:bidi w:val="0"/>
              <w:spacing w:before="0" w:after="283"/>
              <w:jc w:val="left"/>
              <w:rPr>
                <w:sz w:val="20"/>
              </w:rPr>
            </w:pPr>
            <w:r>
              <w:rPr>
                <w:sz w:val="20"/>
              </w:rPr>
              <w:t>Investments</w:t>
            </w:r>
          </w:p>
        </w:tc>
        <w:tc>
          <w:tcPr>
            <w:tcW w:w="845" w:type="dxa"/>
            <w:tcBorders/>
            <w:vAlign w:val="center"/>
          </w:tcPr>
          <w:p>
            <w:pPr>
              <w:pStyle w:val="TableContents"/>
              <w:bidi w:val="0"/>
              <w:spacing w:before="0" w:after="283"/>
              <w:jc w:val="right"/>
              <w:rPr/>
            </w:pPr>
            <w:r>
              <w:rPr>
                <w:strike/>
                <w:color w:val="FF0000"/>
                <w:sz w:val="20"/>
              </w:rPr>
              <w:t>86</w:t>
            </w:r>
            <w:r>
              <w:rPr>
                <w:color w:val="0000FF"/>
                <w:u w:val="single"/>
              </w:rPr>
              <w:t>90</w:t>
            </w:r>
          </w:p>
        </w:tc>
      </w:tr>
      <w:tr>
        <w:trPr/>
        <w:tc>
          <w:tcPr>
            <w:tcW w:w="395" w:type="dxa"/>
            <w:tcBorders/>
            <w:vAlign w:val="center"/>
          </w:tcPr>
          <w:p>
            <w:pPr>
              <w:pStyle w:val="TableContents"/>
              <w:bidi w:val="0"/>
              <w:spacing w:before="0" w:after="283"/>
              <w:jc w:val="left"/>
              <w:rPr>
                <w:sz w:val="20"/>
              </w:rPr>
            </w:pPr>
            <w:r>
              <w:rPr>
                <w:sz w:val="20"/>
              </w:rPr>
              <w:t>9.06</w:t>
            </w:r>
          </w:p>
        </w:tc>
        <w:tc>
          <w:tcPr>
            <w:tcW w:w="6170" w:type="dxa"/>
            <w:tcBorders/>
            <w:vAlign w:val="center"/>
          </w:tcPr>
          <w:p>
            <w:pPr>
              <w:pStyle w:val="TableContents"/>
              <w:bidi w:val="0"/>
              <w:spacing w:before="0" w:after="283"/>
              <w:jc w:val="left"/>
              <w:rPr>
                <w:sz w:val="20"/>
              </w:rPr>
            </w:pPr>
            <w:r>
              <w:rPr>
                <w:sz w:val="20"/>
              </w:rPr>
              <w:t>Restricted Payments</w:t>
            </w:r>
          </w:p>
        </w:tc>
        <w:tc>
          <w:tcPr>
            <w:tcW w:w="845" w:type="dxa"/>
            <w:tcBorders/>
            <w:vAlign w:val="center"/>
          </w:tcPr>
          <w:p>
            <w:pPr>
              <w:pStyle w:val="TableContents"/>
              <w:bidi w:val="0"/>
              <w:spacing w:before="0" w:after="283"/>
              <w:jc w:val="right"/>
              <w:rPr/>
            </w:pPr>
            <w:r>
              <w:rPr>
                <w:strike/>
                <w:color w:val="FF0000"/>
                <w:sz w:val="20"/>
              </w:rPr>
              <w:t>87</w:t>
            </w:r>
            <w:r>
              <w:rPr>
                <w:color w:val="0000FF"/>
                <w:u w:val="single"/>
              </w:rPr>
              <w:t>91</w:t>
            </w:r>
          </w:p>
        </w:tc>
      </w:tr>
      <w:tr>
        <w:trPr/>
        <w:tc>
          <w:tcPr>
            <w:tcW w:w="395" w:type="dxa"/>
            <w:tcBorders/>
            <w:vAlign w:val="center"/>
          </w:tcPr>
          <w:p>
            <w:pPr>
              <w:pStyle w:val="TableContents"/>
              <w:bidi w:val="0"/>
              <w:spacing w:before="0" w:after="283"/>
              <w:jc w:val="left"/>
              <w:rPr>
                <w:sz w:val="20"/>
              </w:rPr>
            </w:pPr>
            <w:r>
              <w:rPr>
                <w:sz w:val="20"/>
              </w:rPr>
              <w:t>9.07</w:t>
            </w:r>
          </w:p>
        </w:tc>
        <w:tc>
          <w:tcPr>
            <w:tcW w:w="6170" w:type="dxa"/>
            <w:tcBorders/>
            <w:vAlign w:val="center"/>
          </w:tcPr>
          <w:p>
            <w:pPr>
              <w:pStyle w:val="TableContents"/>
              <w:bidi w:val="0"/>
              <w:spacing w:before="0" w:after="283"/>
              <w:jc w:val="left"/>
              <w:rPr>
                <w:sz w:val="20"/>
              </w:rPr>
            </w:pPr>
            <w:r>
              <w:rPr>
                <w:sz w:val="20"/>
              </w:rPr>
              <w:t>Payments of Indebtedness</w:t>
            </w:r>
          </w:p>
        </w:tc>
        <w:tc>
          <w:tcPr>
            <w:tcW w:w="845" w:type="dxa"/>
            <w:tcBorders/>
            <w:vAlign w:val="center"/>
          </w:tcPr>
          <w:p>
            <w:pPr>
              <w:pStyle w:val="TableContents"/>
              <w:bidi w:val="0"/>
              <w:spacing w:before="0" w:after="283"/>
              <w:jc w:val="right"/>
              <w:rPr/>
            </w:pPr>
            <w:r>
              <w:rPr>
                <w:strike/>
                <w:color w:val="FF0000"/>
                <w:sz w:val="20"/>
              </w:rPr>
              <w:t>88</w:t>
            </w:r>
            <w:r>
              <w:rPr>
                <w:color w:val="0000FF"/>
                <w:u w:val="single"/>
              </w:rPr>
              <w:t>91</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115" w:type="dxa"/>
        <w:jc w:val="left"/>
        <w:tblInd w:w="0" w:type="dxa"/>
        <w:tblLayout w:type="fixed"/>
        <w:tblCellMar>
          <w:top w:w="0" w:type="dxa"/>
          <w:left w:w="0" w:type="dxa"/>
          <w:bottom w:w="0" w:type="dxa"/>
          <w:right w:w="0" w:type="dxa"/>
        </w:tblCellMar>
      </w:tblPr>
      <w:tblGrid>
        <w:gridCol w:w="500"/>
        <w:gridCol w:w="6590"/>
        <w:gridCol w:w="1025"/>
      </w:tblGrid>
      <w:tr>
        <w:trPr/>
        <w:tc>
          <w:tcPr>
            <w:tcW w:w="500" w:type="dxa"/>
            <w:tcBorders/>
            <w:vAlign w:val="center"/>
          </w:tcPr>
          <w:p>
            <w:pPr>
              <w:pStyle w:val="TableContents"/>
              <w:bidi w:val="0"/>
              <w:spacing w:before="0" w:after="283"/>
              <w:jc w:val="left"/>
              <w:rPr>
                <w:sz w:val="20"/>
              </w:rPr>
            </w:pPr>
            <w:r>
              <w:rPr>
                <w:sz w:val="20"/>
              </w:rPr>
              <w:t>9.08</w:t>
            </w:r>
          </w:p>
        </w:tc>
        <w:tc>
          <w:tcPr>
            <w:tcW w:w="6590" w:type="dxa"/>
            <w:tcBorders/>
            <w:vAlign w:val="center"/>
          </w:tcPr>
          <w:p>
            <w:pPr>
              <w:pStyle w:val="TableContents"/>
              <w:bidi w:val="0"/>
              <w:spacing w:before="0" w:after="283"/>
              <w:jc w:val="left"/>
              <w:rPr>
                <w:sz w:val="20"/>
              </w:rPr>
            </w:pPr>
            <w:r>
              <w:rPr>
                <w:sz w:val="20"/>
              </w:rPr>
              <w:t>Change in Fiscal Year</w:t>
            </w:r>
          </w:p>
        </w:tc>
        <w:tc>
          <w:tcPr>
            <w:tcW w:w="1025" w:type="dxa"/>
            <w:tcBorders/>
            <w:vAlign w:val="center"/>
          </w:tcPr>
          <w:p>
            <w:pPr>
              <w:pStyle w:val="TableContents"/>
              <w:bidi w:val="0"/>
              <w:spacing w:before="0" w:after="283"/>
              <w:jc w:val="right"/>
              <w:rPr/>
            </w:pPr>
            <w:r>
              <w:rPr>
                <w:strike/>
                <w:color w:val="FF0000"/>
                <w:sz w:val="20"/>
              </w:rPr>
              <w:t>88</w:t>
            </w:r>
            <w:r>
              <w:rPr>
                <w:color w:val="0000FF"/>
                <w:u w:val="single"/>
              </w:rPr>
              <w:t>91</w:t>
            </w:r>
          </w:p>
        </w:tc>
      </w:tr>
      <w:tr>
        <w:trPr/>
        <w:tc>
          <w:tcPr>
            <w:tcW w:w="500" w:type="dxa"/>
            <w:tcBorders/>
            <w:vAlign w:val="center"/>
          </w:tcPr>
          <w:p>
            <w:pPr>
              <w:pStyle w:val="TableContents"/>
              <w:bidi w:val="0"/>
              <w:spacing w:before="0" w:after="283"/>
              <w:jc w:val="left"/>
              <w:rPr>
                <w:sz w:val="20"/>
              </w:rPr>
            </w:pPr>
            <w:r>
              <w:rPr>
                <w:sz w:val="20"/>
              </w:rPr>
              <w:t>9.09</w:t>
            </w:r>
          </w:p>
        </w:tc>
        <w:tc>
          <w:tcPr>
            <w:tcW w:w="6590" w:type="dxa"/>
            <w:tcBorders/>
            <w:vAlign w:val="center"/>
          </w:tcPr>
          <w:p>
            <w:pPr>
              <w:pStyle w:val="TableContents"/>
              <w:bidi w:val="0"/>
              <w:spacing w:before="0" w:after="283"/>
              <w:jc w:val="left"/>
              <w:rPr>
                <w:sz w:val="20"/>
              </w:rPr>
            </w:pPr>
            <w:r>
              <w:rPr>
                <w:sz w:val="20"/>
              </w:rPr>
              <w:t>Sales of Assets, Etc.</w:t>
            </w:r>
          </w:p>
        </w:tc>
        <w:tc>
          <w:tcPr>
            <w:tcW w:w="1025" w:type="dxa"/>
            <w:tcBorders/>
            <w:vAlign w:val="center"/>
          </w:tcPr>
          <w:p>
            <w:pPr>
              <w:pStyle w:val="TableContents"/>
              <w:bidi w:val="0"/>
              <w:spacing w:before="0" w:after="283"/>
              <w:jc w:val="right"/>
              <w:rPr/>
            </w:pPr>
            <w:r>
              <w:rPr>
                <w:strike/>
                <w:color w:val="FF0000"/>
                <w:sz w:val="20"/>
              </w:rPr>
              <w:t>88</w:t>
            </w:r>
            <w:r>
              <w:rPr>
                <w:color w:val="0000FF"/>
                <w:u w:val="single"/>
              </w:rPr>
              <w:t>92</w:t>
            </w:r>
          </w:p>
        </w:tc>
      </w:tr>
      <w:tr>
        <w:trPr/>
        <w:tc>
          <w:tcPr>
            <w:tcW w:w="500" w:type="dxa"/>
            <w:tcBorders/>
            <w:vAlign w:val="center"/>
          </w:tcPr>
          <w:p>
            <w:pPr>
              <w:pStyle w:val="TableContents"/>
              <w:bidi w:val="0"/>
              <w:spacing w:before="0" w:after="283"/>
              <w:jc w:val="left"/>
              <w:rPr>
                <w:sz w:val="20"/>
              </w:rPr>
            </w:pPr>
            <w:r>
              <w:rPr>
                <w:sz w:val="20"/>
              </w:rPr>
              <w:t>9.10</w:t>
            </w:r>
          </w:p>
        </w:tc>
        <w:tc>
          <w:tcPr>
            <w:tcW w:w="6590" w:type="dxa"/>
            <w:tcBorders/>
            <w:vAlign w:val="center"/>
          </w:tcPr>
          <w:p>
            <w:pPr>
              <w:pStyle w:val="TableContents"/>
              <w:bidi w:val="0"/>
              <w:spacing w:before="0" w:after="283"/>
              <w:jc w:val="left"/>
              <w:rPr>
                <w:sz w:val="20"/>
              </w:rPr>
            </w:pPr>
            <w:r>
              <w:rPr>
                <w:sz w:val="20"/>
              </w:rPr>
              <w:t>Transactions with Affiliates</w:t>
            </w:r>
          </w:p>
        </w:tc>
        <w:tc>
          <w:tcPr>
            <w:tcW w:w="1025" w:type="dxa"/>
            <w:tcBorders/>
            <w:vAlign w:val="center"/>
          </w:tcPr>
          <w:p>
            <w:pPr>
              <w:pStyle w:val="TableContents"/>
              <w:bidi w:val="0"/>
              <w:spacing w:before="0" w:after="283"/>
              <w:jc w:val="right"/>
              <w:rPr/>
            </w:pPr>
            <w:r>
              <w:rPr>
                <w:strike/>
                <w:color w:val="FF0000"/>
                <w:sz w:val="20"/>
              </w:rPr>
              <w:t>89</w:t>
            </w:r>
            <w:r>
              <w:rPr>
                <w:color w:val="0000FF"/>
                <w:u w:val="single"/>
              </w:rPr>
              <w:t>93</w:t>
            </w:r>
          </w:p>
        </w:tc>
      </w:tr>
      <w:tr>
        <w:trPr/>
        <w:tc>
          <w:tcPr>
            <w:tcW w:w="500" w:type="dxa"/>
            <w:tcBorders/>
            <w:vAlign w:val="center"/>
          </w:tcPr>
          <w:p>
            <w:pPr>
              <w:pStyle w:val="TableContents"/>
              <w:bidi w:val="0"/>
              <w:spacing w:before="0" w:after="283"/>
              <w:jc w:val="left"/>
              <w:rPr>
                <w:sz w:val="20"/>
              </w:rPr>
            </w:pPr>
            <w:r>
              <w:rPr>
                <w:sz w:val="20"/>
              </w:rPr>
              <w:t>9.11</w:t>
            </w:r>
          </w:p>
        </w:tc>
        <w:tc>
          <w:tcPr>
            <w:tcW w:w="6590" w:type="dxa"/>
            <w:tcBorders/>
            <w:vAlign w:val="center"/>
          </w:tcPr>
          <w:p>
            <w:pPr>
              <w:pStyle w:val="TableContents"/>
              <w:bidi w:val="0"/>
              <w:spacing w:before="0" w:after="283"/>
              <w:jc w:val="left"/>
              <w:rPr>
                <w:sz w:val="20"/>
              </w:rPr>
            </w:pPr>
            <w:r>
              <w:rPr>
                <w:sz w:val="20"/>
              </w:rPr>
              <w:t>Restrictive Agreements</w:t>
            </w:r>
          </w:p>
        </w:tc>
        <w:tc>
          <w:tcPr>
            <w:tcW w:w="1025" w:type="dxa"/>
            <w:tcBorders/>
            <w:vAlign w:val="center"/>
          </w:tcPr>
          <w:p>
            <w:pPr>
              <w:pStyle w:val="TableContents"/>
              <w:bidi w:val="0"/>
              <w:spacing w:before="0" w:after="283"/>
              <w:jc w:val="right"/>
              <w:rPr/>
            </w:pPr>
            <w:r>
              <w:rPr>
                <w:strike/>
                <w:color w:val="FF0000"/>
                <w:sz w:val="20"/>
              </w:rPr>
              <w:t>90</w:t>
            </w:r>
            <w:r>
              <w:rPr>
                <w:color w:val="0000FF"/>
                <w:u w:val="single"/>
              </w:rPr>
              <w:t>94</w:t>
            </w:r>
          </w:p>
        </w:tc>
      </w:tr>
      <w:tr>
        <w:trPr/>
        <w:tc>
          <w:tcPr>
            <w:tcW w:w="500" w:type="dxa"/>
            <w:tcBorders/>
            <w:vAlign w:val="center"/>
          </w:tcPr>
          <w:p>
            <w:pPr>
              <w:pStyle w:val="TableContents"/>
              <w:bidi w:val="0"/>
              <w:spacing w:before="0" w:after="283"/>
              <w:jc w:val="left"/>
              <w:rPr>
                <w:sz w:val="20"/>
              </w:rPr>
            </w:pPr>
            <w:r>
              <w:rPr>
                <w:sz w:val="20"/>
              </w:rPr>
              <w:t>9.12</w:t>
            </w:r>
          </w:p>
        </w:tc>
        <w:tc>
          <w:tcPr>
            <w:tcW w:w="6590" w:type="dxa"/>
            <w:tcBorders/>
            <w:vAlign w:val="center"/>
          </w:tcPr>
          <w:p>
            <w:pPr>
              <w:pStyle w:val="TableContents"/>
              <w:bidi w:val="0"/>
              <w:spacing w:before="0" w:after="283"/>
              <w:jc w:val="left"/>
              <w:rPr>
                <w:sz w:val="20"/>
              </w:rPr>
            </w:pPr>
            <w:r>
              <w:rPr>
                <w:sz w:val="20"/>
              </w:rPr>
              <w:t>Modifications and Terminations of Material Agreements and Organic Documents</w:t>
            </w:r>
          </w:p>
        </w:tc>
        <w:tc>
          <w:tcPr>
            <w:tcW w:w="1025" w:type="dxa"/>
            <w:tcBorders/>
            <w:vAlign w:val="center"/>
          </w:tcPr>
          <w:p>
            <w:pPr>
              <w:pStyle w:val="TableContents"/>
              <w:bidi w:val="0"/>
              <w:spacing w:before="0" w:after="283"/>
              <w:jc w:val="right"/>
              <w:rPr/>
            </w:pPr>
            <w:r>
              <w:rPr>
                <w:strike/>
                <w:color w:val="FF0000"/>
                <w:sz w:val="20"/>
              </w:rPr>
              <w:t>91</w:t>
            </w:r>
            <w:r>
              <w:rPr>
                <w:color w:val="0000FF"/>
                <w:u w:val="single"/>
              </w:rPr>
              <w:t>94</w:t>
            </w:r>
          </w:p>
        </w:tc>
      </w:tr>
      <w:tr>
        <w:trPr/>
        <w:tc>
          <w:tcPr>
            <w:tcW w:w="500" w:type="dxa"/>
            <w:tcBorders/>
            <w:vAlign w:val="center"/>
          </w:tcPr>
          <w:p>
            <w:pPr>
              <w:pStyle w:val="TableContents"/>
              <w:bidi w:val="0"/>
              <w:spacing w:before="0" w:after="283"/>
              <w:jc w:val="left"/>
              <w:rPr>
                <w:sz w:val="20"/>
              </w:rPr>
            </w:pPr>
            <w:r>
              <w:rPr>
                <w:sz w:val="20"/>
              </w:rPr>
              <w:t>9.13</w:t>
            </w:r>
          </w:p>
        </w:tc>
        <w:tc>
          <w:tcPr>
            <w:tcW w:w="6590" w:type="dxa"/>
            <w:tcBorders/>
            <w:vAlign w:val="center"/>
          </w:tcPr>
          <w:p>
            <w:pPr>
              <w:pStyle w:val="TableContents"/>
              <w:bidi w:val="0"/>
              <w:spacing w:before="0" w:after="283"/>
              <w:jc w:val="left"/>
              <w:rPr>
                <w:sz w:val="20"/>
              </w:rPr>
            </w:pPr>
            <w:r>
              <w:rPr>
                <w:sz w:val="20"/>
              </w:rPr>
              <w:t>Outbound Licenses</w:t>
            </w:r>
          </w:p>
        </w:tc>
        <w:tc>
          <w:tcPr>
            <w:tcW w:w="1025" w:type="dxa"/>
            <w:tcBorders/>
            <w:vAlign w:val="center"/>
          </w:tcPr>
          <w:p>
            <w:pPr>
              <w:pStyle w:val="TableContents"/>
              <w:bidi w:val="0"/>
              <w:spacing w:before="0" w:after="283"/>
              <w:jc w:val="right"/>
              <w:rPr/>
            </w:pPr>
            <w:r>
              <w:rPr>
                <w:strike/>
                <w:color w:val="FF0000"/>
                <w:sz w:val="20"/>
              </w:rPr>
              <w:t>91</w:t>
            </w:r>
            <w:r>
              <w:rPr>
                <w:color w:val="0000FF"/>
                <w:u w:val="single"/>
              </w:rPr>
              <w:t>95</w:t>
            </w:r>
          </w:p>
        </w:tc>
      </w:tr>
      <w:tr>
        <w:trPr/>
        <w:tc>
          <w:tcPr>
            <w:tcW w:w="500" w:type="dxa"/>
            <w:tcBorders/>
            <w:vAlign w:val="center"/>
          </w:tcPr>
          <w:p>
            <w:pPr>
              <w:pStyle w:val="TableContents"/>
              <w:bidi w:val="0"/>
              <w:spacing w:before="0" w:after="283"/>
              <w:jc w:val="left"/>
              <w:rPr>
                <w:sz w:val="20"/>
              </w:rPr>
            </w:pPr>
            <w:r>
              <w:rPr>
                <w:sz w:val="20"/>
              </w:rPr>
              <w:t>9.14</w:t>
            </w:r>
          </w:p>
        </w:tc>
        <w:tc>
          <w:tcPr>
            <w:tcW w:w="6590" w:type="dxa"/>
            <w:tcBorders/>
            <w:vAlign w:val="center"/>
          </w:tcPr>
          <w:p>
            <w:pPr>
              <w:pStyle w:val="TableContents"/>
              <w:bidi w:val="0"/>
              <w:spacing w:before="0" w:after="283"/>
              <w:jc w:val="left"/>
              <w:rPr>
                <w:sz w:val="20"/>
              </w:rPr>
            </w:pPr>
            <w:r>
              <w:rPr>
                <w:sz w:val="20"/>
              </w:rPr>
              <w:t>Sales and Leasebacks</w:t>
            </w:r>
          </w:p>
        </w:tc>
        <w:tc>
          <w:tcPr>
            <w:tcW w:w="1025" w:type="dxa"/>
            <w:tcBorders/>
            <w:vAlign w:val="center"/>
          </w:tcPr>
          <w:p>
            <w:pPr>
              <w:pStyle w:val="TableContents"/>
              <w:bidi w:val="0"/>
              <w:spacing w:before="0" w:after="283"/>
              <w:jc w:val="right"/>
              <w:rPr/>
            </w:pPr>
            <w:r>
              <w:rPr>
                <w:strike/>
                <w:color w:val="FF0000"/>
                <w:sz w:val="20"/>
              </w:rPr>
              <w:t>91</w:t>
            </w:r>
            <w:r>
              <w:rPr>
                <w:color w:val="0000FF"/>
                <w:u w:val="single"/>
              </w:rPr>
              <w:t>95</w:t>
            </w:r>
          </w:p>
        </w:tc>
      </w:tr>
      <w:tr>
        <w:trPr/>
        <w:tc>
          <w:tcPr>
            <w:tcW w:w="500" w:type="dxa"/>
            <w:tcBorders/>
            <w:vAlign w:val="center"/>
          </w:tcPr>
          <w:p>
            <w:pPr>
              <w:pStyle w:val="TableContents"/>
              <w:bidi w:val="0"/>
              <w:spacing w:before="0" w:after="283"/>
              <w:jc w:val="left"/>
              <w:rPr>
                <w:sz w:val="20"/>
              </w:rPr>
            </w:pPr>
            <w:r>
              <w:rPr>
                <w:sz w:val="20"/>
              </w:rPr>
              <w:t>9.15</w:t>
            </w:r>
          </w:p>
        </w:tc>
        <w:tc>
          <w:tcPr>
            <w:tcW w:w="6590" w:type="dxa"/>
            <w:tcBorders/>
            <w:vAlign w:val="center"/>
          </w:tcPr>
          <w:p>
            <w:pPr>
              <w:pStyle w:val="TableContents"/>
              <w:bidi w:val="0"/>
              <w:spacing w:before="0" w:after="283"/>
              <w:jc w:val="left"/>
              <w:rPr>
                <w:sz w:val="20"/>
              </w:rPr>
            </w:pPr>
            <w:r>
              <w:rPr>
                <w:sz w:val="20"/>
              </w:rPr>
              <w:t>Hazardous Material</w:t>
            </w:r>
          </w:p>
        </w:tc>
        <w:tc>
          <w:tcPr>
            <w:tcW w:w="1025" w:type="dxa"/>
            <w:tcBorders/>
            <w:vAlign w:val="center"/>
          </w:tcPr>
          <w:p>
            <w:pPr>
              <w:pStyle w:val="TableContents"/>
              <w:bidi w:val="0"/>
              <w:spacing w:before="0" w:after="283"/>
              <w:jc w:val="right"/>
              <w:rPr/>
            </w:pPr>
            <w:r>
              <w:rPr>
                <w:strike/>
                <w:color w:val="FF0000"/>
                <w:sz w:val="20"/>
              </w:rPr>
              <w:t>91</w:t>
            </w:r>
            <w:r>
              <w:rPr>
                <w:color w:val="0000FF"/>
                <w:u w:val="single"/>
              </w:rPr>
              <w:t>95</w:t>
            </w:r>
          </w:p>
        </w:tc>
      </w:tr>
      <w:tr>
        <w:trPr/>
        <w:tc>
          <w:tcPr>
            <w:tcW w:w="500" w:type="dxa"/>
            <w:tcBorders/>
            <w:vAlign w:val="center"/>
          </w:tcPr>
          <w:p>
            <w:pPr>
              <w:pStyle w:val="TableContents"/>
              <w:bidi w:val="0"/>
              <w:spacing w:before="0" w:after="283"/>
              <w:jc w:val="left"/>
              <w:rPr>
                <w:sz w:val="20"/>
              </w:rPr>
            </w:pPr>
            <w:r>
              <w:rPr>
                <w:sz w:val="20"/>
              </w:rPr>
              <w:t>9.16</w:t>
            </w:r>
          </w:p>
        </w:tc>
        <w:tc>
          <w:tcPr>
            <w:tcW w:w="6590" w:type="dxa"/>
            <w:tcBorders/>
            <w:vAlign w:val="center"/>
          </w:tcPr>
          <w:p>
            <w:pPr>
              <w:pStyle w:val="TableContents"/>
              <w:bidi w:val="0"/>
              <w:spacing w:before="0" w:after="283"/>
              <w:jc w:val="left"/>
              <w:rPr>
                <w:sz w:val="20"/>
              </w:rPr>
            </w:pPr>
            <w:r>
              <w:rPr>
                <w:sz w:val="20"/>
              </w:rPr>
              <w:t>Accounting Changes</w:t>
            </w:r>
          </w:p>
        </w:tc>
        <w:tc>
          <w:tcPr>
            <w:tcW w:w="1025" w:type="dxa"/>
            <w:tcBorders/>
            <w:vAlign w:val="center"/>
          </w:tcPr>
          <w:p>
            <w:pPr>
              <w:pStyle w:val="TableContents"/>
              <w:bidi w:val="0"/>
              <w:spacing w:before="0" w:after="283"/>
              <w:jc w:val="right"/>
              <w:rPr/>
            </w:pPr>
            <w:r>
              <w:rPr>
                <w:strike/>
                <w:color w:val="FF0000"/>
                <w:sz w:val="20"/>
              </w:rPr>
              <w:t>92</w:t>
            </w:r>
            <w:r>
              <w:rPr>
                <w:color w:val="0000FF"/>
                <w:u w:val="single"/>
              </w:rPr>
              <w:t>95</w:t>
            </w:r>
          </w:p>
        </w:tc>
      </w:tr>
      <w:tr>
        <w:trPr/>
        <w:tc>
          <w:tcPr>
            <w:tcW w:w="500" w:type="dxa"/>
            <w:tcBorders/>
            <w:vAlign w:val="center"/>
          </w:tcPr>
          <w:p>
            <w:pPr>
              <w:pStyle w:val="TableContents"/>
              <w:bidi w:val="0"/>
              <w:spacing w:before="0" w:after="283"/>
              <w:jc w:val="left"/>
              <w:rPr>
                <w:sz w:val="20"/>
              </w:rPr>
            </w:pPr>
            <w:r>
              <w:rPr>
                <w:sz w:val="20"/>
              </w:rPr>
              <w:t>9.17</w:t>
            </w:r>
          </w:p>
        </w:tc>
        <w:tc>
          <w:tcPr>
            <w:tcW w:w="6590" w:type="dxa"/>
            <w:tcBorders/>
            <w:vAlign w:val="center"/>
          </w:tcPr>
          <w:p>
            <w:pPr>
              <w:pStyle w:val="TableContents"/>
              <w:bidi w:val="0"/>
              <w:spacing w:before="0" w:after="283"/>
              <w:jc w:val="left"/>
              <w:rPr>
                <w:sz w:val="20"/>
              </w:rPr>
            </w:pPr>
            <w:r>
              <w:rPr>
                <w:sz w:val="20"/>
              </w:rPr>
              <w:t>Compliance with ERISA</w:t>
            </w:r>
          </w:p>
        </w:tc>
        <w:tc>
          <w:tcPr>
            <w:tcW w:w="1025" w:type="dxa"/>
            <w:tcBorders/>
            <w:vAlign w:val="center"/>
          </w:tcPr>
          <w:p>
            <w:pPr>
              <w:pStyle w:val="TableContents"/>
              <w:bidi w:val="0"/>
              <w:spacing w:before="0" w:after="283"/>
              <w:jc w:val="right"/>
              <w:rPr/>
            </w:pPr>
            <w:r>
              <w:rPr>
                <w:strike/>
                <w:color w:val="FF0000"/>
                <w:sz w:val="20"/>
              </w:rPr>
              <w:t>92</w:t>
            </w:r>
            <w:r>
              <w:rPr>
                <w:color w:val="0000FF"/>
                <w:u w:val="single"/>
              </w:rPr>
              <w:t>95</w:t>
            </w:r>
          </w:p>
        </w:tc>
      </w:tr>
      <w:tr>
        <w:trPr/>
        <w:tc>
          <w:tcPr>
            <w:tcW w:w="500" w:type="dxa"/>
            <w:tcBorders/>
            <w:vAlign w:val="center"/>
          </w:tcPr>
          <w:p>
            <w:pPr>
              <w:pStyle w:val="TableContents"/>
              <w:bidi w:val="0"/>
              <w:spacing w:before="0" w:after="283"/>
              <w:jc w:val="left"/>
              <w:rPr>
                <w:sz w:val="20"/>
              </w:rPr>
            </w:pPr>
            <w:r>
              <w:rPr>
                <w:sz w:val="20"/>
              </w:rPr>
              <w:t>9.18</w:t>
            </w:r>
          </w:p>
        </w:tc>
        <w:tc>
          <w:tcPr>
            <w:tcW w:w="6590" w:type="dxa"/>
            <w:tcBorders/>
            <w:vAlign w:val="center"/>
          </w:tcPr>
          <w:p>
            <w:pPr>
              <w:pStyle w:val="TableContents"/>
              <w:bidi w:val="0"/>
              <w:spacing w:before="0" w:after="283"/>
              <w:jc w:val="left"/>
              <w:rPr>
                <w:sz w:val="20"/>
              </w:rPr>
            </w:pPr>
            <w:r>
              <w:rPr>
                <w:sz w:val="20"/>
              </w:rPr>
              <w:t>Sanctions; Anti-Corruption Use of Proceeds</w:t>
            </w:r>
          </w:p>
        </w:tc>
        <w:tc>
          <w:tcPr>
            <w:tcW w:w="1025" w:type="dxa"/>
            <w:tcBorders/>
            <w:vAlign w:val="center"/>
          </w:tcPr>
          <w:p>
            <w:pPr>
              <w:pStyle w:val="TableContents"/>
              <w:bidi w:val="0"/>
              <w:spacing w:before="0" w:after="283"/>
              <w:jc w:val="right"/>
              <w:rPr/>
            </w:pPr>
            <w:r>
              <w:rPr>
                <w:strike/>
                <w:color w:val="FF0000"/>
                <w:sz w:val="20"/>
              </w:rPr>
              <w:t>92</w:t>
            </w:r>
            <w:r>
              <w:rPr>
                <w:color w:val="0000FF"/>
                <w:u w:val="single"/>
              </w:rPr>
              <w:t>95</w:t>
            </w:r>
          </w:p>
        </w:tc>
      </w:tr>
      <w:tr>
        <w:trPr/>
        <w:tc>
          <w:tcPr>
            <w:tcW w:w="500" w:type="dxa"/>
            <w:tcBorders/>
            <w:vAlign w:val="center"/>
          </w:tcPr>
          <w:p>
            <w:pPr>
              <w:pStyle w:val="TableContents"/>
              <w:bidi w:val="0"/>
              <w:spacing w:before="0" w:after="283"/>
              <w:jc w:val="left"/>
              <w:rPr>
                <w:strike/>
                <w:color w:val="FF0000"/>
                <w:sz w:val="20"/>
              </w:rPr>
            </w:pPr>
            <w:r>
              <w:rPr>
                <w:strike/>
                <w:color w:val="FF0000"/>
                <w:sz w:val="20"/>
              </w:rPr>
              <w:t>9.19</w:t>
            </w:r>
          </w:p>
        </w:tc>
        <w:tc>
          <w:tcPr>
            <w:tcW w:w="6590" w:type="dxa"/>
            <w:tcBorders/>
            <w:vAlign w:val="center"/>
          </w:tcPr>
          <w:p>
            <w:pPr>
              <w:pStyle w:val="TableContents"/>
              <w:bidi w:val="0"/>
              <w:spacing w:before="0" w:after="283"/>
              <w:jc w:val="left"/>
              <w:rPr>
                <w:strike/>
                <w:color w:val="FF0000"/>
                <w:sz w:val="20"/>
              </w:rPr>
            </w:pPr>
            <w:r>
              <w:rPr>
                <w:strike/>
                <w:color w:val="FF0000"/>
                <w:sz w:val="20"/>
              </w:rPr>
              <w:t>[Reserved]</w:t>
            </w:r>
          </w:p>
        </w:tc>
        <w:tc>
          <w:tcPr>
            <w:tcW w:w="1025" w:type="dxa"/>
            <w:tcBorders/>
            <w:vAlign w:val="center"/>
          </w:tcPr>
          <w:p>
            <w:pPr>
              <w:pStyle w:val="TableContents"/>
              <w:bidi w:val="0"/>
              <w:spacing w:before="0" w:after="283"/>
              <w:jc w:val="right"/>
              <w:rPr>
                <w:strike/>
                <w:color w:val="FF0000"/>
                <w:sz w:val="20"/>
              </w:rPr>
            </w:pPr>
            <w:r>
              <w:rPr>
                <w:strike/>
                <w:color w:val="FF0000"/>
                <w:sz w:val="20"/>
              </w:rPr>
              <w:t>92</w:t>
            </w:r>
          </w:p>
        </w:tc>
      </w:tr>
      <w:tr>
        <w:trPr/>
        <w:tc>
          <w:tcPr>
            <w:tcW w:w="50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r>
      <w:tr>
        <w:trPr/>
        <w:tc>
          <w:tcPr>
            <w:tcW w:w="7090" w:type="dxa"/>
            <w:gridSpan w:val="2"/>
            <w:tcBorders/>
            <w:vAlign w:val="center"/>
          </w:tcPr>
          <w:p>
            <w:pPr>
              <w:pStyle w:val="TableContents"/>
              <w:bidi w:val="0"/>
              <w:spacing w:before="0" w:after="283"/>
              <w:jc w:val="left"/>
              <w:rPr>
                <w:caps/>
                <w:sz w:val="20"/>
              </w:rPr>
            </w:pPr>
            <w:r>
              <w:rPr>
                <w:caps/>
                <w:sz w:val="20"/>
              </w:rPr>
              <w:t>Section 10. FINANCIAL COVENANTS</w:t>
            </w:r>
          </w:p>
        </w:tc>
        <w:tc>
          <w:tcPr>
            <w:tcW w:w="1025" w:type="dxa"/>
            <w:tcBorders/>
            <w:vAlign w:val="center"/>
          </w:tcPr>
          <w:p>
            <w:pPr>
              <w:pStyle w:val="TableContents"/>
              <w:bidi w:val="0"/>
              <w:spacing w:before="0" w:after="283"/>
              <w:jc w:val="right"/>
              <w:rPr/>
            </w:pPr>
            <w:r>
              <w:rPr/>
              <w:t> </w:t>
            </w:r>
            <w:r>
              <w:rPr>
                <w:caps/>
              </w:rPr>
              <w:t>     </w:t>
            </w:r>
            <w:r>
              <w:rPr>
                <w:caps/>
                <w:strike/>
                <w:color w:val="FF0000"/>
                <w:sz w:val="20"/>
              </w:rPr>
              <w:t>93</w:t>
            </w:r>
            <w:r>
              <w:rPr>
                <w:color w:val="0000FF"/>
                <w:u w:val="single"/>
              </w:rPr>
              <w:t>96</w:t>
            </w:r>
            <w:r>
              <w:rPr/>
              <w:t xml:space="preserve"> </w:t>
            </w:r>
          </w:p>
        </w:tc>
      </w:tr>
      <w:tr>
        <w:trPr/>
        <w:tc>
          <w:tcPr>
            <w:tcW w:w="50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sz w:val="20"/>
              </w:rPr>
            </w:pPr>
            <w:r>
              <w:rPr>
                <w:sz w:val="20"/>
              </w:rPr>
              <w:t>10.01</w:t>
            </w:r>
          </w:p>
        </w:tc>
        <w:tc>
          <w:tcPr>
            <w:tcW w:w="6590" w:type="dxa"/>
            <w:tcBorders/>
            <w:vAlign w:val="center"/>
          </w:tcPr>
          <w:p>
            <w:pPr>
              <w:pStyle w:val="TableContents"/>
              <w:bidi w:val="0"/>
              <w:spacing w:before="0" w:after="283"/>
              <w:jc w:val="left"/>
              <w:rPr>
                <w:sz w:val="20"/>
              </w:rPr>
            </w:pPr>
            <w:r>
              <w:rPr>
                <w:sz w:val="20"/>
              </w:rPr>
              <w:t>Minimum Liquidity</w:t>
            </w:r>
          </w:p>
        </w:tc>
        <w:tc>
          <w:tcPr>
            <w:tcW w:w="1025" w:type="dxa"/>
            <w:tcBorders/>
            <w:vAlign w:val="center"/>
          </w:tcPr>
          <w:p>
            <w:pPr>
              <w:pStyle w:val="TableContents"/>
              <w:bidi w:val="0"/>
              <w:spacing w:before="0" w:after="283"/>
              <w:jc w:val="right"/>
              <w:rPr/>
            </w:pPr>
            <w:r>
              <w:rPr>
                <w:strike/>
                <w:color w:val="FF0000"/>
                <w:sz w:val="20"/>
              </w:rPr>
              <w:t>93</w:t>
            </w:r>
            <w:r>
              <w:rPr>
                <w:color w:val="0000FF"/>
                <w:u w:val="single"/>
              </w:rPr>
              <w:t>96</w:t>
            </w:r>
          </w:p>
        </w:tc>
      </w:tr>
      <w:tr>
        <w:trPr/>
        <w:tc>
          <w:tcPr>
            <w:tcW w:w="50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r>
      <w:tr>
        <w:trPr/>
        <w:tc>
          <w:tcPr>
            <w:tcW w:w="7090" w:type="dxa"/>
            <w:gridSpan w:val="2"/>
            <w:tcBorders/>
            <w:vAlign w:val="center"/>
          </w:tcPr>
          <w:p>
            <w:pPr>
              <w:pStyle w:val="TableContents"/>
              <w:bidi w:val="0"/>
              <w:spacing w:before="0" w:after="283"/>
              <w:jc w:val="left"/>
              <w:rPr>
                <w:caps/>
                <w:sz w:val="20"/>
              </w:rPr>
            </w:pPr>
            <w:r>
              <w:rPr>
                <w:caps/>
                <w:sz w:val="20"/>
              </w:rPr>
              <w:t>Section 11. EVENTS OF DEFAULT</w:t>
            </w:r>
          </w:p>
        </w:tc>
        <w:tc>
          <w:tcPr>
            <w:tcW w:w="1025" w:type="dxa"/>
            <w:tcBorders/>
            <w:vAlign w:val="center"/>
          </w:tcPr>
          <w:p>
            <w:pPr>
              <w:pStyle w:val="TableContents"/>
              <w:bidi w:val="0"/>
              <w:spacing w:before="0" w:after="283"/>
              <w:jc w:val="right"/>
              <w:rPr/>
            </w:pPr>
            <w:r>
              <w:rPr>
                <w:caps/>
              </w:rPr>
              <w:t>     </w:t>
            </w:r>
            <w:r>
              <w:rPr>
                <w:caps/>
                <w:strike/>
                <w:color w:val="FF0000"/>
                <w:sz w:val="20"/>
              </w:rPr>
              <w:t>93</w:t>
            </w:r>
            <w:r>
              <w:rPr>
                <w:color w:val="0000FF"/>
                <w:u w:val="single"/>
              </w:rPr>
              <w:t>96</w:t>
            </w:r>
          </w:p>
        </w:tc>
      </w:tr>
      <w:tr>
        <w:trPr/>
        <w:tc>
          <w:tcPr>
            <w:tcW w:w="50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sz w:val="20"/>
              </w:rPr>
            </w:pPr>
            <w:r>
              <w:rPr>
                <w:sz w:val="20"/>
              </w:rPr>
              <w:t>11.01</w:t>
            </w:r>
          </w:p>
        </w:tc>
        <w:tc>
          <w:tcPr>
            <w:tcW w:w="6590" w:type="dxa"/>
            <w:tcBorders/>
            <w:vAlign w:val="center"/>
          </w:tcPr>
          <w:p>
            <w:pPr>
              <w:pStyle w:val="TableContents"/>
              <w:bidi w:val="0"/>
              <w:spacing w:before="0" w:after="283"/>
              <w:jc w:val="left"/>
              <w:rPr>
                <w:sz w:val="20"/>
              </w:rPr>
            </w:pPr>
            <w:r>
              <w:rPr>
                <w:sz w:val="20"/>
              </w:rPr>
              <w:t>Events of Default</w:t>
            </w:r>
          </w:p>
        </w:tc>
        <w:tc>
          <w:tcPr>
            <w:tcW w:w="1025" w:type="dxa"/>
            <w:tcBorders/>
            <w:vAlign w:val="center"/>
          </w:tcPr>
          <w:p>
            <w:pPr>
              <w:pStyle w:val="TableContents"/>
              <w:bidi w:val="0"/>
              <w:spacing w:before="0" w:after="283"/>
              <w:jc w:val="right"/>
              <w:rPr/>
            </w:pPr>
            <w:r>
              <w:rPr>
                <w:strike/>
                <w:color w:val="FF0000"/>
                <w:sz w:val="20"/>
              </w:rPr>
              <w:t>93</w:t>
            </w:r>
            <w:r>
              <w:rPr>
                <w:color w:val="0000FF"/>
                <w:u w:val="single"/>
              </w:rPr>
              <w:t>96</w:t>
            </w:r>
          </w:p>
        </w:tc>
      </w:tr>
      <w:tr>
        <w:trPr/>
        <w:tc>
          <w:tcPr>
            <w:tcW w:w="500" w:type="dxa"/>
            <w:tcBorders/>
            <w:vAlign w:val="center"/>
          </w:tcPr>
          <w:p>
            <w:pPr>
              <w:pStyle w:val="TableContents"/>
              <w:bidi w:val="0"/>
              <w:spacing w:before="0" w:after="283"/>
              <w:jc w:val="left"/>
              <w:rPr>
                <w:sz w:val="20"/>
              </w:rPr>
            </w:pPr>
            <w:r>
              <w:rPr>
                <w:sz w:val="20"/>
              </w:rPr>
              <w:t>11.02</w:t>
            </w:r>
          </w:p>
        </w:tc>
        <w:tc>
          <w:tcPr>
            <w:tcW w:w="6590" w:type="dxa"/>
            <w:tcBorders/>
            <w:vAlign w:val="center"/>
          </w:tcPr>
          <w:p>
            <w:pPr>
              <w:pStyle w:val="TableContents"/>
              <w:bidi w:val="0"/>
              <w:spacing w:before="0" w:after="283"/>
              <w:jc w:val="left"/>
              <w:rPr>
                <w:sz w:val="20"/>
              </w:rPr>
            </w:pPr>
            <w:r>
              <w:rPr>
                <w:sz w:val="20"/>
              </w:rPr>
              <w:t>Remedies</w:t>
            </w:r>
          </w:p>
        </w:tc>
        <w:tc>
          <w:tcPr>
            <w:tcW w:w="1025" w:type="dxa"/>
            <w:tcBorders/>
            <w:vAlign w:val="center"/>
          </w:tcPr>
          <w:p>
            <w:pPr>
              <w:pStyle w:val="TableContents"/>
              <w:bidi w:val="0"/>
              <w:spacing w:before="0" w:after="283"/>
              <w:jc w:val="right"/>
              <w:rPr/>
            </w:pPr>
            <w:r>
              <w:rPr>
                <w:strike/>
                <w:color w:val="FF0000"/>
                <w:sz w:val="20"/>
              </w:rPr>
              <w:t>96</w:t>
            </w:r>
            <w:r>
              <w:rPr>
                <w:color w:val="0000FF"/>
                <w:u w:val="single"/>
              </w:rPr>
              <w:t>100</w:t>
            </w:r>
          </w:p>
        </w:tc>
      </w:tr>
      <w:tr>
        <w:trPr/>
        <w:tc>
          <w:tcPr>
            <w:tcW w:w="500" w:type="dxa"/>
            <w:tcBorders/>
            <w:vAlign w:val="center"/>
          </w:tcPr>
          <w:p>
            <w:pPr>
              <w:pStyle w:val="TableContents"/>
              <w:bidi w:val="0"/>
              <w:spacing w:before="0" w:after="283"/>
              <w:jc w:val="left"/>
              <w:rPr>
                <w:sz w:val="20"/>
              </w:rPr>
            </w:pPr>
            <w:r>
              <w:rPr>
                <w:sz w:val="20"/>
              </w:rPr>
              <w:t>11.03</w:t>
            </w:r>
          </w:p>
        </w:tc>
        <w:tc>
          <w:tcPr>
            <w:tcW w:w="6590" w:type="dxa"/>
            <w:tcBorders/>
            <w:vAlign w:val="center"/>
          </w:tcPr>
          <w:p>
            <w:pPr>
              <w:pStyle w:val="TableContents"/>
              <w:bidi w:val="0"/>
              <w:spacing w:before="0" w:after="283"/>
              <w:jc w:val="left"/>
              <w:rPr>
                <w:sz w:val="20"/>
              </w:rPr>
            </w:pPr>
            <w:r>
              <w:rPr>
                <w:sz w:val="20"/>
              </w:rPr>
              <w:t>Additional Remedies</w:t>
            </w:r>
          </w:p>
        </w:tc>
        <w:tc>
          <w:tcPr>
            <w:tcW w:w="1025" w:type="dxa"/>
            <w:tcBorders/>
            <w:vAlign w:val="center"/>
          </w:tcPr>
          <w:p>
            <w:pPr>
              <w:pStyle w:val="TableContents"/>
              <w:bidi w:val="0"/>
              <w:spacing w:before="0" w:after="283"/>
              <w:jc w:val="right"/>
              <w:rPr/>
            </w:pPr>
            <w:r>
              <w:rPr>
                <w:strike/>
                <w:color w:val="FF0000"/>
                <w:sz w:val="20"/>
              </w:rPr>
              <w:t>97</w:t>
            </w:r>
            <w:r>
              <w:rPr>
                <w:color w:val="0000FF"/>
                <w:u w:val="single"/>
              </w:rPr>
              <w:t>100</w:t>
            </w:r>
          </w:p>
        </w:tc>
      </w:tr>
      <w:tr>
        <w:trPr/>
        <w:tc>
          <w:tcPr>
            <w:tcW w:w="500" w:type="dxa"/>
            <w:tcBorders/>
            <w:vAlign w:val="center"/>
          </w:tcPr>
          <w:p>
            <w:pPr>
              <w:pStyle w:val="TableContents"/>
              <w:bidi w:val="0"/>
              <w:spacing w:before="0" w:after="283"/>
              <w:jc w:val="left"/>
              <w:rPr>
                <w:sz w:val="20"/>
              </w:rPr>
            </w:pPr>
            <w:r>
              <w:rPr>
                <w:sz w:val="20"/>
              </w:rPr>
              <w:t>11.04</w:t>
            </w:r>
          </w:p>
        </w:tc>
        <w:tc>
          <w:tcPr>
            <w:tcW w:w="6590" w:type="dxa"/>
            <w:tcBorders/>
            <w:vAlign w:val="center"/>
          </w:tcPr>
          <w:p>
            <w:pPr>
              <w:pStyle w:val="TableContents"/>
              <w:bidi w:val="0"/>
              <w:spacing w:before="0" w:after="283"/>
              <w:jc w:val="left"/>
              <w:rPr>
                <w:sz w:val="20"/>
              </w:rPr>
            </w:pPr>
            <w:r>
              <w:rPr>
                <w:sz w:val="20"/>
              </w:rPr>
              <w:t>[Reserved]</w:t>
            </w:r>
          </w:p>
        </w:tc>
        <w:tc>
          <w:tcPr>
            <w:tcW w:w="1025" w:type="dxa"/>
            <w:tcBorders/>
            <w:vAlign w:val="center"/>
          </w:tcPr>
          <w:p>
            <w:pPr>
              <w:pStyle w:val="TableContents"/>
              <w:bidi w:val="0"/>
              <w:spacing w:before="0" w:after="283"/>
              <w:jc w:val="right"/>
              <w:rPr/>
            </w:pPr>
            <w:r>
              <w:rPr>
                <w:strike/>
                <w:color w:val="FF0000"/>
                <w:sz w:val="20"/>
              </w:rPr>
              <w:t>97</w:t>
            </w:r>
            <w:r>
              <w:rPr>
                <w:color w:val="0000FF"/>
                <w:u w:val="single"/>
              </w:rPr>
              <w:t>100</w:t>
            </w:r>
          </w:p>
        </w:tc>
      </w:tr>
      <w:tr>
        <w:trPr/>
        <w:tc>
          <w:tcPr>
            <w:tcW w:w="500" w:type="dxa"/>
            <w:tcBorders/>
            <w:vAlign w:val="center"/>
          </w:tcPr>
          <w:p>
            <w:pPr>
              <w:pStyle w:val="TableContents"/>
              <w:bidi w:val="0"/>
              <w:spacing w:before="0" w:after="283"/>
              <w:jc w:val="left"/>
              <w:rPr>
                <w:sz w:val="20"/>
              </w:rPr>
            </w:pPr>
            <w:r>
              <w:rPr>
                <w:sz w:val="20"/>
              </w:rPr>
              <w:t>11.05</w:t>
            </w:r>
          </w:p>
        </w:tc>
        <w:tc>
          <w:tcPr>
            <w:tcW w:w="6590" w:type="dxa"/>
            <w:tcBorders/>
            <w:vAlign w:val="center"/>
          </w:tcPr>
          <w:p>
            <w:pPr>
              <w:pStyle w:val="TableContents"/>
              <w:bidi w:val="0"/>
              <w:spacing w:before="0" w:after="283"/>
              <w:jc w:val="left"/>
              <w:rPr>
                <w:sz w:val="20"/>
              </w:rPr>
            </w:pPr>
            <w:r>
              <w:rPr>
                <w:sz w:val="20"/>
              </w:rPr>
              <w:t>Payment of Prepayment Fee</w:t>
            </w:r>
          </w:p>
        </w:tc>
        <w:tc>
          <w:tcPr>
            <w:tcW w:w="1025" w:type="dxa"/>
            <w:tcBorders/>
            <w:vAlign w:val="center"/>
          </w:tcPr>
          <w:p>
            <w:pPr>
              <w:pStyle w:val="TableContents"/>
              <w:bidi w:val="0"/>
              <w:spacing w:before="0" w:after="283"/>
              <w:jc w:val="right"/>
              <w:rPr/>
            </w:pPr>
            <w:r>
              <w:rPr>
                <w:strike/>
                <w:color w:val="FF0000"/>
                <w:sz w:val="20"/>
              </w:rPr>
              <w:t>97</w:t>
            </w:r>
            <w:r>
              <w:rPr>
                <w:color w:val="0000FF"/>
                <w:u w:val="single"/>
              </w:rPr>
              <w:t>101</w:t>
            </w:r>
          </w:p>
        </w:tc>
      </w:tr>
      <w:tr>
        <w:trPr/>
        <w:tc>
          <w:tcPr>
            <w:tcW w:w="50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r>
      <w:tr>
        <w:trPr/>
        <w:tc>
          <w:tcPr>
            <w:tcW w:w="7090" w:type="dxa"/>
            <w:gridSpan w:val="2"/>
            <w:tcBorders/>
            <w:vAlign w:val="center"/>
          </w:tcPr>
          <w:p>
            <w:pPr>
              <w:pStyle w:val="TableContents"/>
              <w:bidi w:val="0"/>
              <w:spacing w:before="0" w:after="283"/>
              <w:jc w:val="left"/>
              <w:rPr>
                <w:caps/>
                <w:sz w:val="20"/>
              </w:rPr>
            </w:pPr>
            <w:r>
              <w:rPr>
                <w:caps/>
                <w:sz w:val="20"/>
              </w:rPr>
              <w:t>Section 12. THE ADMINISTRATIVE AGENT</w:t>
            </w:r>
          </w:p>
        </w:tc>
        <w:tc>
          <w:tcPr>
            <w:tcW w:w="1025" w:type="dxa"/>
            <w:tcBorders/>
            <w:vAlign w:val="center"/>
          </w:tcPr>
          <w:p>
            <w:pPr>
              <w:pStyle w:val="TableContents"/>
              <w:bidi w:val="0"/>
              <w:spacing w:before="0" w:after="283"/>
              <w:jc w:val="right"/>
              <w:rPr/>
            </w:pPr>
            <w:r>
              <w:rPr/>
              <w:t> </w:t>
            </w:r>
            <w:r>
              <w:rPr>
                <w:caps/>
              </w:rPr>
              <w:t>     </w:t>
            </w:r>
            <w:r>
              <w:rPr>
                <w:caps/>
                <w:strike/>
                <w:color w:val="FF0000"/>
                <w:sz w:val="20"/>
              </w:rPr>
              <w:t>98</w:t>
            </w:r>
            <w:r>
              <w:rPr>
                <w:color w:val="0000FF"/>
                <w:u w:val="single"/>
              </w:rPr>
              <w:t>102</w:t>
            </w:r>
            <w:r>
              <w:rPr/>
              <w:t xml:space="preserve"> </w:t>
            </w:r>
          </w:p>
        </w:tc>
      </w:tr>
      <w:tr>
        <w:trPr/>
        <w:tc>
          <w:tcPr>
            <w:tcW w:w="50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sz w:val="20"/>
              </w:rPr>
            </w:pPr>
            <w:r>
              <w:rPr>
                <w:sz w:val="20"/>
              </w:rPr>
              <w:t>12.01</w:t>
            </w:r>
          </w:p>
        </w:tc>
        <w:tc>
          <w:tcPr>
            <w:tcW w:w="6590" w:type="dxa"/>
            <w:tcBorders/>
            <w:vAlign w:val="center"/>
          </w:tcPr>
          <w:p>
            <w:pPr>
              <w:pStyle w:val="TableContents"/>
              <w:bidi w:val="0"/>
              <w:spacing w:before="0" w:after="283"/>
              <w:jc w:val="left"/>
              <w:rPr>
                <w:sz w:val="20"/>
              </w:rPr>
            </w:pPr>
            <w:r>
              <w:rPr>
                <w:sz w:val="20"/>
              </w:rPr>
              <w:t>Appointment and Duties</w:t>
            </w:r>
          </w:p>
        </w:tc>
        <w:tc>
          <w:tcPr>
            <w:tcW w:w="1025" w:type="dxa"/>
            <w:tcBorders/>
            <w:vAlign w:val="center"/>
          </w:tcPr>
          <w:p>
            <w:pPr>
              <w:pStyle w:val="TableContents"/>
              <w:bidi w:val="0"/>
              <w:spacing w:before="0" w:after="283"/>
              <w:jc w:val="right"/>
              <w:rPr/>
            </w:pPr>
            <w:r>
              <w:rPr>
                <w:strike/>
                <w:color w:val="FF0000"/>
                <w:sz w:val="20"/>
              </w:rPr>
              <w:t>98</w:t>
            </w:r>
            <w:r>
              <w:rPr>
                <w:color w:val="0000FF"/>
                <w:u w:val="single"/>
              </w:rPr>
              <w:t>102</w:t>
            </w:r>
          </w:p>
        </w:tc>
      </w:tr>
      <w:tr>
        <w:trPr/>
        <w:tc>
          <w:tcPr>
            <w:tcW w:w="500" w:type="dxa"/>
            <w:tcBorders/>
            <w:vAlign w:val="center"/>
          </w:tcPr>
          <w:p>
            <w:pPr>
              <w:pStyle w:val="TableContents"/>
              <w:bidi w:val="0"/>
              <w:spacing w:before="0" w:after="283"/>
              <w:jc w:val="left"/>
              <w:rPr>
                <w:sz w:val="20"/>
              </w:rPr>
            </w:pPr>
            <w:r>
              <w:rPr>
                <w:sz w:val="20"/>
              </w:rPr>
              <w:t>12.02</w:t>
            </w:r>
          </w:p>
        </w:tc>
        <w:tc>
          <w:tcPr>
            <w:tcW w:w="6590" w:type="dxa"/>
            <w:tcBorders/>
            <w:vAlign w:val="center"/>
          </w:tcPr>
          <w:p>
            <w:pPr>
              <w:pStyle w:val="TableContents"/>
              <w:bidi w:val="0"/>
              <w:spacing w:before="0" w:after="283"/>
              <w:jc w:val="left"/>
              <w:rPr>
                <w:sz w:val="20"/>
              </w:rPr>
            </w:pPr>
            <w:r>
              <w:rPr>
                <w:sz w:val="20"/>
              </w:rPr>
              <w:t>Binding Effect</w:t>
            </w:r>
          </w:p>
        </w:tc>
        <w:tc>
          <w:tcPr>
            <w:tcW w:w="1025" w:type="dxa"/>
            <w:tcBorders/>
            <w:vAlign w:val="center"/>
          </w:tcPr>
          <w:p>
            <w:pPr>
              <w:pStyle w:val="TableContents"/>
              <w:bidi w:val="0"/>
              <w:spacing w:before="0" w:after="283"/>
              <w:jc w:val="right"/>
              <w:rPr/>
            </w:pPr>
            <w:r>
              <w:rPr>
                <w:strike/>
                <w:color w:val="FF0000"/>
                <w:sz w:val="20"/>
              </w:rPr>
              <w:t>100</w:t>
            </w:r>
            <w:r>
              <w:rPr>
                <w:color w:val="0000FF"/>
                <w:u w:val="single"/>
              </w:rPr>
              <w:t>103</w:t>
            </w:r>
          </w:p>
        </w:tc>
      </w:tr>
      <w:tr>
        <w:trPr/>
        <w:tc>
          <w:tcPr>
            <w:tcW w:w="500" w:type="dxa"/>
            <w:tcBorders/>
            <w:vAlign w:val="center"/>
          </w:tcPr>
          <w:p>
            <w:pPr>
              <w:pStyle w:val="TableContents"/>
              <w:bidi w:val="0"/>
              <w:spacing w:before="0" w:after="283"/>
              <w:jc w:val="left"/>
              <w:rPr>
                <w:sz w:val="20"/>
              </w:rPr>
            </w:pPr>
            <w:r>
              <w:rPr>
                <w:sz w:val="20"/>
              </w:rPr>
              <w:t>12.03</w:t>
            </w:r>
          </w:p>
        </w:tc>
        <w:tc>
          <w:tcPr>
            <w:tcW w:w="6590" w:type="dxa"/>
            <w:tcBorders/>
            <w:vAlign w:val="center"/>
          </w:tcPr>
          <w:p>
            <w:pPr>
              <w:pStyle w:val="TableContents"/>
              <w:bidi w:val="0"/>
              <w:spacing w:before="0" w:after="283"/>
              <w:jc w:val="left"/>
              <w:rPr>
                <w:sz w:val="20"/>
              </w:rPr>
            </w:pPr>
            <w:r>
              <w:rPr>
                <w:sz w:val="20"/>
              </w:rPr>
              <w:t>Use of Discretion</w:t>
            </w:r>
          </w:p>
        </w:tc>
        <w:tc>
          <w:tcPr>
            <w:tcW w:w="1025" w:type="dxa"/>
            <w:tcBorders/>
            <w:vAlign w:val="center"/>
          </w:tcPr>
          <w:p>
            <w:pPr>
              <w:pStyle w:val="TableContents"/>
              <w:bidi w:val="0"/>
              <w:spacing w:before="0" w:after="283"/>
              <w:jc w:val="right"/>
              <w:rPr/>
            </w:pPr>
            <w:r>
              <w:rPr>
                <w:strike/>
                <w:color w:val="FF0000"/>
                <w:sz w:val="20"/>
              </w:rPr>
              <w:t>100</w:t>
            </w:r>
            <w:r>
              <w:rPr>
                <w:color w:val="0000FF"/>
                <w:u w:val="single"/>
              </w:rPr>
              <w:t>103</w:t>
            </w:r>
          </w:p>
        </w:tc>
      </w:tr>
      <w:tr>
        <w:trPr/>
        <w:tc>
          <w:tcPr>
            <w:tcW w:w="500" w:type="dxa"/>
            <w:tcBorders/>
            <w:vAlign w:val="center"/>
          </w:tcPr>
          <w:p>
            <w:pPr>
              <w:pStyle w:val="TableContents"/>
              <w:bidi w:val="0"/>
              <w:spacing w:before="0" w:after="283"/>
              <w:jc w:val="left"/>
              <w:rPr>
                <w:sz w:val="20"/>
              </w:rPr>
            </w:pPr>
            <w:r>
              <w:rPr>
                <w:sz w:val="20"/>
              </w:rPr>
              <w:t>12.04</w:t>
            </w:r>
          </w:p>
        </w:tc>
        <w:tc>
          <w:tcPr>
            <w:tcW w:w="6590" w:type="dxa"/>
            <w:tcBorders/>
            <w:vAlign w:val="center"/>
          </w:tcPr>
          <w:p>
            <w:pPr>
              <w:pStyle w:val="TableContents"/>
              <w:bidi w:val="0"/>
              <w:spacing w:before="0" w:after="283"/>
              <w:jc w:val="left"/>
              <w:rPr>
                <w:sz w:val="20"/>
              </w:rPr>
            </w:pPr>
            <w:r>
              <w:rPr>
                <w:sz w:val="20"/>
              </w:rPr>
              <w:t>Delegation of Rights and Duties</w:t>
            </w:r>
          </w:p>
        </w:tc>
        <w:tc>
          <w:tcPr>
            <w:tcW w:w="1025" w:type="dxa"/>
            <w:tcBorders/>
            <w:vAlign w:val="center"/>
          </w:tcPr>
          <w:p>
            <w:pPr>
              <w:pStyle w:val="TableContents"/>
              <w:bidi w:val="0"/>
              <w:spacing w:before="0" w:after="283"/>
              <w:jc w:val="right"/>
              <w:rPr/>
            </w:pPr>
            <w:r>
              <w:rPr>
                <w:strike/>
                <w:color w:val="FF0000"/>
                <w:sz w:val="20"/>
              </w:rPr>
              <w:t>100</w:t>
            </w:r>
            <w:r>
              <w:rPr>
                <w:color w:val="0000FF"/>
                <w:u w:val="single"/>
              </w:rPr>
              <w:t>104</w:t>
            </w:r>
          </w:p>
        </w:tc>
      </w:tr>
      <w:tr>
        <w:trPr/>
        <w:tc>
          <w:tcPr>
            <w:tcW w:w="500" w:type="dxa"/>
            <w:tcBorders/>
            <w:vAlign w:val="center"/>
          </w:tcPr>
          <w:p>
            <w:pPr>
              <w:pStyle w:val="TableContents"/>
              <w:bidi w:val="0"/>
              <w:spacing w:before="0" w:after="283"/>
              <w:jc w:val="left"/>
              <w:rPr>
                <w:sz w:val="20"/>
              </w:rPr>
            </w:pPr>
            <w:r>
              <w:rPr>
                <w:sz w:val="20"/>
              </w:rPr>
              <w:t>12.05</w:t>
            </w:r>
          </w:p>
        </w:tc>
        <w:tc>
          <w:tcPr>
            <w:tcW w:w="6590" w:type="dxa"/>
            <w:tcBorders/>
            <w:vAlign w:val="center"/>
          </w:tcPr>
          <w:p>
            <w:pPr>
              <w:pStyle w:val="TableContents"/>
              <w:bidi w:val="0"/>
              <w:spacing w:before="0" w:after="283"/>
              <w:jc w:val="left"/>
              <w:rPr>
                <w:sz w:val="20"/>
              </w:rPr>
            </w:pPr>
            <w:r>
              <w:rPr>
                <w:sz w:val="20"/>
              </w:rPr>
              <w:t>Reliance and Liability</w:t>
            </w:r>
          </w:p>
        </w:tc>
        <w:tc>
          <w:tcPr>
            <w:tcW w:w="1025" w:type="dxa"/>
            <w:tcBorders/>
            <w:vAlign w:val="center"/>
          </w:tcPr>
          <w:p>
            <w:pPr>
              <w:pStyle w:val="TableContents"/>
              <w:bidi w:val="0"/>
              <w:spacing w:before="0" w:after="283"/>
              <w:jc w:val="right"/>
              <w:rPr/>
            </w:pPr>
            <w:r>
              <w:rPr>
                <w:strike/>
                <w:color w:val="FF0000"/>
                <w:sz w:val="20"/>
              </w:rPr>
              <w:t>101</w:t>
            </w:r>
            <w:r>
              <w:rPr>
                <w:color w:val="0000FF"/>
                <w:u w:val="single"/>
              </w:rPr>
              <w:t>104</w:t>
            </w:r>
          </w:p>
        </w:tc>
      </w:tr>
      <w:tr>
        <w:trPr/>
        <w:tc>
          <w:tcPr>
            <w:tcW w:w="500" w:type="dxa"/>
            <w:tcBorders/>
            <w:vAlign w:val="center"/>
          </w:tcPr>
          <w:p>
            <w:pPr>
              <w:pStyle w:val="TableContents"/>
              <w:bidi w:val="0"/>
              <w:spacing w:before="0" w:after="283"/>
              <w:jc w:val="left"/>
              <w:rPr>
                <w:sz w:val="20"/>
              </w:rPr>
            </w:pPr>
            <w:r>
              <w:rPr>
                <w:sz w:val="20"/>
              </w:rPr>
              <w:t>12.06</w:t>
            </w:r>
          </w:p>
        </w:tc>
        <w:tc>
          <w:tcPr>
            <w:tcW w:w="6590" w:type="dxa"/>
            <w:tcBorders/>
            <w:vAlign w:val="center"/>
          </w:tcPr>
          <w:p>
            <w:pPr>
              <w:pStyle w:val="TableContents"/>
              <w:bidi w:val="0"/>
              <w:spacing w:before="0" w:after="283"/>
              <w:jc w:val="left"/>
              <w:rPr>
                <w:sz w:val="20"/>
              </w:rPr>
            </w:pPr>
            <w:r>
              <w:rPr>
                <w:sz w:val="20"/>
              </w:rPr>
              <w:t>Administrative Agent Individually</w:t>
            </w:r>
          </w:p>
        </w:tc>
        <w:tc>
          <w:tcPr>
            <w:tcW w:w="1025" w:type="dxa"/>
            <w:tcBorders/>
            <w:vAlign w:val="center"/>
          </w:tcPr>
          <w:p>
            <w:pPr>
              <w:pStyle w:val="TableContents"/>
              <w:bidi w:val="0"/>
              <w:spacing w:before="0" w:after="283"/>
              <w:jc w:val="right"/>
              <w:rPr/>
            </w:pPr>
            <w:r>
              <w:rPr>
                <w:strike/>
                <w:color w:val="FF0000"/>
                <w:sz w:val="20"/>
              </w:rPr>
              <w:t>102</w:t>
            </w:r>
            <w:r>
              <w:rPr>
                <w:color w:val="0000FF"/>
                <w:u w:val="single"/>
              </w:rPr>
              <w:t>106</w:t>
            </w:r>
          </w:p>
        </w:tc>
      </w:tr>
      <w:tr>
        <w:trPr/>
        <w:tc>
          <w:tcPr>
            <w:tcW w:w="500" w:type="dxa"/>
            <w:tcBorders/>
            <w:vAlign w:val="center"/>
          </w:tcPr>
          <w:p>
            <w:pPr>
              <w:pStyle w:val="TableContents"/>
              <w:bidi w:val="0"/>
              <w:spacing w:before="0" w:after="283"/>
              <w:jc w:val="left"/>
              <w:rPr>
                <w:sz w:val="20"/>
              </w:rPr>
            </w:pPr>
            <w:r>
              <w:rPr>
                <w:sz w:val="20"/>
              </w:rPr>
              <w:t>12.07</w:t>
            </w:r>
          </w:p>
        </w:tc>
        <w:tc>
          <w:tcPr>
            <w:tcW w:w="6590" w:type="dxa"/>
            <w:tcBorders/>
            <w:vAlign w:val="center"/>
          </w:tcPr>
          <w:p>
            <w:pPr>
              <w:pStyle w:val="TableContents"/>
              <w:bidi w:val="0"/>
              <w:spacing w:before="0" w:after="283"/>
              <w:jc w:val="left"/>
              <w:rPr>
                <w:sz w:val="20"/>
              </w:rPr>
            </w:pPr>
            <w:r>
              <w:rPr>
                <w:sz w:val="20"/>
              </w:rPr>
              <w:t>Lender Credit Decision</w:t>
            </w:r>
          </w:p>
        </w:tc>
        <w:tc>
          <w:tcPr>
            <w:tcW w:w="1025" w:type="dxa"/>
            <w:tcBorders/>
            <w:vAlign w:val="center"/>
          </w:tcPr>
          <w:p>
            <w:pPr>
              <w:pStyle w:val="TableContents"/>
              <w:bidi w:val="0"/>
              <w:spacing w:before="0" w:after="283"/>
              <w:jc w:val="right"/>
              <w:rPr/>
            </w:pPr>
            <w:r>
              <w:rPr>
                <w:strike/>
                <w:color w:val="FF0000"/>
                <w:sz w:val="20"/>
              </w:rPr>
              <w:t>102</w:t>
            </w:r>
            <w:r>
              <w:rPr>
                <w:color w:val="0000FF"/>
                <w:u w:val="single"/>
              </w:rPr>
              <w:t>106</w:t>
            </w:r>
          </w:p>
        </w:tc>
      </w:tr>
      <w:tr>
        <w:trPr/>
        <w:tc>
          <w:tcPr>
            <w:tcW w:w="500" w:type="dxa"/>
            <w:tcBorders/>
            <w:vAlign w:val="center"/>
          </w:tcPr>
          <w:p>
            <w:pPr>
              <w:pStyle w:val="TableContents"/>
              <w:bidi w:val="0"/>
              <w:spacing w:before="0" w:after="283"/>
              <w:jc w:val="left"/>
              <w:rPr>
                <w:sz w:val="20"/>
              </w:rPr>
            </w:pPr>
            <w:r>
              <w:rPr>
                <w:sz w:val="20"/>
              </w:rPr>
              <w:t>12.08</w:t>
            </w:r>
          </w:p>
        </w:tc>
        <w:tc>
          <w:tcPr>
            <w:tcW w:w="6590" w:type="dxa"/>
            <w:tcBorders/>
            <w:vAlign w:val="center"/>
          </w:tcPr>
          <w:p>
            <w:pPr>
              <w:pStyle w:val="TableContents"/>
              <w:bidi w:val="0"/>
              <w:spacing w:before="0" w:after="283"/>
              <w:jc w:val="left"/>
              <w:rPr>
                <w:sz w:val="20"/>
              </w:rPr>
            </w:pPr>
            <w:r>
              <w:rPr>
                <w:sz w:val="20"/>
              </w:rPr>
              <w:t>Expenses; Indemnities</w:t>
            </w:r>
          </w:p>
        </w:tc>
        <w:tc>
          <w:tcPr>
            <w:tcW w:w="1025" w:type="dxa"/>
            <w:tcBorders/>
            <w:vAlign w:val="center"/>
          </w:tcPr>
          <w:p>
            <w:pPr>
              <w:pStyle w:val="TableContents"/>
              <w:bidi w:val="0"/>
              <w:spacing w:before="0" w:after="283"/>
              <w:jc w:val="right"/>
              <w:rPr/>
            </w:pPr>
            <w:r>
              <w:rPr>
                <w:strike/>
                <w:color w:val="FF0000"/>
                <w:sz w:val="20"/>
              </w:rPr>
              <w:t>102</w:t>
            </w:r>
            <w:r>
              <w:rPr>
                <w:color w:val="0000FF"/>
                <w:u w:val="single"/>
              </w:rPr>
              <w:t>106</w:t>
            </w:r>
          </w:p>
        </w:tc>
      </w:tr>
      <w:tr>
        <w:trPr/>
        <w:tc>
          <w:tcPr>
            <w:tcW w:w="500" w:type="dxa"/>
            <w:tcBorders/>
            <w:vAlign w:val="center"/>
          </w:tcPr>
          <w:p>
            <w:pPr>
              <w:pStyle w:val="TableContents"/>
              <w:bidi w:val="0"/>
              <w:spacing w:before="0" w:after="283"/>
              <w:jc w:val="left"/>
              <w:rPr>
                <w:sz w:val="20"/>
              </w:rPr>
            </w:pPr>
            <w:r>
              <w:rPr>
                <w:sz w:val="20"/>
              </w:rPr>
              <w:t>12.09</w:t>
            </w:r>
          </w:p>
        </w:tc>
        <w:tc>
          <w:tcPr>
            <w:tcW w:w="6590" w:type="dxa"/>
            <w:tcBorders/>
            <w:vAlign w:val="center"/>
          </w:tcPr>
          <w:p>
            <w:pPr>
              <w:pStyle w:val="TableContents"/>
              <w:bidi w:val="0"/>
              <w:spacing w:before="0" w:after="283"/>
              <w:jc w:val="left"/>
              <w:rPr>
                <w:sz w:val="20"/>
              </w:rPr>
            </w:pPr>
            <w:r>
              <w:rPr>
                <w:sz w:val="20"/>
              </w:rPr>
              <w:t>Resignation of the Administrative Agent</w:t>
            </w:r>
          </w:p>
        </w:tc>
        <w:tc>
          <w:tcPr>
            <w:tcW w:w="1025" w:type="dxa"/>
            <w:tcBorders/>
            <w:vAlign w:val="center"/>
          </w:tcPr>
          <w:p>
            <w:pPr>
              <w:pStyle w:val="TableContents"/>
              <w:bidi w:val="0"/>
              <w:spacing w:before="0" w:after="283"/>
              <w:jc w:val="right"/>
              <w:rPr/>
            </w:pPr>
            <w:r>
              <w:rPr>
                <w:strike/>
                <w:color w:val="FF0000"/>
                <w:sz w:val="20"/>
              </w:rPr>
              <w:t>103</w:t>
            </w:r>
            <w:r>
              <w:rPr>
                <w:color w:val="0000FF"/>
                <w:u w:val="single"/>
              </w:rPr>
              <w:t>107</w:t>
            </w:r>
          </w:p>
        </w:tc>
      </w:tr>
      <w:tr>
        <w:trPr/>
        <w:tc>
          <w:tcPr>
            <w:tcW w:w="500" w:type="dxa"/>
            <w:tcBorders/>
            <w:vAlign w:val="center"/>
          </w:tcPr>
          <w:p>
            <w:pPr>
              <w:pStyle w:val="TableContents"/>
              <w:bidi w:val="0"/>
              <w:spacing w:before="0" w:after="283"/>
              <w:jc w:val="left"/>
              <w:rPr>
                <w:sz w:val="20"/>
              </w:rPr>
            </w:pPr>
            <w:r>
              <w:rPr>
                <w:sz w:val="20"/>
              </w:rPr>
              <w:t>12.10</w:t>
            </w:r>
          </w:p>
        </w:tc>
        <w:tc>
          <w:tcPr>
            <w:tcW w:w="6590" w:type="dxa"/>
            <w:tcBorders/>
            <w:vAlign w:val="center"/>
          </w:tcPr>
          <w:p>
            <w:pPr>
              <w:pStyle w:val="TableContents"/>
              <w:bidi w:val="0"/>
              <w:spacing w:before="0" w:after="283"/>
              <w:jc w:val="left"/>
              <w:rPr>
                <w:sz w:val="20"/>
              </w:rPr>
            </w:pPr>
            <w:r>
              <w:rPr>
                <w:sz w:val="20"/>
              </w:rPr>
              <w:t>Release of Collateral or Guarantors</w:t>
            </w:r>
          </w:p>
        </w:tc>
        <w:tc>
          <w:tcPr>
            <w:tcW w:w="1025" w:type="dxa"/>
            <w:tcBorders/>
            <w:vAlign w:val="center"/>
          </w:tcPr>
          <w:p>
            <w:pPr>
              <w:pStyle w:val="TableContents"/>
              <w:bidi w:val="0"/>
              <w:spacing w:before="0" w:after="283"/>
              <w:jc w:val="right"/>
              <w:rPr/>
            </w:pPr>
            <w:r>
              <w:rPr>
                <w:strike/>
                <w:color w:val="FF0000"/>
                <w:sz w:val="20"/>
              </w:rPr>
              <w:t>104</w:t>
            </w:r>
            <w:r>
              <w:rPr>
                <w:color w:val="0000FF"/>
                <w:u w:val="single"/>
              </w:rPr>
              <w:t>107</w:t>
            </w:r>
          </w:p>
        </w:tc>
      </w:tr>
      <w:tr>
        <w:trPr/>
        <w:tc>
          <w:tcPr>
            <w:tcW w:w="500" w:type="dxa"/>
            <w:tcBorders/>
            <w:vAlign w:val="center"/>
          </w:tcPr>
          <w:p>
            <w:pPr>
              <w:pStyle w:val="TableContents"/>
              <w:bidi w:val="0"/>
              <w:spacing w:before="0" w:after="283"/>
              <w:jc w:val="left"/>
              <w:rPr>
                <w:sz w:val="20"/>
              </w:rPr>
            </w:pPr>
            <w:r>
              <w:rPr>
                <w:sz w:val="20"/>
              </w:rPr>
              <w:t>12.11</w:t>
            </w:r>
          </w:p>
        </w:tc>
        <w:tc>
          <w:tcPr>
            <w:tcW w:w="6590" w:type="dxa"/>
            <w:tcBorders/>
            <w:vAlign w:val="center"/>
          </w:tcPr>
          <w:p>
            <w:pPr>
              <w:pStyle w:val="TableContents"/>
              <w:bidi w:val="0"/>
              <w:spacing w:before="0" w:after="283"/>
              <w:jc w:val="left"/>
              <w:rPr>
                <w:sz w:val="20"/>
              </w:rPr>
            </w:pPr>
            <w:r>
              <w:rPr>
                <w:sz w:val="20"/>
              </w:rPr>
              <w:t>Additional Secured Parties</w:t>
            </w:r>
          </w:p>
        </w:tc>
        <w:tc>
          <w:tcPr>
            <w:tcW w:w="1025" w:type="dxa"/>
            <w:tcBorders/>
            <w:vAlign w:val="center"/>
          </w:tcPr>
          <w:p>
            <w:pPr>
              <w:pStyle w:val="TableContents"/>
              <w:bidi w:val="0"/>
              <w:spacing w:before="0" w:after="283"/>
              <w:jc w:val="right"/>
              <w:rPr/>
            </w:pPr>
            <w:r>
              <w:rPr>
                <w:strike/>
                <w:color w:val="FF0000"/>
                <w:sz w:val="20"/>
              </w:rPr>
              <w:t>105</w:t>
            </w:r>
            <w:r>
              <w:rPr>
                <w:color w:val="0000FF"/>
                <w:u w:val="single"/>
              </w:rPr>
              <w:t>108</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-v-</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680" w:type="dxa"/>
        <w:jc w:val="left"/>
        <w:tblInd w:w="0" w:type="dxa"/>
        <w:tblLayout w:type="fixed"/>
        <w:tblCellMar>
          <w:top w:w="0" w:type="dxa"/>
          <w:left w:w="0" w:type="dxa"/>
          <w:bottom w:w="0" w:type="dxa"/>
          <w:right w:w="0" w:type="dxa"/>
        </w:tblCellMar>
      </w:tblPr>
      <w:tblGrid>
        <w:gridCol w:w="500"/>
        <w:gridCol w:w="6170"/>
        <w:gridCol w:w="1010"/>
      </w:tblGrid>
      <w:tr>
        <w:trPr/>
        <w:tc>
          <w:tcPr>
            <w:tcW w:w="500" w:type="dxa"/>
            <w:tcBorders/>
            <w:vAlign w:val="center"/>
          </w:tcPr>
          <w:p>
            <w:pPr>
              <w:pStyle w:val="TableContents"/>
              <w:bidi w:val="0"/>
              <w:spacing w:before="0" w:after="283"/>
              <w:jc w:val="left"/>
              <w:rPr>
                <w:sz w:val="20"/>
              </w:rPr>
            </w:pPr>
            <w:r>
              <w:rPr>
                <w:sz w:val="20"/>
              </w:rPr>
              <w:t>12.12</w:t>
            </w:r>
          </w:p>
        </w:tc>
        <w:tc>
          <w:tcPr>
            <w:tcW w:w="6170" w:type="dxa"/>
            <w:tcBorders/>
            <w:vAlign w:val="center"/>
          </w:tcPr>
          <w:p>
            <w:pPr>
              <w:pStyle w:val="TableContents"/>
              <w:bidi w:val="0"/>
              <w:spacing w:before="0" w:after="283"/>
              <w:jc w:val="left"/>
              <w:rPr>
                <w:sz w:val="20"/>
              </w:rPr>
            </w:pPr>
            <w:r>
              <w:rPr>
                <w:sz w:val="20"/>
              </w:rPr>
              <w:t>Agent May File Proofs of Claim</w:t>
            </w:r>
          </w:p>
        </w:tc>
        <w:tc>
          <w:tcPr>
            <w:tcW w:w="1010" w:type="dxa"/>
            <w:tcBorders/>
            <w:vAlign w:val="center"/>
          </w:tcPr>
          <w:p>
            <w:pPr>
              <w:pStyle w:val="TableContents"/>
              <w:bidi w:val="0"/>
              <w:spacing w:before="0" w:after="283"/>
              <w:jc w:val="right"/>
              <w:rPr/>
            </w:pPr>
            <w:r>
              <w:rPr>
                <w:strike/>
                <w:color w:val="FF0000"/>
                <w:sz w:val="20"/>
              </w:rPr>
              <w:t>105</w:t>
            </w:r>
            <w:r>
              <w:rPr>
                <w:color w:val="0000FF"/>
                <w:u w:val="single"/>
              </w:rPr>
              <w:t>109</w:t>
            </w:r>
          </w:p>
        </w:tc>
      </w:tr>
      <w:tr>
        <w:trPr/>
        <w:tc>
          <w:tcPr>
            <w:tcW w:w="500" w:type="dxa"/>
            <w:tcBorders/>
            <w:vAlign w:val="center"/>
          </w:tcPr>
          <w:p>
            <w:pPr>
              <w:pStyle w:val="TableContents"/>
              <w:bidi w:val="0"/>
              <w:spacing w:before="0" w:after="283"/>
              <w:jc w:val="left"/>
              <w:rPr>
                <w:sz w:val="20"/>
              </w:rPr>
            </w:pPr>
            <w:r>
              <w:rPr>
                <w:sz w:val="20"/>
              </w:rPr>
              <w:t>12.13</w:t>
            </w:r>
          </w:p>
        </w:tc>
        <w:tc>
          <w:tcPr>
            <w:tcW w:w="6170" w:type="dxa"/>
            <w:tcBorders/>
            <w:vAlign w:val="center"/>
          </w:tcPr>
          <w:p>
            <w:pPr>
              <w:pStyle w:val="TableContents"/>
              <w:bidi w:val="0"/>
              <w:spacing w:before="0" w:after="283"/>
              <w:jc w:val="left"/>
              <w:rPr>
                <w:sz w:val="20"/>
              </w:rPr>
            </w:pPr>
            <w:r>
              <w:rPr>
                <w:sz w:val="20"/>
              </w:rPr>
              <w:t>Acknowledgements of Lenders</w:t>
            </w:r>
          </w:p>
        </w:tc>
        <w:tc>
          <w:tcPr>
            <w:tcW w:w="1010" w:type="dxa"/>
            <w:tcBorders/>
            <w:vAlign w:val="center"/>
          </w:tcPr>
          <w:p>
            <w:pPr>
              <w:pStyle w:val="TableContents"/>
              <w:bidi w:val="0"/>
              <w:spacing w:before="0" w:after="283"/>
              <w:jc w:val="right"/>
              <w:rPr/>
            </w:pPr>
            <w:r>
              <w:rPr>
                <w:strike/>
                <w:color w:val="FF0000"/>
                <w:sz w:val="20"/>
              </w:rPr>
              <w:t>106</w:t>
            </w:r>
            <w:r>
              <w:rPr>
                <w:color w:val="0000FF"/>
                <w:u w:val="single"/>
              </w:rPr>
              <w:t>109</w:t>
            </w:r>
          </w:p>
        </w:tc>
      </w:tr>
      <w:tr>
        <w:trPr/>
        <w:tc>
          <w:tcPr>
            <w:tcW w:w="50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r>
      <w:tr>
        <w:trPr/>
        <w:tc>
          <w:tcPr>
            <w:tcW w:w="6670" w:type="dxa"/>
            <w:gridSpan w:val="2"/>
            <w:tcBorders/>
            <w:vAlign w:val="center"/>
          </w:tcPr>
          <w:p>
            <w:pPr>
              <w:pStyle w:val="TableContents"/>
              <w:bidi w:val="0"/>
              <w:spacing w:before="0" w:after="283"/>
              <w:jc w:val="left"/>
              <w:rPr>
                <w:caps/>
                <w:sz w:val="20"/>
              </w:rPr>
            </w:pPr>
            <w:r>
              <w:rPr>
                <w:caps/>
                <w:sz w:val="20"/>
              </w:rPr>
              <w:t>Section 13. GUARANTY</w:t>
            </w:r>
          </w:p>
        </w:tc>
        <w:tc>
          <w:tcPr>
            <w:tcW w:w="1010" w:type="dxa"/>
            <w:tcBorders/>
            <w:vAlign w:val="center"/>
          </w:tcPr>
          <w:p>
            <w:pPr>
              <w:pStyle w:val="TableContents"/>
              <w:bidi w:val="0"/>
              <w:spacing w:before="0" w:after="283"/>
              <w:jc w:val="right"/>
              <w:rPr/>
            </w:pPr>
            <w:r>
              <w:rPr>
                <w:caps/>
              </w:rPr>
              <w:t>     </w:t>
            </w:r>
            <w:r>
              <w:rPr>
                <w:caps/>
                <w:strike/>
                <w:color w:val="FF0000"/>
                <w:sz w:val="20"/>
              </w:rPr>
              <w:t>108</w:t>
            </w:r>
            <w:r>
              <w:rPr>
                <w:color w:val="0000FF"/>
                <w:u w:val="single"/>
              </w:rPr>
              <w:t>112</w:t>
            </w:r>
          </w:p>
        </w:tc>
      </w:tr>
      <w:tr>
        <w:trPr/>
        <w:tc>
          <w:tcPr>
            <w:tcW w:w="50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sz w:val="20"/>
              </w:rPr>
            </w:pPr>
            <w:r>
              <w:rPr>
                <w:sz w:val="20"/>
              </w:rPr>
              <w:t>13.01</w:t>
            </w:r>
          </w:p>
        </w:tc>
        <w:tc>
          <w:tcPr>
            <w:tcW w:w="6170" w:type="dxa"/>
            <w:tcBorders/>
            <w:vAlign w:val="center"/>
          </w:tcPr>
          <w:p>
            <w:pPr>
              <w:pStyle w:val="TableContents"/>
              <w:bidi w:val="0"/>
              <w:spacing w:before="0" w:after="283"/>
              <w:jc w:val="left"/>
              <w:rPr>
                <w:sz w:val="20"/>
              </w:rPr>
            </w:pPr>
            <w:r>
              <w:rPr>
                <w:sz w:val="20"/>
              </w:rPr>
              <w:t>The Guaranty</w:t>
            </w:r>
          </w:p>
        </w:tc>
        <w:tc>
          <w:tcPr>
            <w:tcW w:w="1010" w:type="dxa"/>
            <w:tcBorders/>
            <w:vAlign w:val="center"/>
          </w:tcPr>
          <w:p>
            <w:pPr>
              <w:pStyle w:val="TableContents"/>
              <w:bidi w:val="0"/>
              <w:spacing w:before="0" w:after="283"/>
              <w:jc w:val="right"/>
              <w:rPr/>
            </w:pPr>
            <w:r>
              <w:rPr>
                <w:strike/>
                <w:color w:val="FF0000"/>
                <w:sz w:val="20"/>
              </w:rPr>
              <w:t>108</w:t>
            </w:r>
            <w:r>
              <w:rPr>
                <w:color w:val="0000FF"/>
                <w:u w:val="single"/>
              </w:rPr>
              <w:t>112</w:t>
            </w:r>
          </w:p>
        </w:tc>
      </w:tr>
      <w:tr>
        <w:trPr/>
        <w:tc>
          <w:tcPr>
            <w:tcW w:w="500" w:type="dxa"/>
            <w:tcBorders/>
            <w:vAlign w:val="center"/>
          </w:tcPr>
          <w:p>
            <w:pPr>
              <w:pStyle w:val="TableContents"/>
              <w:bidi w:val="0"/>
              <w:spacing w:before="0" w:after="283"/>
              <w:jc w:val="left"/>
              <w:rPr>
                <w:sz w:val="20"/>
              </w:rPr>
            </w:pPr>
            <w:r>
              <w:rPr>
                <w:sz w:val="20"/>
              </w:rPr>
              <w:t>13.02</w:t>
            </w:r>
          </w:p>
        </w:tc>
        <w:tc>
          <w:tcPr>
            <w:tcW w:w="6170" w:type="dxa"/>
            <w:tcBorders/>
            <w:vAlign w:val="center"/>
          </w:tcPr>
          <w:p>
            <w:pPr>
              <w:pStyle w:val="TableContents"/>
              <w:bidi w:val="0"/>
              <w:spacing w:before="0" w:after="283"/>
              <w:jc w:val="left"/>
              <w:rPr>
                <w:sz w:val="20"/>
              </w:rPr>
            </w:pPr>
            <w:r>
              <w:rPr>
                <w:sz w:val="20"/>
              </w:rPr>
              <w:t>Obligations Unconditional</w:t>
            </w:r>
          </w:p>
        </w:tc>
        <w:tc>
          <w:tcPr>
            <w:tcW w:w="1010" w:type="dxa"/>
            <w:tcBorders/>
            <w:vAlign w:val="center"/>
          </w:tcPr>
          <w:p>
            <w:pPr>
              <w:pStyle w:val="TableContents"/>
              <w:bidi w:val="0"/>
              <w:spacing w:before="0" w:after="283"/>
              <w:jc w:val="right"/>
              <w:rPr/>
            </w:pPr>
            <w:r>
              <w:rPr>
                <w:strike/>
                <w:color w:val="FF0000"/>
                <w:sz w:val="20"/>
              </w:rPr>
              <w:t>108</w:t>
            </w:r>
            <w:r>
              <w:rPr>
                <w:color w:val="0000FF"/>
                <w:u w:val="single"/>
              </w:rPr>
              <w:t>112</w:t>
            </w:r>
          </w:p>
        </w:tc>
      </w:tr>
      <w:tr>
        <w:trPr/>
        <w:tc>
          <w:tcPr>
            <w:tcW w:w="500" w:type="dxa"/>
            <w:tcBorders/>
            <w:vAlign w:val="center"/>
          </w:tcPr>
          <w:p>
            <w:pPr>
              <w:pStyle w:val="TableContents"/>
              <w:bidi w:val="0"/>
              <w:spacing w:before="0" w:after="283"/>
              <w:jc w:val="left"/>
              <w:rPr>
                <w:sz w:val="20"/>
              </w:rPr>
            </w:pPr>
            <w:r>
              <w:rPr>
                <w:sz w:val="20"/>
              </w:rPr>
              <w:t>13.05</w:t>
            </w:r>
          </w:p>
        </w:tc>
        <w:tc>
          <w:tcPr>
            <w:tcW w:w="6170" w:type="dxa"/>
            <w:tcBorders/>
            <w:vAlign w:val="center"/>
          </w:tcPr>
          <w:p>
            <w:pPr>
              <w:pStyle w:val="TableContents"/>
              <w:bidi w:val="0"/>
              <w:spacing w:before="0" w:after="283"/>
              <w:jc w:val="left"/>
              <w:rPr>
                <w:sz w:val="20"/>
              </w:rPr>
            </w:pPr>
            <w:r>
              <w:rPr>
                <w:sz w:val="20"/>
              </w:rPr>
              <w:t>Reinstatement</w:t>
            </w:r>
          </w:p>
        </w:tc>
        <w:tc>
          <w:tcPr>
            <w:tcW w:w="1010" w:type="dxa"/>
            <w:tcBorders/>
            <w:vAlign w:val="center"/>
          </w:tcPr>
          <w:p>
            <w:pPr>
              <w:pStyle w:val="TableContents"/>
              <w:bidi w:val="0"/>
              <w:spacing w:before="0" w:after="283"/>
              <w:jc w:val="right"/>
              <w:rPr/>
            </w:pPr>
            <w:r>
              <w:rPr>
                <w:strike/>
                <w:color w:val="FF0000"/>
                <w:sz w:val="20"/>
              </w:rPr>
              <w:t>112</w:t>
            </w:r>
            <w:r>
              <w:rPr>
                <w:color w:val="0000FF"/>
                <w:u w:val="single"/>
              </w:rPr>
              <w:t>116</w:t>
            </w:r>
          </w:p>
        </w:tc>
      </w:tr>
      <w:tr>
        <w:trPr/>
        <w:tc>
          <w:tcPr>
            <w:tcW w:w="500" w:type="dxa"/>
            <w:tcBorders/>
            <w:vAlign w:val="center"/>
          </w:tcPr>
          <w:p>
            <w:pPr>
              <w:pStyle w:val="TableContents"/>
              <w:bidi w:val="0"/>
              <w:spacing w:before="0" w:after="283"/>
              <w:jc w:val="left"/>
              <w:rPr>
                <w:sz w:val="20"/>
              </w:rPr>
            </w:pPr>
            <w:r>
              <w:rPr>
                <w:sz w:val="20"/>
              </w:rPr>
              <w:t>13.06</w:t>
            </w:r>
          </w:p>
        </w:tc>
        <w:tc>
          <w:tcPr>
            <w:tcW w:w="6170" w:type="dxa"/>
            <w:tcBorders/>
            <w:vAlign w:val="center"/>
          </w:tcPr>
          <w:p>
            <w:pPr>
              <w:pStyle w:val="TableContents"/>
              <w:bidi w:val="0"/>
              <w:spacing w:before="0" w:after="283"/>
              <w:jc w:val="left"/>
              <w:rPr>
                <w:sz w:val="20"/>
              </w:rPr>
            </w:pPr>
            <w:r>
              <w:rPr>
                <w:sz w:val="20"/>
              </w:rPr>
              <w:t>Subrogation</w:t>
            </w:r>
          </w:p>
        </w:tc>
        <w:tc>
          <w:tcPr>
            <w:tcW w:w="1010" w:type="dxa"/>
            <w:tcBorders/>
            <w:vAlign w:val="center"/>
          </w:tcPr>
          <w:p>
            <w:pPr>
              <w:pStyle w:val="TableContents"/>
              <w:bidi w:val="0"/>
              <w:spacing w:before="0" w:after="283"/>
              <w:jc w:val="right"/>
              <w:rPr/>
            </w:pPr>
            <w:r>
              <w:rPr>
                <w:strike/>
                <w:color w:val="FF0000"/>
                <w:sz w:val="20"/>
              </w:rPr>
              <w:t>112</w:t>
            </w:r>
            <w:r>
              <w:rPr>
                <w:color w:val="0000FF"/>
                <w:u w:val="single"/>
              </w:rPr>
              <w:t>11</w:t>
            </w:r>
            <w:r>
              <w:rPr/>
              <w:t>6</w:t>
            </w:r>
          </w:p>
        </w:tc>
      </w:tr>
      <w:tr>
        <w:trPr/>
        <w:tc>
          <w:tcPr>
            <w:tcW w:w="500" w:type="dxa"/>
            <w:tcBorders/>
            <w:vAlign w:val="center"/>
          </w:tcPr>
          <w:p>
            <w:pPr>
              <w:pStyle w:val="TableContents"/>
              <w:bidi w:val="0"/>
              <w:spacing w:before="0" w:after="283"/>
              <w:jc w:val="left"/>
              <w:rPr>
                <w:sz w:val="20"/>
              </w:rPr>
            </w:pPr>
            <w:r>
              <w:rPr>
                <w:sz w:val="20"/>
              </w:rPr>
              <w:t>13.07</w:t>
            </w:r>
          </w:p>
        </w:tc>
        <w:tc>
          <w:tcPr>
            <w:tcW w:w="6170" w:type="dxa"/>
            <w:tcBorders/>
            <w:vAlign w:val="center"/>
          </w:tcPr>
          <w:p>
            <w:pPr>
              <w:pStyle w:val="TableContents"/>
              <w:bidi w:val="0"/>
              <w:spacing w:before="0" w:after="283"/>
              <w:jc w:val="left"/>
              <w:rPr>
                <w:sz w:val="20"/>
              </w:rPr>
            </w:pPr>
            <w:r>
              <w:rPr>
                <w:sz w:val="20"/>
              </w:rPr>
              <w:t>Remedies</w:t>
            </w:r>
          </w:p>
        </w:tc>
        <w:tc>
          <w:tcPr>
            <w:tcW w:w="1010" w:type="dxa"/>
            <w:tcBorders/>
            <w:vAlign w:val="center"/>
          </w:tcPr>
          <w:p>
            <w:pPr>
              <w:pStyle w:val="TableContents"/>
              <w:bidi w:val="0"/>
              <w:spacing w:before="0" w:after="283"/>
              <w:jc w:val="right"/>
              <w:rPr/>
            </w:pPr>
            <w:r>
              <w:rPr>
                <w:strike/>
                <w:color w:val="FF0000"/>
                <w:sz w:val="20"/>
              </w:rPr>
              <w:t>113</w:t>
            </w:r>
            <w:r>
              <w:rPr>
                <w:color w:val="0000FF"/>
                <w:u w:val="single"/>
              </w:rPr>
              <w:t>116</w:t>
            </w:r>
          </w:p>
        </w:tc>
      </w:tr>
      <w:tr>
        <w:trPr/>
        <w:tc>
          <w:tcPr>
            <w:tcW w:w="500" w:type="dxa"/>
            <w:tcBorders/>
            <w:vAlign w:val="center"/>
          </w:tcPr>
          <w:p>
            <w:pPr>
              <w:pStyle w:val="TableContents"/>
              <w:bidi w:val="0"/>
              <w:spacing w:before="0" w:after="283"/>
              <w:jc w:val="left"/>
              <w:rPr>
                <w:sz w:val="20"/>
              </w:rPr>
            </w:pPr>
            <w:r>
              <w:rPr>
                <w:sz w:val="20"/>
              </w:rPr>
              <w:t>13.08</w:t>
            </w:r>
          </w:p>
        </w:tc>
        <w:tc>
          <w:tcPr>
            <w:tcW w:w="6170" w:type="dxa"/>
            <w:tcBorders/>
            <w:vAlign w:val="center"/>
          </w:tcPr>
          <w:p>
            <w:pPr>
              <w:pStyle w:val="TableContents"/>
              <w:bidi w:val="0"/>
              <w:spacing w:before="0" w:after="283"/>
              <w:jc w:val="left"/>
              <w:rPr>
                <w:sz w:val="20"/>
              </w:rPr>
            </w:pPr>
            <w:r>
              <w:rPr>
                <w:sz w:val="20"/>
              </w:rPr>
              <w:t>Instrument for the Payment of Money</w:t>
            </w:r>
          </w:p>
        </w:tc>
        <w:tc>
          <w:tcPr>
            <w:tcW w:w="1010" w:type="dxa"/>
            <w:tcBorders/>
            <w:vAlign w:val="center"/>
          </w:tcPr>
          <w:p>
            <w:pPr>
              <w:pStyle w:val="TableContents"/>
              <w:bidi w:val="0"/>
              <w:spacing w:before="0" w:after="283"/>
              <w:jc w:val="right"/>
              <w:rPr/>
            </w:pPr>
            <w:r>
              <w:rPr>
                <w:strike/>
                <w:color w:val="FF0000"/>
                <w:sz w:val="20"/>
              </w:rPr>
              <w:t>113</w:t>
            </w:r>
            <w:r>
              <w:rPr>
                <w:color w:val="0000FF"/>
                <w:u w:val="single"/>
              </w:rPr>
              <w:t>117</w:t>
            </w:r>
          </w:p>
        </w:tc>
      </w:tr>
      <w:tr>
        <w:trPr/>
        <w:tc>
          <w:tcPr>
            <w:tcW w:w="500" w:type="dxa"/>
            <w:tcBorders/>
            <w:vAlign w:val="center"/>
          </w:tcPr>
          <w:p>
            <w:pPr>
              <w:pStyle w:val="TableContents"/>
              <w:bidi w:val="0"/>
              <w:spacing w:before="0" w:after="283"/>
              <w:jc w:val="left"/>
              <w:rPr>
                <w:sz w:val="20"/>
              </w:rPr>
            </w:pPr>
            <w:r>
              <w:rPr>
                <w:sz w:val="20"/>
              </w:rPr>
              <w:t>13.09</w:t>
            </w:r>
          </w:p>
        </w:tc>
        <w:tc>
          <w:tcPr>
            <w:tcW w:w="6170" w:type="dxa"/>
            <w:tcBorders/>
            <w:vAlign w:val="center"/>
          </w:tcPr>
          <w:p>
            <w:pPr>
              <w:pStyle w:val="TableContents"/>
              <w:bidi w:val="0"/>
              <w:spacing w:before="0" w:after="283"/>
              <w:jc w:val="left"/>
              <w:rPr>
                <w:sz w:val="20"/>
              </w:rPr>
            </w:pPr>
            <w:r>
              <w:rPr>
                <w:sz w:val="20"/>
              </w:rPr>
              <w:t>Continuing Guarantee</w:t>
            </w:r>
          </w:p>
        </w:tc>
        <w:tc>
          <w:tcPr>
            <w:tcW w:w="1010" w:type="dxa"/>
            <w:tcBorders/>
            <w:vAlign w:val="center"/>
          </w:tcPr>
          <w:p>
            <w:pPr>
              <w:pStyle w:val="TableContents"/>
              <w:bidi w:val="0"/>
              <w:spacing w:before="0" w:after="283"/>
              <w:jc w:val="right"/>
              <w:rPr/>
            </w:pPr>
            <w:r>
              <w:rPr>
                <w:strike/>
                <w:color w:val="FF0000"/>
                <w:sz w:val="20"/>
              </w:rPr>
              <w:t>113</w:t>
            </w:r>
            <w:r>
              <w:rPr>
                <w:color w:val="0000FF"/>
                <w:u w:val="single"/>
              </w:rPr>
              <w:t>117</w:t>
            </w:r>
          </w:p>
        </w:tc>
      </w:tr>
      <w:tr>
        <w:trPr/>
        <w:tc>
          <w:tcPr>
            <w:tcW w:w="500" w:type="dxa"/>
            <w:tcBorders/>
            <w:vAlign w:val="center"/>
          </w:tcPr>
          <w:p>
            <w:pPr>
              <w:pStyle w:val="TableContents"/>
              <w:bidi w:val="0"/>
              <w:spacing w:before="0" w:after="283"/>
              <w:jc w:val="left"/>
              <w:rPr>
                <w:sz w:val="20"/>
              </w:rPr>
            </w:pPr>
            <w:r>
              <w:rPr>
                <w:sz w:val="20"/>
              </w:rPr>
              <w:t>13.11</w:t>
            </w:r>
          </w:p>
        </w:tc>
        <w:tc>
          <w:tcPr>
            <w:tcW w:w="6170" w:type="dxa"/>
            <w:tcBorders/>
            <w:vAlign w:val="center"/>
          </w:tcPr>
          <w:p>
            <w:pPr>
              <w:pStyle w:val="TableContents"/>
              <w:bidi w:val="0"/>
              <w:spacing w:before="0" w:after="283"/>
              <w:jc w:val="left"/>
              <w:rPr>
                <w:sz w:val="20"/>
              </w:rPr>
            </w:pPr>
            <w:r>
              <w:rPr>
                <w:sz w:val="20"/>
              </w:rPr>
              <w:t>General Limitation on Guarantee Obligations</w:t>
            </w:r>
          </w:p>
        </w:tc>
        <w:tc>
          <w:tcPr>
            <w:tcW w:w="1010" w:type="dxa"/>
            <w:tcBorders/>
            <w:vAlign w:val="center"/>
          </w:tcPr>
          <w:p>
            <w:pPr>
              <w:pStyle w:val="TableContents"/>
              <w:bidi w:val="0"/>
              <w:spacing w:before="0" w:after="283"/>
              <w:jc w:val="right"/>
              <w:rPr/>
            </w:pPr>
            <w:r>
              <w:rPr>
                <w:strike/>
                <w:color w:val="FF0000"/>
                <w:sz w:val="20"/>
              </w:rPr>
              <w:t>114</w:t>
            </w:r>
            <w:r>
              <w:rPr>
                <w:color w:val="0000FF"/>
                <w:u w:val="single"/>
              </w:rPr>
              <w:t>117</w:t>
            </w:r>
          </w:p>
        </w:tc>
      </w:tr>
      <w:tr>
        <w:trPr/>
        <w:tc>
          <w:tcPr>
            <w:tcW w:w="50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r>
      <w:tr>
        <w:trPr/>
        <w:tc>
          <w:tcPr>
            <w:tcW w:w="6670" w:type="dxa"/>
            <w:gridSpan w:val="2"/>
            <w:tcBorders/>
            <w:vAlign w:val="center"/>
          </w:tcPr>
          <w:p>
            <w:pPr>
              <w:pStyle w:val="TableContents"/>
              <w:bidi w:val="0"/>
              <w:spacing w:before="0" w:after="283"/>
              <w:jc w:val="left"/>
              <w:rPr>
                <w:caps/>
                <w:sz w:val="20"/>
              </w:rPr>
            </w:pPr>
            <w:r>
              <w:rPr>
                <w:caps/>
                <w:sz w:val="20"/>
              </w:rPr>
              <w:t>Section 14. MISCELLANEOUS</w:t>
            </w:r>
          </w:p>
        </w:tc>
        <w:tc>
          <w:tcPr>
            <w:tcW w:w="1010" w:type="dxa"/>
            <w:tcBorders/>
            <w:vAlign w:val="center"/>
          </w:tcPr>
          <w:p>
            <w:pPr>
              <w:pStyle w:val="TableContents"/>
              <w:bidi w:val="0"/>
              <w:spacing w:before="0" w:after="283"/>
              <w:jc w:val="right"/>
              <w:rPr/>
            </w:pPr>
            <w:r>
              <w:rPr>
                <w:caps/>
              </w:rPr>
              <w:t>     </w:t>
            </w:r>
            <w:r>
              <w:rPr>
                <w:caps/>
                <w:strike/>
                <w:color w:val="FF0000"/>
                <w:sz w:val="20"/>
              </w:rPr>
              <w:t>114</w:t>
            </w:r>
            <w:r>
              <w:rPr>
                <w:color w:val="0000FF"/>
                <w:u w:val="single"/>
              </w:rPr>
              <w:t>118</w:t>
            </w:r>
          </w:p>
        </w:tc>
      </w:tr>
      <w:tr>
        <w:trPr/>
        <w:tc>
          <w:tcPr>
            <w:tcW w:w="50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r>
      <w:tr>
        <w:trPr/>
        <w:tc>
          <w:tcPr>
            <w:tcW w:w="500" w:type="dxa"/>
            <w:tcBorders/>
            <w:vAlign w:val="center"/>
          </w:tcPr>
          <w:p>
            <w:pPr>
              <w:pStyle w:val="TableContents"/>
              <w:bidi w:val="0"/>
              <w:spacing w:before="0" w:after="283"/>
              <w:jc w:val="left"/>
              <w:rPr>
                <w:sz w:val="20"/>
              </w:rPr>
            </w:pPr>
            <w:r>
              <w:rPr>
                <w:sz w:val="20"/>
              </w:rPr>
              <w:t>14.01</w:t>
            </w:r>
          </w:p>
        </w:tc>
        <w:tc>
          <w:tcPr>
            <w:tcW w:w="6170" w:type="dxa"/>
            <w:tcBorders/>
            <w:vAlign w:val="center"/>
          </w:tcPr>
          <w:p>
            <w:pPr>
              <w:pStyle w:val="TableContents"/>
              <w:bidi w:val="0"/>
              <w:spacing w:before="0" w:after="283"/>
              <w:jc w:val="left"/>
              <w:rPr>
                <w:sz w:val="20"/>
              </w:rPr>
            </w:pPr>
            <w:r>
              <w:rPr>
                <w:sz w:val="20"/>
              </w:rPr>
              <w:t>No Waiver</w:t>
            </w:r>
          </w:p>
        </w:tc>
        <w:tc>
          <w:tcPr>
            <w:tcW w:w="1010" w:type="dxa"/>
            <w:tcBorders/>
            <w:vAlign w:val="center"/>
          </w:tcPr>
          <w:p>
            <w:pPr>
              <w:pStyle w:val="TableContents"/>
              <w:bidi w:val="0"/>
              <w:spacing w:before="0" w:after="283"/>
              <w:jc w:val="right"/>
              <w:rPr/>
            </w:pPr>
            <w:r>
              <w:rPr>
                <w:strike/>
                <w:color w:val="FF0000"/>
                <w:sz w:val="20"/>
              </w:rPr>
              <w:t>114</w:t>
            </w:r>
            <w:r>
              <w:rPr>
                <w:color w:val="0000FF"/>
                <w:u w:val="single"/>
              </w:rPr>
              <w:t>118</w:t>
            </w:r>
          </w:p>
        </w:tc>
      </w:tr>
      <w:tr>
        <w:trPr/>
        <w:tc>
          <w:tcPr>
            <w:tcW w:w="500" w:type="dxa"/>
            <w:tcBorders/>
            <w:vAlign w:val="center"/>
          </w:tcPr>
          <w:p>
            <w:pPr>
              <w:pStyle w:val="TableContents"/>
              <w:bidi w:val="0"/>
              <w:spacing w:before="0" w:after="283"/>
              <w:jc w:val="left"/>
              <w:rPr>
                <w:sz w:val="20"/>
              </w:rPr>
            </w:pPr>
            <w:r>
              <w:rPr>
                <w:sz w:val="20"/>
              </w:rPr>
              <w:t>14.02</w:t>
            </w:r>
          </w:p>
        </w:tc>
        <w:tc>
          <w:tcPr>
            <w:tcW w:w="6170" w:type="dxa"/>
            <w:tcBorders/>
            <w:vAlign w:val="center"/>
          </w:tcPr>
          <w:p>
            <w:pPr>
              <w:pStyle w:val="TableContents"/>
              <w:bidi w:val="0"/>
              <w:spacing w:before="0" w:after="283"/>
              <w:jc w:val="left"/>
              <w:rPr>
                <w:sz w:val="20"/>
              </w:rPr>
            </w:pPr>
            <w:r>
              <w:rPr>
                <w:sz w:val="20"/>
              </w:rPr>
              <w:t>Notices</w:t>
            </w:r>
          </w:p>
        </w:tc>
        <w:tc>
          <w:tcPr>
            <w:tcW w:w="1010" w:type="dxa"/>
            <w:tcBorders/>
            <w:vAlign w:val="center"/>
          </w:tcPr>
          <w:p>
            <w:pPr>
              <w:pStyle w:val="TableContents"/>
              <w:bidi w:val="0"/>
              <w:spacing w:before="0" w:after="283"/>
              <w:jc w:val="right"/>
              <w:rPr/>
            </w:pPr>
            <w:r>
              <w:rPr>
                <w:strike/>
                <w:color w:val="FF0000"/>
                <w:sz w:val="20"/>
              </w:rPr>
              <w:t>114</w:t>
            </w:r>
            <w:r>
              <w:rPr>
                <w:color w:val="0000FF"/>
                <w:u w:val="single"/>
              </w:rPr>
              <w:t>118</w:t>
            </w:r>
          </w:p>
        </w:tc>
      </w:tr>
      <w:tr>
        <w:trPr/>
        <w:tc>
          <w:tcPr>
            <w:tcW w:w="500" w:type="dxa"/>
            <w:tcBorders/>
            <w:vAlign w:val="center"/>
          </w:tcPr>
          <w:p>
            <w:pPr>
              <w:pStyle w:val="TableContents"/>
              <w:bidi w:val="0"/>
              <w:spacing w:before="0" w:after="283"/>
              <w:jc w:val="left"/>
              <w:rPr>
                <w:sz w:val="20"/>
              </w:rPr>
            </w:pPr>
            <w:r>
              <w:rPr>
                <w:sz w:val="20"/>
              </w:rPr>
              <w:t>14.03</w:t>
            </w:r>
          </w:p>
        </w:tc>
        <w:tc>
          <w:tcPr>
            <w:tcW w:w="6170" w:type="dxa"/>
            <w:tcBorders/>
            <w:vAlign w:val="center"/>
          </w:tcPr>
          <w:p>
            <w:pPr>
              <w:pStyle w:val="TableContents"/>
              <w:bidi w:val="0"/>
              <w:spacing w:before="0" w:after="283"/>
              <w:jc w:val="left"/>
              <w:rPr>
                <w:sz w:val="20"/>
              </w:rPr>
            </w:pPr>
            <w:r>
              <w:rPr>
                <w:sz w:val="20"/>
              </w:rPr>
              <w:t>Expenses, Indemnification, Etc.</w:t>
            </w:r>
          </w:p>
        </w:tc>
        <w:tc>
          <w:tcPr>
            <w:tcW w:w="1010" w:type="dxa"/>
            <w:tcBorders/>
            <w:vAlign w:val="center"/>
          </w:tcPr>
          <w:p>
            <w:pPr>
              <w:pStyle w:val="TableContents"/>
              <w:bidi w:val="0"/>
              <w:spacing w:before="0" w:after="283"/>
              <w:jc w:val="right"/>
              <w:rPr/>
            </w:pPr>
            <w:r>
              <w:rPr>
                <w:strike/>
                <w:color w:val="FF0000"/>
                <w:sz w:val="20"/>
              </w:rPr>
              <w:t>115</w:t>
            </w:r>
            <w:r>
              <w:rPr>
                <w:color w:val="0000FF"/>
                <w:u w:val="single"/>
              </w:rPr>
              <w:t>119</w:t>
            </w:r>
          </w:p>
        </w:tc>
      </w:tr>
      <w:tr>
        <w:trPr/>
        <w:tc>
          <w:tcPr>
            <w:tcW w:w="500" w:type="dxa"/>
            <w:tcBorders/>
            <w:vAlign w:val="center"/>
          </w:tcPr>
          <w:p>
            <w:pPr>
              <w:pStyle w:val="TableContents"/>
              <w:bidi w:val="0"/>
              <w:spacing w:before="0" w:after="283"/>
              <w:jc w:val="left"/>
              <w:rPr>
                <w:sz w:val="20"/>
              </w:rPr>
            </w:pPr>
            <w:r>
              <w:rPr>
                <w:sz w:val="20"/>
              </w:rPr>
              <w:t>14.04</w:t>
            </w:r>
          </w:p>
        </w:tc>
        <w:tc>
          <w:tcPr>
            <w:tcW w:w="6170" w:type="dxa"/>
            <w:tcBorders/>
            <w:vAlign w:val="center"/>
          </w:tcPr>
          <w:p>
            <w:pPr>
              <w:pStyle w:val="TableContents"/>
              <w:bidi w:val="0"/>
              <w:spacing w:before="0" w:after="283"/>
              <w:jc w:val="left"/>
              <w:rPr>
                <w:sz w:val="20"/>
              </w:rPr>
            </w:pPr>
            <w:r>
              <w:rPr>
                <w:sz w:val="20"/>
              </w:rPr>
              <w:t>Amendments, Etc.</w:t>
            </w:r>
          </w:p>
        </w:tc>
        <w:tc>
          <w:tcPr>
            <w:tcW w:w="1010" w:type="dxa"/>
            <w:tcBorders/>
            <w:vAlign w:val="center"/>
          </w:tcPr>
          <w:p>
            <w:pPr>
              <w:pStyle w:val="TableContents"/>
              <w:bidi w:val="0"/>
              <w:spacing w:before="0" w:after="283"/>
              <w:jc w:val="right"/>
              <w:rPr/>
            </w:pPr>
            <w:r>
              <w:rPr>
                <w:strike/>
                <w:color w:val="FF0000"/>
                <w:sz w:val="20"/>
              </w:rPr>
              <w:t>116</w:t>
            </w:r>
            <w:r>
              <w:rPr>
                <w:color w:val="0000FF"/>
                <w:u w:val="single"/>
              </w:rPr>
              <w:t>120</w:t>
            </w:r>
          </w:p>
        </w:tc>
      </w:tr>
      <w:tr>
        <w:trPr/>
        <w:tc>
          <w:tcPr>
            <w:tcW w:w="500" w:type="dxa"/>
            <w:tcBorders/>
            <w:vAlign w:val="center"/>
          </w:tcPr>
          <w:p>
            <w:pPr>
              <w:pStyle w:val="TableContents"/>
              <w:bidi w:val="0"/>
              <w:spacing w:before="0" w:after="283"/>
              <w:jc w:val="left"/>
              <w:rPr>
                <w:sz w:val="20"/>
              </w:rPr>
            </w:pPr>
            <w:r>
              <w:rPr>
                <w:sz w:val="20"/>
              </w:rPr>
              <w:t>14.05</w:t>
            </w:r>
          </w:p>
        </w:tc>
        <w:tc>
          <w:tcPr>
            <w:tcW w:w="6170" w:type="dxa"/>
            <w:tcBorders/>
            <w:vAlign w:val="center"/>
          </w:tcPr>
          <w:p>
            <w:pPr>
              <w:pStyle w:val="TableContents"/>
              <w:bidi w:val="0"/>
              <w:spacing w:before="0" w:after="283"/>
              <w:jc w:val="left"/>
              <w:rPr>
                <w:sz w:val="20"/>
              </w:rPr>
            </w:pPr>
            <w:r>
              <w:rPr>
                <w:sz w:val="20"/>
              </w:rPr>
              <w:t>Successors and Assigns</w:t>
            </w:r>
          </w:p>
        </w:tc>
        <w:tc>
          <w:tcPr>
            <w:tcW w:w="1010" w:type="dxa"/>
            <w:tcBorders/>
            <w:vAlign w:val="center"/>
          </w:tcPr>
          <w:p>
            <w:pPr>
              <w:pStyle w:val="TableContents"/>
              <w:bidi w:val="0"/>
              <w:spacing w:before="0" w:after="283"/>
              <w:jc w:val="right"/>
              <w:rPr/>
            </w:pPr>
            <w:r>
              <w:rPr>
                <w:strike/>
                <w:color w:val="FF0000"/>
                <w:sz w:val="20"/>
              </w:rPr>
              <w:t>117</w:t>
            </w:r>
            <w:r>
              <w:rPr>
                <w:color w:val="0000FF"/>
                <w:u w:val="single"/>
              </w:rPr>
              <w:t>120</w:t>
            </w:r>
          </w:p>
        </w:tc>
      </w:tr>
      <w:tr>
        <w:trPr/>
        <w:tc>
          <w:tcPr>
            <w:tcW w:w="500" w:type="dxa"/>
            <w:tcBorders/>
            <w:vAlign w:val="center"/>
          </w:tcPr>
          <w:p>
            <w:pPr>
              <w:pStyle w:val="TableContents"/>
              <w:bidi w:val="0"/>
              <w:spacing w:before="0" w:after="283"/>
              <w:jc w:val="left"/>
              <w:rPr>
                <w:sz w:val="20"/>
              </w:rPr>
            </w:pPr>
            <w:r>
              <w:rPr>
                <w:sz w:val="20"/>
              </w:rPr>
              <w:t>14.06</w:t>
            </w:r>
          </w:p>
        </w:tc>
        <w:tc>
          <w:tcPr>
            <w:tcW w:w="6170" w:type="dxa"/>
            <w:tcBorders/>
            <w:vAlign w:val="center"/>
          </w:tcPr>
          <w:p>
            <w:pPr>
              <w:pStyle w:val="TableContents"/>
              <w:bidi w:val="0"/>
              <w:spacing w:before="0" w:after="283"/>
              <w:jc w:val="left"/>
              <w:rPr>
                <w:sz w:val="20"/>
              </w:rPr>
            </w:pPr>
            <w:r>
              <w:rPr>
                <w:sz w:val="20"/>
              </w:rPr>
              <w:t>Survival</w:t>
            </w:r>
          </w:p>
        </w:tc>
        <w:tc>
          <w:tcPr>
            <w:tcW w:w="1010" w:type="dxa"/>
            <w:tcBorders/>
            <w:vAlign w:val="center"/>
          </w:tcPr>
          <w:p>
            <w:pPr>
              <w:pStyle w:val="TableContents"/>
              <w:bidi w:val="0"/>
              <w:spacing w:before="0" w:after="283"/>
              <w:jc w:val="right"/>
              <w:rPr/>
            </w:pPr>
            <w:r>
              <w:rPr>
                <w:strike/>
                <w:color w:val="FF0000"/>
                <w:sz w:val="20"/>
              </w:rPr>
              <w:t>119</w:t>
            </w:r>
            <w:r>
              <w:rPr>
                <w:color w:val="0000FF"/>
                <w:u w:val="single"/>
              </w:rPr>
              <w:t>123</w:t>
            </w:r>
          </w:p>
        </w:tc>
      </w:tr>
      <w:tr>
        <w:trPr/>
        <w:tc>
          <w:tcPr>
            <w:tcW w:w="500" w:type="dxa"/>
            <w:tcBorders/>
            <w:vAlign w:val="center"/>
          </w:tcPr>
          <w:p>
            <w:pPr>
              <w:pStyle w:val="TableContents"/>
              <w:bidi w:val="0"/>
              <w:spacing w:before="0" w:after="283"/>
              <w:jc w:val="left"/>
              <w:rPr>
                <w:sz w:val="20"/>
              </w:rPr>
            </w:pPr>
            <w:r>
              <w:rPr>
                <w:sz w:val="20"/>
              </w:rPr>
              <w:t>14.07</w:t>
            </w:r>
          </w:p>
        </w:tc>
        <w:tc>
          <w:tcPr>
            <w:tcW w:w="6170" w:type="dxa"/>
            <w:tcBorders/>
            <w:vAlign w:val="center"/>
          </w:tcPr>
          <w:p>
            <w:pPr>
              <w:pStyle w:val="TableContents"/>
              <w:bidi w:val="0"/>
              <w:spacing w:before="0" w:after="283"/>
              <w:jc w:val="left"/>
              <w:rPr>
                <w:sz w:val="20"/>
              </w:rPr>
            </w:pPr>
            <w:r>
              <w:rPr>
                <w:sz w:val="20"/>
              </w:rPr>
              <w:t>Captions</w:t>
            </w:r>
          </w:p>
        </w:tc>
        <w:tc>
          <w:tcPr>
            <w:tcW w:w="1010" w:type="dxa"/>
            <w:tcBorders/>
            <w:vAlign w:val="center"/>
          </w:tcPr>
          <w:p>
            <w:pPr>
              <w:pStyle w:val="TableContents"/>
              <w:bidi w:val="0"/>
              <w:spacing w:before="0" w:after="283"/>
              <w:jc w:val="right"/>
              <w:rPr/>
            </w:pPr>
            <w:r>
              <w:rPr>
                <w:strike/>
                <w:color w:val="FF0000"/>
                <w:sz w:val="20"/>
              </w:rPr>
              <w:t>120</w:t>
            </w:r>
            <w:r>
              <w:rPr>
                <w:color w:val="0000FF"/>
                <w:u w:val="single"/>
              </w:rPr>
              <w:t>123</w:t>
            </w:r>
          </w:p>
        </w:tc>
      </w:tr>
      <w:tr>
        <w:trPr/>
        <w:tc>
          <w:tcPr>
            <w:tcW w:w="500" w:type="dxa"/>
            <w:tcBorders/>
            <w:vAlign w:val="center"/>
          </w:tcPr>
          <w:p>
            <w:pPr>
              <w:pStyle w:val="TableContents"/>
              <w:bidi w:val="0"/>
              <w:spacing w:before="0" w:after="283"/>
              <w:jc w:val="left"/>
              <w:rPr>
                <w:sz w:val="20"/>
              </w:rPr>
            </w:pPr>
            <w:r>
              <w:rPr>
                <w:sz w:val="20"/>
              </w:rPr>
              <w:t>14.08</w:t>
            </w:r>
          </w:p>
        </w:tc>
        <w:tc>
          <w:tcPr>
            <w:tcW w:w="6170" w:type="dxa"/>
            <w:tcBorders/>
            <w:vAlign w:val="center"/>
          </w:tcPr>
          <w:p>
            <w:pPr>
              <w:pStyle w:val="TableContents"/>
              <w:bidi w:val="0"/>
              <w:spacing w:before="0" w:after="283"/>
              <w:jc w:val="left"/>
              <w:rPr>
                <w:sz w:val="20"/>
              </w:rPr>
            </w:pPr>
            <w:r>
              <w:rPr>
                <w:sz w:val="20"/>
              </w:rPr>
              <w:t>Counterparts, Effectiveness</w:t>
            </w:r>
          </w:p>
        </w:tc>
        <w:tc>
          <w:tcPr>
            <w:tcW w:w="1010" w:type="dxa"/>
            <w:tcBorders/>
            <w:vAlign w:val="center"/>
          </w:tcPr>
          <w:p>
            <w:pPr>
              <w:pStyle w:val="TableContents"/>
              <w:bidi w:val="0"/>
              <w:spacing w:before="0" w:after="283"/>
              <w:jc w:val="right"/>
              <w:rPr/>
            </w:pPr>
            <w:r>
              <w:rPr>
                <w:strike/>
                <w:color w:val="FF0000"/>
                <w:sz w:val="20"/>
              </w:rPr>
              <w:t>120</w:t>
            </w:r>
            <w:r>
              <w:rPr>
                <w:color w:val="0000FF"/>
                <w:u w:val="single"/>
              </w:rPr>
              <w:t>123</w:t>
            </w:r>
          </w:p>
        </w:tc>
      </w:tr>
      <w:tr>
        <w:trPr/>
        <w:tc>
          <w:tcPr>
            <w:tcW w:w="500" w:type="dxa"/>
            <w:tcBorders/>
            <w:vAlign w:val="center"/>
          </w:tcPr>
          <w:p>
            <w:pPr>
              <w:pStyle w:val="TableContents"/>
              <w:bidi w:val="0"/>
              <w:spacing w:before="0" w:after="283"/>
              <w:jc w:val="left"/>
              <w:rPr>
                <w:sz w:val="20"/>
              </w:rPr>
            </w:pPr>
            <w:r>
              <w:rPr>
                <w:sz w:val="20"/>
              </w:rPr>
              <w:t>14.09</w:t>
            </w:r>
          </w:p>
        </w:tc>
        <w:tc>
          <w:tcPr>
            <w:tcW w:w="6170" w:type="dxa"/>
            <w:tcBorders/>
            <w:vAlign w:val="center"/>
          </w:tcPr>
          <w:p>
            <w:pPr>
              <w:pStyle w:val="TableContents"/>
              <w:bidi w:val="0"/>
              <w:spacing w:before="0" w:after="283"/>
              <w:jc w:val="left"/>
              <w:rPr>
                <w:sz w:val="20"/>
              </w:rPr>
            </w:pPr>
            <w:r>
              <w:rPr>
                <w:sz w:val="20"/>
              </w:rPr>
              <w:t>Governing Law</w:t>
            </w:r>
          </w:p>
        </w:tc>
        <w:tc>
          <w:tcPr>
            <w:tcW w:w="1010" w:type="dxa"/>
            <w:tcBorders/>
            <w:vAlign w:val="center"/>
          </w:tcPr>
          <w:p>
            <w:pPr>
              <w:pStyle w:val="TableContents"/>
              <w:bidi w:val="0"/>
              <w:spacing w:before="0" w:after="283"/>
              <w:jc w:val="right"/>
              <w:rPr/>
            </w:pPr>
            <w:r>
              <w:rPr>
                <w:strike/>
                <w:color w:val="FF0000"/>
                <w:sz w:val="20"/>
              </w:rPr>
              <w:t>120</w:t>
            </w:r>
            <w:r>
              <w:rPr>
                <w:color w:val="0000FF"/>
                <w:u w:val="single"/>
              </w:rPr>
              <w:t>124</w:t>
            </w:r>
          </w:p>
        </w:tc>
      </w:tr>
      <w:tr>
        <w:trPr/>
        <w:tc>
          <w:tcPr>
            <w:tcW w:w="500" w:type="dxa"/>
            <w:tcBorders/>
            <w:vAlign w:val="center"/>
          </w:tcPr>
          <w:p>
            <w:pPr>
              <w:pStyle w:val="TableContents"/>
              <w:bidi w:val="0"/>
              <w:spacing w:before="0" w:after="283"/>
              <w:jc w:val="left"/>
              <w:rPr>
                <w:sz w:val="20"/>
              </w:rPr>
            </w:pPr>
            <w:r>
              <w:rPr>
                <w:sz w:val="20"/>
              </w:rPr>
              <w:t>14.10</w:t>
            </w:r>
          </w:p>
        </w:tc>
        <w:tc>
          <w:tcPr>
            <w:tcW w:w="6170" w:type="dxa"/>
            <w:tcBorders/>
            <w:vAlign w:val="center"/>
          </w:tcPr>
          <w:p>
            <w:pPr>
              <w:pStyle w:val="TableContents"/>
              <w:bidi w:val="0"/>
              <w:spacing w:before="0" w:after="283"/>
              <w:jc w:val="left"/>
              <w:rPr>
                <w:sz w:val="20"/>
              </w:rPr>
            </w:pPr>
            <w:r>
              <w:rPr>
                <w:sz w:val="20"/>
              </w:rPr>
              <w:t>Jurisdiction, Service of Process and Venue</w:t>
            </w:r>
          </w:p>
        </w:tc>
        <w:tc>
          <w:tcPr>
            <w:tcW w:w="1010" w:type="dxa"/>
            <w:tcBorders/>
            <w:vAlign w:val="center"/>
          </w:tcPr>
          <w:p>
            <w:pPr>
              <w:pStyle w:val="TableContents"/>
              <w:bidi w:val="0"/>
              <w:spacing w:before="0" w:after="283"/>
              <w:jc w:val="right"/>
              <w:rPr/>
            </w:pPr>
            <w:r>
              <w:rPr>
                <w:strike/>
                <w:color w:val="FF0000"/>
                <w:sz w:val="20"/>
              </w:rPr>
              <w:t>120</w:t>
            </w:r>
            <w:r>
              <w:rPr>
                <w:color w:val="0000FF"/>
                <w:u w:val="single"/>
              </w:rPr>
              <w:t>124</w:t>
            </w:r>
          </w:p>
        </w:tc>
      </w:tr>
      <w:tr>
        <w:trPr/>
        <w:tc>
          <w:tcPr>
            <w:tcW w:w="500" w:type="dxa"/>
            <w:tcBorders/>
            <w:vAlign w:val="center"/>
          </w:tcPr>
          <w:p>
            <w:pPr>
              <w:pStyle w:val="TableContents"/>
              <w:bidi w:val="0"/>
              <w:spacing w:before="0" w:after="283"/>
              <w:jc w:val="left"/>
              <w:rPr>
                <w:sz w:val="20"/>
              </w:rPr>
            </w:pPr>
            <w:r>
              <w:rPr>
                <w:sz w:val="20"/>
              </w:rPr>
              <w:t>14.11</w:t>
            </w:r>
          </w:p>
        </w:tc>
        <w:tc>
          <w:tcPr>
            <w:tcW w:w="6170" w:type="dxa"/>
            <w:tcBorders/>
            <w:vAlign w:val="center"/>
          </w:tcPr>
          <w:p>
            <w:pPr>
              <w:pStyle w:val="TableContents"/>
              <w:bidi w:val="0"/>
              <w:spacing w:before="0" w:after="283"/>
              <w:jc w:val="left"/>
              <w:rPr>
                <w:sz w:val="20"/>
              </w:rPr>
            </w:pPr>
            <w:r>
              <w:rPr>
                <w:sz w:val="20"/>
              </w:rPr>
              <w:t>Waiver of Jury Trial</w:t>
            </w:r>
          </w:p>
        </w:tc>
        <w:tc>
          <w:tcPr>
            <w:tcW w:w="1010" w:type="dxa"/>
            <w:tcBorders/>
            <w:vAlign w:val="center"/>
          </w:tcPr>
          <w:p>
            <w:pPr>
              <w:pStyle w:val="TableContents"/>
              <w:bidi w:val="0"/>
              <w:spacing w:before="0" w:after="283"/>
              <w:jc w:val="right"/>
              <w:rPr/>
            </w:pPr>
            <w:r>
              <w:rPr>
                <w:strike/>
                <w:color w:val="FF0000"/>
                <w:sz w:val="20"/>
              </w:rPr>
              <w:t>121</w:t>
            </w:r>
            <w:r>
              <w:rPr>
                <w:color w:val="0000FF"/>
                <w:u w:val="single"/>
              </w:rPr>
              <w:t>124</w:t>
            </w:r>
          </w:p>
        </w:tc>
      </w:tr>
      <w:tr>
        <w:trPr/>
        <w:tc>
          <w:tcPr>
            <w:tcW w:w="500" w:type="dxa"/>
            <w:tcBorders/>
            <w:vAlign w:val="center"/>
          </w:tcPr>
          <w:p>
            <w:pPr>
              <w:pStyle w:val="TableContents"/>
              <w:bidi w:val="0"/>
              <w:spacing w:before="0" w:after="283"/>
              <w:jc w:val="left"/>
              <w:rPr>
                <w:sz w:val="20"/>
              </w:rPr>
            </w:pPr>
            <w:r>
              <w:rPr>
                <w:sz w:val="20"/>
              </w:rPr>
              <w:t>14.12</w:t>
            </w:r>
          </w:p>
        </w:tc>
        <w:tc>
          <w:tcPr>
            <w:tcW w:w="6170" w:type="dxa"/>
            <w:tcBorders/>
            <w:vAlign w:val="center"/>
          </w:tcPr>
          <w:p>
            <w:pPr>
              <w:pStyle w:val="TableContents"/>
              <w:bidi w:val="0"/>
              <w:spacing w:before="0" w:after="283"/>
              <w:jc w:val="left"/>
              <w:rPr>
                <w:sz w:val="20"/>
              </w:rPr>
            </w:pPr>
            <w:r>
              <w:rPr>
                <w:sz w:val="20"/>
              </w:rPr>
              <w:t>Waiver of Immunity</w:t>
            </w:r>
          </w:p>
        </w:tc>
        <w:tc>
          <w:tcPr>
            <w:tcW w:w="1010" w:type="dxa"/>
            <w:tcBorders/>
            <w:vAlign w:val="center"/>
          </w:tcPr>
          <w:p>
            <w:pPr>
              <w:pStyle w:val="TableContents"/>
              <w:bidi w:val="0"/>
              <w:spacing w:before="0" w:after="283"/>
              <w:jc w:val="right"/>
              <w:rPr/>
            </w:pPr>
            <w:r>
              <w:rPr>
                <w:strike/>
                <w:color w:val="FF0000"/>
                <w:sz w:val="20"/>
              </w:rPr>
              <w:t>121</w:t>
            </w:r>
            <w:r>
              <w:rPr>
                <w:color w:val="0000FF"/>
                <w:u w:val="single"/>
              </w:rPr>
              <w:t>124</w:t>
            </w:r>
          </w:p>
        </w:tc>
      </w:tr>
      <w:tr>
        <w:trPr/>
        <w:tc>
          <w:tcPr>
            <w:tcW w:w="500" w:type="dxa"/>
            <w:tcBorders/>
            <w:vAlign w:val="center"/>
          </w:tcPr>
          <w:p>
            <w:pPr>
              <w:pStyle w:val="TableContents"/>
              <w:bidi w:val="0"/>
              <w:spacing w:before="0" w:after="283"/>
              <w:jc w:val="left"/>
              <w:rPr>
                <w:sz w:val="20"/>
              </w:rPr>
            </w:pPr>
            <w:r>
              <w:rPr>
                <w:sz w:val="20"/>
              </w:rPr>
              <w:t>14.13</w:t>
            </w:r>
          </w:p>
        </w:tc>
        <w:tc>
          <w:tcPr>
            <w:tcW w:w="6170" w:type="dxa"/>
            <w:tcBorders/>
            <w:vAlign w:val="center"/>
          </w:tcPr>
          <w:p>
            <w:pPr>
              <w:pStyle w:val="TableContents"/>
              <w:bidi w:val="0"/>
              <w:spacing w:before="0" w:after="283"/>
              <w:jc w:val="left"/>
              <w:rPr>
                <w:sz w:val="20"/>
              </w:rPr>
            </w:pPr>
            <w:r>
              <w:rPr>
                <w:sz w:val="20"/>
              </w:rPr>
              <w:t>Entire Agreement</w:t>
            </w:r>
          </w:p>
        </w:tc>
        <w:tc>
          <w:tcPr>
            <w:tcW w:w="1010" w:type="dxa"/>
            <w:tcBorders/>
            <w:vAlign w:val="center"/>
          </w:tcPr>
          <w:p>
            <w:pPr>
              <w:pStyle w:val="TableContents"/>
              <w:bidi w:val="0"/>
              <w:spacing w:before="0" w:after="283"/>
              <w:jc w:val="right"/>
              <w:rPr/>
            </w:pPr>
            <w:r>
              <w:rPr>
                <w:strike/>
                <w:color w:val="FF0000"/>
                <w:sz w:val="20"/>
              </w:rPr>
              <w:t>121</w:t>
            </w:r>
            <w:r>
              <w:rPr>
                <w:color w:val="0000FF"/>
                <w:u w:val="single"/>
              </w:rPr>
              <w:t>125</w:t>
            </w:r>
          </w:p>
        </w:tc>
      </w:tr>
      <w:tr>
        <w:trPr/>
        <w:tc>
          <w:tcPr>
            <w:tcW w:w="500" w:type="dxa"/>
            <w:tcBorders/>
            <w:vAlign w:val="center"/>
          </w:tcPr>
          <w:p>
            <w:pPr>
              <w:pStyle w:val="TableContents"/>
              <w:bidi w:val="0"/>
              <w:spacing w:before="0" w:after="283"/>
              <w:jc w:val="left"/>
              <w:rPr>
                <w:sz w:val="20"/>
              </w:rPr>
            </w:pPr>
            <w:r>
              <w:rPr>
                <w:sz w:val="20"/>
              </w:rPr>
              <w:t>14.14</w:t>
            </w:r>
          </w:p>
        </w:tc>
        <w:tc>
          <w:tcPr>
            <w:tcW w:w="6170" w:type="dxa"/>
            <w:tcBorders/>
            <w:vAlign w:val="center"/>
          </w:tcPr>
          <w:p>
            <w:pPr>
              <w:pStyle w:val="TableContents"/>
              <w:bidi w:val="0"/>
              <w:spacing w:before="0" w:after="283"/>
              <w:jc w:val="left"/>
              <w:rPr>
                <w:sz w:val="20"/>
              </w:rPr>
            </w:pPr>
            <w:r>
              <w:rPr>
                <w:sz w:val="20"/>
              </w:rPr>
              <w:t>Severability</w:t>
            </w:r>
          </w:p>
        </w:tc>
        <w:tc>
          <w:tcPr>
            <w:tcW w:w="1010" w:type="dxa"/>
            <w:tcBorders/>
            <w:vAlign w:val="center"/>
          </w:tcPr>
          <w:p>
            <w:pPr>
              <w:pStyle w:val="TableContents"/>
              <w:bidi w:val="0"/>
              <w:spacing w:before="0" w:after="283"/>
              <w:jc w:val="right"/>
              <w:rPr/>
            </w:pPr>
            <w:r>
              <w:rPr>
                <w:strike/>
                <w:color w:val="FF0000"/>
                <w:sz w:val="20"/>
              </w:rPr>
              <w:t>121</w:t>
            </w:r>
            <w:r>
              <w:rPr>
                <w:color w:val="0000FF"/>
                <w:u w:val="single"/>
              </w:rPr>
              <w:t>125</w:t>
            </w:r>
          </w:p>
        </w:tc>
      </w:tr>
      <w:tr>
        <w:trPr/>
        <w:tc>
          <w:tcPr>
            <w:tcW w:w="500" w:type="dxa"/>
            <w:tcBorders/>
            <w:vAlign w:val="center"/>
          </w:tcPr>
          <w:p>
            <w:pPr>
              <w:pStyle w:val="TableContents"/>
              <w:bidi w:val="0"/>
              <w:spacing w:before="0" w:after="283"/>
              <w:jc w:val="left"/>
              <w:rPr>
                <w:sz w:val="20"/>
              </w:rPr>
            </w:pPr>
            <w:r>
              <w:rPr>
                <w:sz w:val="20"/>
              </w:rPr>
              <w:t>14.15</w:t>
            </w:r>
          </w:p>
        </w:tc>
        <w:tc>
          <w:tcPr>
            <w:tcW w:w="6170" w:type="dxa"/>
            <w:tcBorders/>
            <w:vAlign w:val="center"/>
          </w:tcPr>
          <w:p>
            <w:pPr>
              <w:pStyle w:val="TableContents"/>
              <w:bidi w:val="0"/>
              <w:spacing w:before="0" w:after="283"/>
              <w:jc w:val="left"/>
              <w:rPr>
                <w:sz w:val="20"/>
              </w:rPr>
            </w:pPr>
            <w:r>
              <w:rPr>
                <w:sz w:val="20"/>
              </w:rPr>
              <w:t>No Fiduciary Relationship</w:t>
            </w:r>
          </w:p>
        </w:tc>
        <w:tc>
          <w:tcPr>
            <w:tcW w:w="1010" w:type="dxa"/>
            <w:tcBorders/>
            <w:vAlign w:val="center"/>
          </w:tcPr>
          <w:p>
            <w:pPr>
              <w:pStyle w:val="TableContents"/>
              <w:bidi w:val="0"/>
              <w:spacing w:before="0" w:after="283"/>
              <w:jc w:val="right"/>
              <w:rPr/>
            </w:pPr>
            <w:r>
              <w:rPr>
                <w:strike/>
                <w:color w:val="FF0000"/>
                <w:sz w:val="20"/>
              </w:rPr>
              <w:t>121</w:t>
            </w:r>
            <w:r>
              <w:rPr>
                <w:color w:val="0000FF"/>
                <w:u w:val="single"/>
              </w:rPr>
              <w:t>125</w:t>
            </w:r>
          </w:p>
        </w:tc>
      </w:tr>
      <w:tr>
        <w:trPr/>
        <w:tc>
          <w:tcPr>
            <w:tcW w:w="500" w:type="dxa"/>
            <w:tcBorders/>
            <w:vAlign w:val="center"/>
          </w:tcPr>
          <w:p>
            <w:pPr>
              <w:pStyle w:val="TableContents"/>
              <w:bidi w:val="0"/>
              <w:spacing w:before="0" w:after="283"/>
              <w:jc w:val="left"/>
              <w:rPr>
                <w:sz w:val="20"/>
              </w:rPr>
            </w:pPr>
            <w:r>
              <w:rPr>
                <w:sz w:val="20"/>
              </w:rPr>
              <w:t>14.16</w:t>
            </w:r>
          </w:p>
        </w:tc>
        <w:tc>
          <w:tcPr>
            <w:tcW w:w="6170" w:type="dxa"/>
            <w:tcBorders/>
            <w:vAlign w:val="center"/>
          </w:tcPr>
          <w:p>
            <w:pPr>
              <w:pStyle w:val="TableContents"/>
              <w:bidi w:val="0"/>
              <w:spacing w:before="0" w:after="283"/>
              <w:jc w:val="left"/>
              <w:rPr>
                <w:sz w:val="20"/>
              </w:rPr>
            </w:pPr>
            <w:r>
              <w:rPr>
                <w:sz w:val="20"/>
              </w:rPr>
              <w:t>Confidentiality</w:t>
            </w:r>
          </w:p>
        </w:tc>
        <w:tc>
          <w:tcPr>
            <w:tcW w:w="1010" w:type="dxa"/>
            <w:tcBorders/>
            <w:vAlign w:val="center"/>
          </w:tcPr>
          <w:p>
            <w:pPr>
              <w:pStyle w:val="TableContents"/>
              <w:bidi w:val="0"/>
              <w:spacing w:before="0" w:after="283"/>
              <w:jc w:val="right"/>
              <w:rPr/>
            </w:pPr>
            <w:r>
              <w:rPr>
                <w:strike/>
                <w:color w:val="FF0000"/>
                <w:sz w:val="20"/>
              </w:rPr>
              <w:t>121</w:t>
            </w:r>
            <w:r>
              <w:rPr>
                <w:color w:val="0000FF"/>
                <w:u w:val="single"/>
              </w:rPr>
              <w:t>125</w:t>
            </w:r>
          </w:p>
        </w:tc>
      </w:tr>
      <w:tr>
        <w:trPr/>
        <w:tc>
          <w:tcPr>
            <w:tcW w:w="500" w:type="dxa"/>
            <w:tcBorders/>
            <w:vAlign w:val="center"/>
          </w:tcPr>
          <w:p>
            <w:pPr>
              <w:pStyle w:val="TableContents"/>
              <w:bidi w:val="0"/>
              <w:spacing w:before="0" w:after="283"/>
              <w:jc w:val="left"/>
              <w:rPr>
                <w:sz w:val="20"/>
              </w:rPr>
            </w:pPr>
            <w:r>
              <w:rPr>
                <w:sz w:val="20"/>
              </w:rPr>
              <w:t>14.17</w:t>
            </w:r>
          </w:p>
        </w:tc>
        <w:tc>
          <w:tcPr>
            <w:tcW w:w="6170" w:type="dxa"/>
            <w:tcBorders/>
            <w:vAlign w:val="center"/>
          </w:tcPr>
          <w:p>
            <w:pPr>
              <w:pStyle w:val="TableContents"/>
              <w:bidi w:val="0"/>
              <w:spacing w:before="0" w:after="283"/>
              <w:jc w:val="left"/>
              <w:rPr>
                <w:sz w:val="20"/>
              </w:rPr>
            </w:pPr>
            <w:r>
              <w:rPr>
                <w:sz w:val="20"/>
              </w:rPr>
              <w:t>Interest Rate Limitation</w:t>
            </w:r>
          </w:p>
        </w:tc>
        <w:tc>
          <w:tcPr>
            <w:tcW w:w="1010" w:type="dxa"/>
            <w:tcBorders/>
            <w:vAlign w:val="center"/>
          </w:tcPr>
          <w:p>
            <w:pPr>
              <w:pStyle w:val="TableContents"/>
              <w:bidi w:val="0"/>
              <w:spacing w:before="0" w:after="283"/>
              <w:jc w:val="right"/>
              <w:rPr/>
            </w:pPr>
            <w:r>
              <w:rPr>
                <w:strike/>
                <w:color w:val="FF0000"/>
                <w:sz w:val="20"/>
              </w:rPr>
              <w:t>122</w:t>
            </w:r>
            <w:r>
              <w:rPr>
                <w:color w:val="0000FF"/>
                <w:u w:val="single"/>
              </w:rPr>
              <w:t>126</w:t>
            </w:r>
          </w:p>
        </w:tc>
      </w:tr>
      <w:tr>
        <w:trPr/>
        <w:tc>
          <w:tcPr>
            <w:tcW w:w="500" w:type="dxa"/>
            <w:tcBorders/>
            <w:vAlign w:val="center"/>
          </w:tcPr>
          <w:p>
            <w:pPr>
              <w:pStyle w:val="TableContents"/>
              <w:bidi w:val="0"/>
              <w:spacing w:before="0" w:after="283"/>
              <w:jc w:val="left"/>
              <w:rPr>
                <w:sz w:val="20"/>
              </w:rPr>
            </w:pPr>
            <w:r>
              <w:rPr>
                <w:sz w:val="20"/>
              </w:rPr>
              <w:t>14.18</w:t>
            </w:r>
          </w:p>
        </w:tc>
        <w:tc>
          <w:tcPr>
            <w:tcW w:w="6170" w:type="dxa"/>
            <w:tcBorders/>
            <w:vAlign w:val="center"/>
          </w:tcPr>
          <w:p>
            <w:pPr>
              <w:pStyle w:val="TableContents"/>
              <w:bidi w:val="0"/>
              <w:spacing w:before="0" w:after="283"/>
              <w:jc w:val="left"/>
              <w:rPr>
                <w:sz w:val="20"/>
              </w:rPr>
            </w:pPr>
            <w:r>
              <w:rPr>
                <w:sz w:val="20"/>
              </w:rPr>
              <w:t>Judgment Currency</w:t>
            </w:r>
          </w:p>
        </w:tc>
        <w:tc>
          <w:tcPr>
            <w:tcW w:w="1010" w:type="dxa"/>
            <w:tcBorders/>
            <w:vAlign w:val="center"/>
          </w:tcPr>
          <w:p>
            <w:pPr>
              <w:pStyle w:val="TableContents"/>
              <w:bidi w:val="0"/>
              <w:spacing w:before="0" w:after="283"/>
              <w:jc w:val="right"/>
              <w:rPr/>
            </w:pPr>
            <w:r>
              <w:rPr>
                <w:strike/>
                <w:color w:val="FF0000"/>
                <w:sz w:val="20"/>
              </w:rPr>
              <w:t>122</w:t>
            </w:r>
            <w:r>
              <w:rPr>
                <w:color w:val="0000FF"/>
                <w:u w:val="single"/>
              </w:rPr>
              <w:t>126</w:t>
            </w:r>
          </w:p>
        </w:tc>
      </w:tr>
      <w:tr>
        <w:trPr/>
        <w:tc>
          <w:tcPr>
            <w:tcW w:w="500" w:type="dxa"/>
            <w:tcBorders/>
            <w:vAlign w:val="center"/>
          </w:tcPr>
          <w:p>
            <w:pPr>
              <w:pStyle w:val="TableContents"/>
              <w:bidi w:val="0"/>
              <w:spacing w:before="0" w:after="283"/>
              <w:jc w:val="left"/>
              <w:rPr>
                <w:sz w:val="20"/>
              </w:rPr>
            </w:pPr>
            <w:r>
              <w:rPr>
                <w:sz w:val="20"/>
              </w:rPr>
              <w:t>14.19</w:t>
            </w:r>
          </w:p>
        </w:tc>
        <w:tc>
          <w:tcPr>
            <w:tcW w:w="6170" w:type="dxa"/>
            <w:tcBorders/>
            <w:vAlign w:val="center"/>
          </w:tcPr>
          <w:p>
            <w:pPr>
              <w:pStyle w:val="TableContents"/>
              <w:bidi w:val="0"/>
              <w:spacing w:before="0" w:after="283"/>
              <w:jc w:val="left"/>
              <w:rPr>
                <w:sz w:val="20"/>
              </w:rPr>
            </w:pPr>
            <w:r>
              <w:rPr>
                <w:sz w:val="20"/>
              </w:rPr>
              <w:t>USA PATRIOT Act</w:t>
            </w:r>
          </w:p>
        </w:tc>
        <w:tc>
          <w:tcPr>
            <w:tcW w:w="1010" w:type="dxa"/>
            <w:tcBorders/>
            <w:vAlign w:val="center"/>
          </w:tcPr>
          <w:p>
            <w:pPr>
              <w:pStyle w:val="TableContents"/>
              <w:bidi w:val="0"/>
              <w:spacing w:before="0" w:after="283"/>
              <w:jc w:val="right"/>
              <w:rPr/>
            </w:pPr>
            <w:r>
              <w:rPr>
                <w:strike/>
                <w:color w:val="FF0000"/>
                <w:sz w:val="20"/>
              </w:rPr>
              <w:t>123</w:t>
            </w:r>
            <w:r>
              <w:rPr>
                <w:color w:val="0000FF"/>
                <w:u w:val="single"/>
              </w:rPr>
              <w:t>127</w:t>
            </w:r>
          </w:p>
        </w:tc>
      </w:tr>
      <w:tr>
        <w:trPr/>
        <w:tc>
          <w:tcPr>
            <w:tcW w:w="500" w:type="dxa"/>
            <w:tcBorders/>
            <w:vAlign w:val="center"/>
          </w:tcPr>
          <w:p>
            <w:pPr>
              <w:pStyle w:val="TableContents"/>
              <w:bidi w:val="0"/>
              <w:spacing w:before="0" w:after="283"/>
              <w:jc w:val="left"/>
              <w:rPr>
                <w:sz w:val="20"/>
              </w:rPr>
            </w:pPr>
            <w:r>
              <w:rPr>
                <w:sz w:val="20"/>
              </w:rPr>
              <w:t>14.20</w:t>
            </w:r>
          </w:p>
        </w:tc>
        <w:tc>
          <w:tcPr>
            <w:tcW w:w="6170" w:type="dxa"/>
            <w:tcBorders/>
            <w:vAlign w:val="center"/>
          </w:tcPr>
          <w:p>
            <w:pPr>
              <w:pStyle w:val="TableContents"/>
              <w:bidi w:val="0"/>
              <w:spacing w:before="0" w:after="283"/>
              <w:jc w:val="left"/>
              <w:rPr>
                <w:sz w:val="20"/>
              </w:rPr>
            </w:pPr>
            <w:r>
              <w:rPr>
                <w:sz w:val="20"/>
              </w:rPr>
              <w:t>Acknowledgement and Consent to Bail-In of Affected Financial Institutions</w:t>
            </w:r>
          </w:p>
        </w:tc>
        <w:tc>
          <w:tcPr>
            <w:tcW w:w="1010" w:type="dxa"/>
            <w:tcBorders/>
            <w:vAlign w:val="center"/>
          </w:tcPr>
          <w:p>
            <w:pPr>
              <w:pStyle w:val="TableContents"/>
              <w:bidi w:val="0"/>
              <w:spacing w:before="0" w:after="283"/>
              <w:jc w:val="right"/>
              <w:rPr/>
            </w:pPr>
            <w:r>
              <w:rPr>
                <w:strike/>
                <w:color w:val="FF0000"/>
                <w:sz w:val="20"/>
              </w:rPr>
              <w:t>123</w:t>
            </w:r>
            <w:r>
              <w:rPr>
                <w:color w:val="0000FF"/>
                <w:u w:val="single"/>
              </w:rPr>
              <w:t>127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0"/>
        <w:gridCol w:w="80"/>
        <w:gridCol w:w="8815"/>
      </w:tblGrid>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Schedule</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3</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4</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7.05(b)</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Intellectual Property</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7.06(b)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815" w:type="dxa"/>
            <w:tcBorders/>
            <w:vAlign w:val="center"/>
          </w:tcPr>
          <w:p>
            <w:pPr>
              <w:pStyle w:val="TableContents"/>
              <w:bidi w:val="0"/>
              <w:spacing w:before="0" w:after="283"/>
              <w:jc w:val="left"/>
              <w:rPr>
                <w:sz w:val="20"/>
              </w:rPr>
            </w:pPr>
            <w:r>
              <w:rPr>
                <w:sz w:val="20"/>
              </w:rPr>
              <w:t>Environmental Matters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7.08</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Subsidiaries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7.13(a)</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Indebtedness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7.13(b)</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Liens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815" w:type="dxa"/>
            <w:tcBorders/>
            <w:vAlign w:val="center"/>
          </w:tcPr>
          <w:p>
            <w:pPr>
              <w:pStyle w:val="TableContents"/>
              <w:bidi w:val="0"/>
              <w:spacing w:before="0" w:after="283"/>
              <w:jc w:val="left"/>
              <w:rPr>
                <w:sz w:val="20"/>
              </w:rPr>
            </w:pPr>
            <w:r>
              <w:rPr>
                <w:sz w:val="20"/>
              </w:rPr>
              <w:t>Material Agreements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7.15</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Agreements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Property Owned or Leased by Obligors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7.17</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Matters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7.18(c)</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Findings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7.19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7.24</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 and Other Payments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9.05</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Investments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9.09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Assets</w:t>
            </w:r>
          </w:p>
        </w:tc>
      </w:tr>
      <w:tr>
        <w:trPr/>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881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Borrowing Notice</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Guarantee Assumption Agreement</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D-1</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Lenders That Are Not Partnerships For U.S. Federal Income Tax Purposes)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Participants That Are Not Partnerships For U.S. Federal Income Tax Purposes)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D-3</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Participants That Are Partnerships For U.S. Federal Income Tax Purposes)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D-4</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 (For Foreign Lenders That Are Partnerships For U.S. Federal Income Tax Purposes)</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Assumption</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Landlord Consent</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Intercompany Subordination Agreement</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J-1</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Company Warrant</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701 Warrant</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K</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Solvency Certificate</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Funding Date Certificate</w:t>
            </w:r>
          </w:p>
        </w:tc>
      </w:tr>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M</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Tranche D Revenue Condition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-vii-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CREDIT AGREEMENT AND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 AGREEMENT AND GUARANTY, dated as of April 19, 2022, and amended as of November 13, 2023, December 5, 2023, February 12, 2024, March 20, 2024, November 21, 2024, March 4, 2025, March 12, 2025, April 22, 2025, March 27, 2026, July 3, 2026, July 31, 2026, August 10, 2026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August 21, </w:t>
      </w:r>
      <w:r>
        <w:rPr>
          <w:rFonts w:ascii="Times New Roman;Times;Serif" w:hAnsi="Times New Roman;Times;Serif"/>
          <w:b w:val="false"/>
          <w:i w:val="false"/>
          <w:caps w:val="false"/>
          <w:smallCaps w:val="false"/>
          <w:color w:val="0000FF"/>
          <w:sz w:val="20"/>
          <w:u w:val="single"/>
        </w:rPr>
        <w:t xml:space="preserve">2026 and August 24, </w:t>
      </w:r>
      <w:r>
        <w:rPr>
          <w:rFonts w:ascii="Times New Roman;Times;Serif" w:hAnsi="Times New Roman;Times;Serif"/>
          <w:b w:val="false"/>
          <w:i w:val="false"/>
          <w:caps w:val="false"/>
          <w:smallCaps w:val="false"/>
          <w:sz w:val="20"/>
        </w:rPr>
        <w:t>2026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among </w:t>
      </w:r>
      <w:r>
        <w:rPr>
          <w:rFonts w:ascii="Times New Roman;Times;Serif" w:hAnsi="Times New Roman;Times;Serif"/>
          <w:b/>
          <w:i w:val="false"/>
          <w:caps w:val="false"/>
          <w:smallCaps w:val="false"/>
          <w:sz w:val="20"/>
        </w:rPr>
        <w:t>BIOXCEL THERAPEUTICS,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certain Subsidiaries of the Borrower that may be required to provide Guarantees from time to time hereunder (each a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Guarantors</w:t>
      </w:r>
      <w:r>
        <w:rPr>
          <w:rFonts w:ascii="Times New Roman;Times;Serif" w:hAnsi="Times New Roman;Times;Serif"/>
          <w:b w:val="false"/>
          <w:i w:val="false"/>
          <w:caps w:val="false"/>
          <w:smallCaps w:val="false"/>
          <w:sz w:val="20"/>
        </w:rPr>
        <w:t>”), the lenders from time to time party hereto (each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OAKTREE FUND ADMINISTRATION, LLC</w:t>
      </w:r>
      <w:r>
        <w:rPr>
          <w:rFonts w:ascii="Times New Roman;Times;Serif" w:hAnsi="Times New Roman;Times;Serif"/>
          <w:b w:val="false"/>
          <w:i w:val="false"/>
          <w:caps w:val="false"/>
          <w:smallCaps w:val="false"/>
          <w:sz w:val="20"/>
        </w:rPr>
        <w:t>, as administrative agent for the Lenders (in such capacity,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the Lenders provide a first-lien term loan facility to the Borrower in an aggregate principal amount of $</w:t>
      </w:r>
      <w:r>
        <w:rPr>
          <w:rFonts w:ascii="Times New Roman;Times;Serif" w:hAnsi="Times New Roman;Times;Serif"/>
          <w:b w:val="false"/>
          <w:i w:val="false"/>
          <w:caps w:val="false"/>
          <w:smallCaps w:val="false"/>
          <w:strike/>
          <w:color w:val="FF0000"/>
          <w:sz w:val="20"/>
        </w:rPr>
        <w:t>202,319,447</w:t>
      </w:r>
      <w:r>
        <w:rPr>
          <w:rFonts w:ascii="Times New Roman;Times;Serif" w:hAnsi="Times New Roman;Times;Serif"/>
          <w:b w:val="false"/>
          <w:i w:val="false"/>
          <w:caps w:val="false"/>
          <w:smallCaps w:val="false"/>
          <w:color w:val="0000FF"/>
          <w:sz w:val="20"/>
          <w:u w:val="single"/>
        </w:rPr>
        <w:t>203,569,447</w:t>
      </w:r>
      <w:r>
        <w:rPr>
          <w:rFonts w:ascii="Times New Roman;Times;Serif" w:hAnsi="Times New Roman;Times;Serif"/>
          <w:b w:val="false"/>
          <w:i w:val="false"/>
          <w:caps w:val="false"/>
          <w:smallCaps w:val="false"/>
          <w:sz w:val="20"/>
        </w:rPr>
        <w:t xml:space="preserve">, consisting of (a) a $72,319,447 Tranche A-1 Term Loan extended on the Closing Date, (b) a $30,000,000 Tranche A-2 Term Loan extended on the Second Amendment Effective Date, (c) a $20,000,000 Tranche B Term Loan to be extended on the Applicable Funding Date for the Tranche B Term Loan, (d) a $30,000,000 Tranche C Term Loan to be extended on the Applicable Funding Date for the Tranche C Term Loan,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d</w:t>
      </w: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sz w:val="20"/>
        </w:rPr>
        <w:t xml:space="preserve">) a $50,000,000 Tranche D Term Loan to be extended on the Applicable Funding Date for the Tranche D Term Loan </w:t>
      </w:r>
      <w:r>
        <w:rPr>
          <w:rFonts w:ascii="Times New Roman;Times;Serif" w:hAnsi="Times New Roman;Times;Serif"/>
          <w:b w:val="false"/>
          <w:i w:val="false"/>
          <w:caps w:val="false"/>
          <w:smallCaps w:val="false"/>
          <w:color w:val="0000FF"/>
          <w:sz w:val="20"/>
          <w:u w:val="single"/>
        </w:rPr>
        <w:t>and (f) a $1,250,000 Amendment No. 14 Term Loan extended on the Fourteenth Amendment Effective Date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are willing, on the terms and subject to the conditions set forth herein, to provide such senior secured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w:t>
      </w:r>
      <w:r>
        <w:rPr>
          <w:rFonts w:ascii="Times New Roman;Times;Serif" w:hAnsi="Times New Roman;Times;Serif"/>
          <w:b/>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Certain Defined Terms</w:t>
      </w:r>
      <w:r>
        <w:rPr>
          <w:rFonts w:ascii="Times New Roman;Times;Serif" w:hAnsi="Times New Roman;Times;Serif"/>
          <w:b w:val="false"/>
          <w:i w:val="false"/>
          <w:caps w:val="false"/>
          <w:smallCaps w:val="false"/>
          <w:sz w:val="20"/>
        </w:rPr>
        <w:t>. As used herein, the following terms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701 Warrant</w:t>
      </w:r>
      <w:r>
        <w:rPr>
          <w:rFonts w:ascii="Times New Roman;Times;Serif" w:hAnsi="Times New Roman;Times;Serif"/>
          <w:b w:val="false"/>
          <w:i w:val="false"/>
          <w:caps w:val="false"/>
          <w:smallCaps w:val="false"/>
          <w:sz w:val="20"/>
        </w:rPr>
        <w:t xml:space="preserve">” means any warrant delivered pursuant to </w:t>
      </w:r>
      <w:r>
        <w:rPr>
          <w:rFonts w:ascii="Times New Roman;Times;Serif" w:hAnsi="Times New Roman;Times;Serif"/>
          <w:b/>
          <w:i w:val="false"/>
          <w:caps w:val="false"/>
          <w:smallCaps w:val="false"/>
          <w:sz w:val="20"/>
        </w:rPr>
        <w:t>Section 6.02(h)</w:t>
      </w:r>
      <w:r>
        <w:rPr>
          <w:rFonts w:ascii="Times New Roman;Times;Serif" w:hAnsi="Times New Roman;Times;Serif"/>
          <w:b w:val="false"/>
          <w:i w:val="false"/>
          <w:caps w:val="false"/>
          <w:smallCaps w:val="false"/>
          <w:sz w:val="20"/>
        </w:rPr>
        <w:t xml:space="preserve">, evidenced by an instrument substantially in the form of </w:t>
      </w:r>
      <w:r>
        <w:rPr>
          <w:rFonts w:ascii="Times New Roman;Times;Serif" w:hAnsi="Times New Roman;Times;Serif"/>
          <w:b/>
          <w:i w:val="false"/>
          <w:caps w:val="false"/>
          <w:smallCaps w:val="false"/>
          <w:sz w:val="20"/>
        </w:rPr>
        <w:t>Exhibit J-2</w:t>
      </w:r>
      <w:r>
        <w:rPr>
          <w:rFonts w:ascii="Times New Roman;Times;Serif" w:hAnsi="Times New Roman;Times;Serif"/>
          <w:b w:val="false"/>
          <w:i w:val="false"/>
          <w:caps w:val="false"/>
          <w:smallCaps w:val="false"/>
          <w:sz w:val="20"/>
        </w:rPr>
        <w:t xml:space="preserve"> hereto, as amended, replaced or otherwise modified pursuant to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Account Control Agreement Completion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8.19(d)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Acquisition</w:t>
      </w:r>
      <w:r>
        <w:rPr>
          <w:rFonts w:ascii="Times New Roman;Times;Serif" w:hAnsi="Times New Roman;Times;Serif"/>
          <w:b w:val="false"/>
          <w:i w:val="false"/>
          <w:caps w:val="false"/>
          <w:smallCaps w:val="false"/>
          <w:sz w:val="20"/>
        </w:rPr>
        <w:t>” means any transaction, or any series of related transactions, by which any Person (for purposes of this definition, an “</w:t>
      </w:r>
      <w:r>
        <w:rPr>
          <w:rFonts w:ascii="Times New Roman;Times;Serif" w:hAnsi="Times New Roman;Times;Serif"/>
          <w:b/>
          <w:i/>
          <w:caps w:val="false"/>
          <w:smallCaps w:val="false"/>
          <w:sz w:val="20"/>
        </w:rPr>
        <w:t>acquirer</w:t>
      </w:r>
      <w:r>
        <w:rPr>
          <w:rFonts w:ascii="Times New Roman;Times;Serif" w:hAnsi="Times New Roman;Times;Serif"/>
          <w:b w:val="false"/>
          <w:i w:val="false"/>
          <w:caps w:val="false"/>
          <w:smallCaps w:val="false"/>
          <w:sz w:val="20"/>
        </w:rPr>
        <w:t>”) directly or indirectly, by means of amalgamation, consolidation, merger, purchase of assets, purchase of Equity Interests, or otherwise, (i) acquires all or substantially all of the assets of any other Person, (ii) acquires (including via licensing and in-licensing) an entire business line or unit or division of any other Person, (iii) with respect to any other Person that is managed or governed by a Board, acquires control of Equity Interests of such other Person representing more than fifty percent (50%) of the ordinary voting power (determined on a fully-diluted basis) for the election of directors of such Person’s Board, or (iv) acquires control of more than fifty percent (50%) of the Equity Interests in any other Person (determined on a fully-diluted basis) that is not managed by a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with respect to a specified Person, another Person that directly, or indirectly through one or more intermediaries, Controls or is Controlled by or is under common Control with the Person specified;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with respect to transfers by, or any other rights afforded to, the QIA Lender or any of its Affiliates, all references to “Affiliate” or “Affiliates” with respect to the QIA Lender shall include (i) Qatar Investment Authority and any individual, corporation, partnership, firm, joint venture, investment fund, association, trust, unincorporated association or organization, governmental body or other entity, which controls, is controlled by or is under common control with, the QIA Lender, and (ii) government entities or instrumentalities of, or entities that are wholly-owned or controlled by, the State of Qatar, the Amiri Diwan of the State of Qatar or any entities that are wholly-owned or controlled by any one or more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Amendment No. 14 Term Loans</w:t>
      </w:r>
      <w:r>
        <w:rPr>
          <w:rFonts w:ascii="Times New Roman;Times;Serif" w:hAnsi="Times New Roman;Times;Serif"/>
          <w:b w:val="false"/>
          <w:i w:val="false"/>
          <w:caps w:val="false"/>
          <w:smallCaps w:val="false"/>
          <w:color w:val="0000FF"/>
          <w:sz w:val="20"/>
          <w:u w:val="single"/>
        </w:rPr>
        <w:t xml:space="preserve">” has the meaning assigned to such term in </w:t>
      </w:r>
      <w:r>
        <w:rPr>
          <w:rFonts w:ascii="Times New Roman;Times;Serif" w:hAnsi="Times New Roman;Times;Serif"/>
          <w:b/>
          <w:i w:val="false"/>
          <w:caps w:val="false"/>
          <w:smallCaps w:val="false"/>
          <w:color w:val="0000FF"/>
          <w:sz w:val="20"/>
          <w:u w:val="single"/>
        </w:rPr>
        <w:t>Section 2.01(a)(vi)</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ANDA</w:t>
      </w:r>
      <w:r>
        <w:rPr>
          <w:rFonts w:ascii="Times New Roman;Times;Serif" w:hAnsi="Times New Roman;Times;Serif"/>
          <w:b w:val="false"/>
          <w:i w:val="false"/>
          <w:caps w:val="false"/>
          <w:smallCaps w:val="false"/>
          <w:sz w:val="20"/>
        </w:rPr>
        <w:t>” means (i) (x) an abbreviated new drug application (as defined in the FD&amp;C Act) and (y) any similar application or functional equivalent relating to any new drug application applicable to or required by any non-U.S. Governmental Authority, and (ii) all supplements and amendments that may be filed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Anti-Terrorism Laws</w:t>
      </w:r>
      <w:r>
        <w:rPr>
          <w:rFonts w:ascii="Times New Roman;Times;Serif" w:hAnsi="Times New Roman;Times;Serif"/>
          <w:b w:val="false"/>
          <w:i w:val="false"/>
          <w:caps w:val="false"/>
          <w:smallCaps w:val="false"/>
          <w:sz w:val="20"/>
        </w:rPr>
        <w:t>” means any laws relating to terrorism or money laundering, including (i) the Money Laundering Control Act of 1986 (e.g., 18 U.S.C. §§ 1956 and 1957), (ii) the Bank Secrecy Act of 1970 (e.g., 31 U.S.C. §§ 5311 – 5330), as amended by the Patriot Act, (iii) the laws, regulations and Executive Orders administered by the United States Department of the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or (vi) any similar laws enacted in the United States, European Union or any other jurisdictions in which the parties to this agreement operate, and all other present and future legal requirements of any Governmental Authority, including His Majesty’s Treasury, governing, addressing, relating to, or attempting to eliminate, terrorist acts and acts of war.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Applicable Availability Period</w:t>
      </w:r>
      <w:r>
        <w:rPr>
          <w:rFonts w:ascii="Times New Roman;Times;Serif" w:hAnsi="Times New Roman;Times;Serif"/>
          <w:b w:val="false"/>
          <w:i w:val="false"/>
          <w:caps w:val="false"/>
          <w:smallCaps w:val="false"/>
          <w:sz w:val="20"/>
        </w:rPr>
        <w:t>”, with respect to a tranche of Loans, has the meaning set forth in the Loans Schedule for such tranche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Applicable Funding Condition</w:t>
      </w:r>
      <w:r>
        <w:rPr>
          <w:rFonts w:ascii="Times New Roman;Times;Serif" w:hAnsi="Times New Roman;Times;Serif"/>
          <w:b w:val="false"/>
          <w:i w:val="false"/>
          <w:caps w:val="false"/>
          <w:smallCaps w:val="false"/>
          <w:sz w:val="20"/>
        </w:rPr>
        <w:t>”, with respect to a tranche of Loans, has the meaning set forth in the Loans Schedule for such tranche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Applicable Funding Date</w:t>
      </w:r>
      <w:r>
        <w:rPr>
          <w:rFonts w:ascii="Times New Roman;Times;Serif" w:hAnsi="Times New Roman;Times;Serif"/>
          <w:b w:val="false"/>
          <w:i w:val="false"/>
          <w:caps w:val="false"/>
          <w:smallCaps w:val="false"/>
          <w:sz w:val="20"/>
        </w:rPr>
        <w:t xml:space="preserve">”, with respect to a tranche of Loans, means the date during the Applicable Availability Period for such tranche of Loans on which all conditions precedent set forth in </w:t>
      </w:r>
      <w:r>
        <w:rPr>
          <w:rFonts w:ascii="Times New Roman;Times;Serif" w:hAnsi="Times New Roman;Times;Serif"/>
          <w:b/>
          <w:i w:val="false"/>
          <w:caps w:val="false"/>
          <w:smallCaps w:val="false"/>
          <w:sz w:val="20"/>
        </w:rPr>
        <w:t xml:space="preserve">Section 6.02 </w:t>
      </w:r>
      <w:r>
        <w:rPr>
          <w:rFonts w:ascii="Times New Roman;Times;Serif" w:hAnsi="Times New Roman;Times;Serif"/>
          <w:b w:val="false"/>
          <w:i w:val="false"/>
          <w:caps w:val="false"/>
          <w:smallCaps w:val="false"/>
          <w:color w:val="0000FF"/>
          <w:sz w:val="20"/>
          <w:u w:val="single"/>
        </w:rPr>
        <w:t xml:space="preserve">or </w:t>
      </w:r>
      <w:r>
        <w:rPr>
          <w:rFonts w:ascii="Times New Roman;Times;Serif" w:hAnsi="Times New Roman;Times;Serif"/>
          <w:b/>
          <w:i w:val="false"/>
          <w:caps w:val="false"/>
          <w:smallCaps w:val="false"/>
          <w:color w:val="0000FF"/>
          <w:sz w:val="20"/>
          <w:u w:val="single"/>
        </w:rPr>
        <w:t>Section 6.03</w:t>
      </w:r>
      <w:r>
        <w:rPr>
          <w:rFonts w:ascii="Times New Roman;Times;Serif" w:hAnsi="Times New Roman;Times;Serif"/>
          <w:b w:val="false"/>
          <w:i w:val="false"/>
          <w:caps w:val="false"/>
          <w:smallCaps w:val="false"/>
          <w:color w:val="0000FF"/>
          <w:sz w:val="20"/>
          <w:u w:val="single"/>
        </w:rPr>
        <w:t xml:space="preserve">, as applicable, </w:t>
      </w:r>
      <w:r>
        <w:rPr>
          <w:rFonts w:ascii="Times New Roman;Times;Serif" w:hAnsi="Times New Roman;Times;Serif"/>
          <w:b w:val="false"/>
          <w:i w:val="false"/>
          <w:caps w:val="false"/>
          <w:smallCaps w:val="false"/>
          <w:sz w:val="20"/>
        </w:rPr>
        <w:t>are satisfied or waived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Approved Budget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8.01(k)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Arm’s Length Transaction</w:t>
      </w:r>
      <w:r>
        <w:rPr>
          <w:rFonts w:ascii="Times New Roman;Times;Serif" w:hAnsi="Times New Roman;Times;Serif"/>
          <w:b w:val="false"/>
          <w:i w:val="false"/>
          <w:caps w:val="false"/>
          <w:smallCaps w:val="false"/>
          <w:sz w:val="20"/>
        </w:rPr>
        <w:t>” means, with respect to any transaction, the terms of such transaction shall not be less favorable to the Borrower or any of its Subsidiaries than commercially reasonable terms that would be obtained in a transaction not while in financial distress with a Person that is an unrelated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assignee of such Lender substantially in the form of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or such other form as agreed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Bailee Letter</w:t>
      </w:r>
      <w:r>
        <w:rPr>
          <w:rFonts w:ascii="Times New Roman;Times;Serif" w:hAnsi="Times New Roman;Times;Serif"/>
          <w:b w:val="false"/>
          <w:i w:val="false"/>
          <w:caps w:val="false"/>
          <w:smallCaps w:val="false"/>
          <w:sz w:val="20"/>
        </w:rPr>
        <w:t>” means a bailee letter substantially in the form of Exhibit F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EEA Resolution Authority in respect of any liability of an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entitled “Bankruptcy.”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Benefit Plan</w:t>
      </w:r>
      <w:r>
        <w:rPr>
          <w:rFonts w:ascii="Times New Roman;Times;Serif" w:hAnsi="Times New Roman;Times;Serif"/>
          <w:b w:val="false"/>
          <w:i w:val="false"/>
          <w:caps w:val="false"/>
          <w:smallCaps w:val="false"/>
          <w:sz w:val="20"/>
        </w:rPr>
        <w:t>” means any employee benefit plan as defined in Section 3(3) of ERISA (whether governed by the laws of the United States or otherwise) to which any Obligor or Subsidiary thereof incurs or otherwise has any obligation or liability, contingent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BioXcel LLC</w:t>
      </w:r>
      <w:r>
        <w:rPr>
          <w:rFonts w:ascii="Times New Roman;Times;Serif" w:hAnsi="Times New Roman;Times;Serif"/>
          <w:b w:val="false"/>
          <w:i w:val="false"/>
          <w:caps w:val="false"/>
          <w:smallCaps w:val="false"/>
          <w:sz w:val="20"/>
        </w:rPr>
        <w:t>” means BioXcel LLC, a Delaware limited liability company (formerly known as BioXcel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BioXcel Trademark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6.02(j)(ii)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with respect to any Person, the board of directors or equivalent management or oversight body of such Person or any committee thereof authorized to act on behalf of such board (or equivalent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Board Observer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Borrower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Borrowing</w:t>
      </w:r>
      <w:r>
        <w:rPr>
          <w:rFonts w:ascii="Times New Roman;Times;Serif" w:hAnsi="Times New Roman;Times;Serif"/>
          <w:b w:val="false"/>
          <w:i w:val="false"/>
          <w:caps w:val="false"/>
          <w:smallCaps w:val="false"/>
          <w:sz w:val="20"/>
        </w:rPr>
        <w:t>” means the borrowing of the Loans on each Applicable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Borrowing Notice</w:t>
      </w:r>
      <w:r>
        <w:rPr>
          <w:rFonts w:ascii="Times New Roman;Times;Serif" w:hAnsi="Times New Roman;Times;Serif"/>
          <w:b w:val="false"/>
          <w:i w:val="false"/>
          <w:caps w:val="false"/>
          <w:smallCaps w:val="false"/>
          <w:sz w:val="20"/>
        </w:rPr>
        <w:t xml:space="preserve">” means a written notice substantially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Budget</w:t>
      </w:r>
      <w:r>
        <w:rPr>
          <w:rFonts w:ascii="Times New Roman;Times;Serif" w:hAnsi="Times New Roman;Times;Serif"/>
          <w:b w:val="false"/>
          <w:i w:val="false"/>
          <w:caps w:val="false"/>
          <w:smallCaps w:val="false"/>
          <w:sz w:val="20"/>
        </w:rPr>
        <w:t xml:space="preserve">” means the Initial Budget, as amended, modified, supplemented or replaced from time to time in accordance with </w:t>
      </w:r>
      <w:r>
        <w:rPr>
          <w:rFonts w:ascii="Times New Roman;Times;Serif" w:hAnsi="Times New Roman;Times;Serif"/>
          <w:b/>
          <w:i w:val="false"/>
          <w:caps w:val="false"/>
          <w:smallCaps w:val="false"/>
          <w:sz w:val="20"/>
        </w:rPr>
        <w:t>Section 8.01(k)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Budget Variance Report</w:t>
      </w:r>
      <w:r>
        <w:rPr>
          <w:rFonts w:ascii="Times New Roman;Times;Serif" w:hAnsi="Times New Roman;Times;Serif"/>
          <w:b w:val="false"/>
          <w:i w:val="false"/>
          <w:caps w:val="false"/>
          <w:smallCaps w:val="false"/>
          <w:sz w:val="20"/>
        </w:rPr>
        <w:t>” means a report prepared by a Responsible Officer of the Borrower, comparing for each applicable Budget Variance Test Period the actual results against anticipated results under the applicable Approved Budget(s), on an aggregate basis and in the same level of detail set forth in the applicable Approved Budget(s), together with a written explanation for all disbursement variances of greater than 15% for any given Budget Variance Test Period and such other information as the Administrative Agent or the Majority Lenders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Budget Variance Test Period</w:t>
      </w:r>
      <w:r>
        <w:rPr>
          <w:rFonts w:ascii="Times New Roman;Times;Serif" w:hAnsi="Times New Roman;Times;Serif"/>
          <w:b w:val="false"/>
          <w:i w:val="false"/>
          <w:caps w:val="false"/>
          <w:smallCaps w:val="false"/>
          <w:sz w:val="20"/>
        </w:rPr>
        <w:t>” means the two-week period most recently ended on the last Saturday prior to the delivery of each Budget Variance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or Sunday) on which commercial banks are not authorized or required to close in New York City;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any notices to a QIA Lender or any obligation for a QIA Lender to fund any Borrowings, “Business Day” shall not include any day on which commercial banks in Qatar are authorized or required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BXCL 501</w:t>
      </w:r>
      <w:r>
        <w:rPr>
          <w:rFonts w:ascii="Times New Roman;Times;Serif" w:hAnsi="Times New Roman;Times;Serif"/>
          <w:b w:val="false"/>
          <w:i w:val="false"/>
          <w:caps w:val="false"/>
          <w:smallCaps w:val="false"/>
          <w:sz w:val="20"/>
        </w:rPr>
        <w:t>” means a proprietary, orally dissolving thin film formulation of dexmedetomidine, a selective alpha-2a receptor agonist, as further described on Schedule 2, including all improvements and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BXCL 701</w:t>
      </w:r>
      <w:r>
        <w:rPr>
          <w:rFonts w:ascii="Times New Roman;Times;Serif" w:hAnsi="Times New Roman;Times;Serif"/>
          <w:b w:val="false"/>
          <w:i w:val="false"/>
          <w:caps w:val="false"/>
          <w:smallCaps w:val="false"/>
          <w:sz w:val="20"/>
        </w:rPr>
        <w:t>” means an orally administered talabostat formulation, as further described on Schedule 2, including all improvements and modifications thereto, or any other formulation of talabostat.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Capital Lease Obligations</w:t>
      </w:r>
      <w:r>
        <w:rPr>
          <w:rFonts w:ascii="Times New Roman;Times;Serif" w:hAnsi="Times New Roman;Times;Serif"/>
          <w:b w:val="false"/>
          <w:i w:val="false"/>
          <w:caps w:val="false"/>
          <w:smallCaps w:val="false"/>
          <w:sz w:val="20"/>
        </w:rPr>
        <w:t xml:space="preserve">” means, as to any Person, the obligations of such Person to pay rent or other amounts under a lease of (or other agreement conveying the right to use) real and/or personal property, the amount of the liability in respect thereof that would at that time be required to be capitalized on a balance sheet in accordance with GAAP as in effect on December 31, 2018, subject to </w:t>
      </w:r>
      <w:r>
        <w:rPr>
          <w:rFonts w:ascii="Times New Roman;Times;Serif" w:hAnsi="Times New Roman;Times;Serif"/>
          <w:b/>
          <w:i w:val="false"/>
          <w:caps w:val="false"/>
          <w:smallCaps w:val="false"/>
          <w:sz w:val="20"/>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Casualty Event</w:t>
      </w:r>
      <w:r>
        <w:rPr>
          <w:rFonts w:ascii="Times New Roman;Times;Serif" w:hAnsi="Times New Roman;Times;Serif"/>
          <w:b w:val="false"/>
          <w:i w:val="false"/>
          <w:caps w:val="false"/>
          <w:smallCaps w:val="false"/>
          <w:sz w:val="20"/>
        </w:rPr>
        <w:t>” means the damage, destruction or condemnation, as the case may be, of property of the Borrower or any of its Subsidiaries in excess of $2,000,000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CFC</w:t>
      </w:r>
      <w:r>
        <w:rPr>
          <w:rFonts w:ascii="Times New Roman;Times;Serif" w:hAnsi="Times New Roman;Times;Serif"/>
          <w:b w:val="false"/>
          <w:i w:val="false"/>
          <w:caps w:val="false"/>
          <w:smallCaps w:val="false"/>
          <w:sz w:val="20"/>
        </w:rPr>
        <w:t>” means a Subsidiary that is a “controlled foreign corporation” within the meaning of Section 957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CFC Holding Company</w:t>
      </w:r>
      <w:r>
        <w:rPr>
          <w:rFonts w:ascii="Times New Roman;Times;Serif" w:hAnsi="Times New Roman;Times;Serif"/>
          <w:b w:val="false"/>
          <w:i w:val="false"/>
          <w:caps w:val="false"/>
          <w:smallCaps w:val="false"/>
          <w:sz w:val="20"/>
        </w:rPr>
        <w:t>” means any Domestic Subsidiary that owns no material assets (directly or indirectly) other than Equity Interests and debt of one or more CFCs or Domestic Subsidiaries that are themselves CFC Holding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xml:space="preserve">” means 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such Plan and excluding any Permitted Holder) becomes the “beneficial owner”, directly or indirectly, of thirty-five percent (35%) or more of the Equity Interests of the Borrower entitled to vote for members of the Board of the Borrower on a fully-diluted basis (and taking into account all such Equity Interests that such person or group has the right to acquire pursuant to any Option Right); (ii) as a result of which any Permitted Holder or “group” (as such terms are used in Sections 13(d) and 14(d) of the Securities Act) including any Permitted Holder becomes the “beneficial owner”, directly or indirectly, of </w:t>
      </w:r>
      <w:r>
        <w:rPr>
          <w:rFonts w:ascii="Times New Roman;Times;Serif" w:hAnsi="Times New Roman;Times;Serif"/>
          <w:b w:val="false"/>
          <w:i w:val="false"/>
          <w:caps w:val="false"/>
          <w:smallCaps w:val="false"/>
          <w:strike/>
          <w:color w:val="FF0000"/>
          <w:sz w:val="20"/>
        </w:rPr>
        <w:t>forty-five</w:t>
      </w:r>
      <w:r>
        <w:rPr>
          <w:rFonts w:ascii="Times New Roman;Times;Serif" w:hAnsi="Times New Roman;Times;Serif"/>
          <w:b w:val="false"/>
          <w:i w:val="false"/>
          <w:caps w:val="false"/>
          <w:smallCaps w:val="false"/>
          <w:color w:val="0000FF"/>
          <w:sz w:val="20"/>
          <w:u w:val="single"/>
        </w:rPr>
        <w:t>thirty-five</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45</w:t>
      </w:r>
      <w:r>
        <w:rPr>
          <w:rFonts w:ascii="Times New Roman;Times;Serif" w:hAnsi="Times New Roman;Times;Serif"/>
          <w:b w:val="false"/>
          <w:i w:val="false"/>
          <w:caps w:val="false"/>
          <w:smallCaps w:val="false"/>
          <w:color w:val="0000FF"/>
          <w:sz w:val="20"/>
          <w:u w:val="single"/>
        </w:rPr>
        <w:t>35</w:t>
      </w:r>
      <w:r>
        <w:rPr>
          <w:rFonts w:ascii="Times New Roman;Times;Serif" w:hAnsi="Times New Roman;Times;Serif"/>
          <w:b w:val="false"/>
          <w:i w:val="false"/>
          <w:caps w:val="false"/>
          <w:smallCaps w:val="false"/>
          <w:sz w:val="20"/>
        </w:rPr>
        <w:t xml:space="preserve">%) or more of the Equity Interests of the Borrower entitled to vote for members of the Board of the Borrower on a fully-diluted basis (and taking into account all such Equity Interests that such Permitted Holder or group has the right to acquire pursuant to any Option Right); (iii) that results in the sale of all or substantially all of the assets or businesses of the Borrower and its Subsidiaries, taken as a whole, or (iv) that results in the Borrower’s failure to own, directly or indirectly, beneficially and of record, one-hundred percent (100%) of all issued and outstanding Equity Interests of each Subsidiary Guarantor (other than, in the case of this clause (iv), as a result of any Asset Sale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xml:space="preserve">, liquidation or dissolution permitted by </w:t>
      </w:r>
      <w:r>
        <w:rPr>
          <w:rFonts w:ascii="Times New Roman;Times;Serif" w:hAnsi="Times New Roman;Times;Serif"/>
          <w:b/>
          <w:i w:val="false"/>
          <w:caps w:val="false"/>
          <w:smallCaps w:val="false"/>
          <w:sz w:val="20"/>
        </w:rPr>
        <w:t>Section 9.03(b)</w:t>
      </w:r>
      <w:r>
        <w:rPr>
          <w:rFonts w:ascii="Times New Roman;Times;Serif" w:hAnsi="Times New Roman;Times;Serif"/>
          <w:b w:val="false"/>
          <w:i w:val="false"/>
          <w:caps w:val="false"/>
          <w:smallCaps w:val="false"/>
          <w:sz w:val="20"/>
        </w:rPr>
        <w:t>, or any interest in or exercise of any 701 Warrant). For purposes of this definition, “beneficial owner” is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Times New Roman;Times;Serif" w:hAnsi="Times New Roman;Times;Serif"/>
          <w:b/>
          <w:i/>
          <w:caps w:val="false"/>
          <w:smallCaps w:val="false"/>
          <w:sz w:val="20"/>
        </w:rPr>
        <w:t>Option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means (and includes) any claim, demand, complaint, grievance, action, application, suit, cause of action, order, charge, indictment, prosecution, judgement or other similar process, whether in respect of assessments or reassessments,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and all costs incurred in investigating or pursuing any of the foregoing or any proceeding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means the date on which the conditions precedent specified in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are satisfied (or waived in accordance with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from time to time, and the rules and regulations promulgated thereunder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Collaboration Agreement Option</w:t>
      </w:r>
      <w:r>
        <w:rPr>
          <w:rFonts w:ascii="Times New Roman;Times;Serif" w:hAnsi="Times New Roman;Times;Serif"/>
          <w:b w:val="false"/>
          <w:i w:val="false"/>
          <w:caps w:val="false"/>
          <w:smallCaps w:val="false"/>
          <w:sz w:val="20"/>
        </w:rPr>
        <w:t>” means Borrower’s option, pursuant to the Shared Services Agreement, to enter into a collaborative services agreement with BioXcel LLC by which BioXcel LLC shall perform product identification and related services for the Borrower utilizing the EvolverAI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 means any real, personal and mixed property (including Equity Interests), whether tangible or intangible, in which Liens are granted or purported to be granted to the Administrative Agent as security for the Obligations under any Loan Document on or after the Closing Date, including future acquired or created assets or property (or collectively, all such real, personal and mixed property, as the context may require); provided, “Collateral” shall not include Equity Interests of any Subsidiary representing, in the aggregate, more than sixty-five percent (65%) of the Equity Interests of any CFC or CFC Holding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Commercial Supply Agreement</w:t>
      </w:r>
      <w:r>
        <w:rPr>
          <w:rFonts w:ascii="Times New Roman;Times;Serif" w:hAnsi="Times New Roman;Times;Serif"/>
          <w:b w:val="false"/>
          <w:i w:val="false"/>
          <w:caps w:val="false"/>
          <w:smallCaps w:val="false"/>
          <w:sz w:val="20"/>
        </w:rPr>
        <w:t>” means the commercial supply agreement, dated as of April 1, 2022, by and between the Borrower and ARx, LLC, as it may be amended or modified from time to time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xml:space="preserve">” means, with respect to each Lender, the obligation of such Lender to make Loans to the Borrower on each Applicable Funding Date in accordance with the terms and conditions of this Agreement, which commitment is in the amount set forth opposite such Lender’s name on </w:t>
      </w:r>
      <w:r>
        <w:rPr>
          <w:rFonts w:ascii="Times New Roman;Times;Serif" w:hAnsi="Times New Roman;Times;Serif"/>
          <w:b/>
          <w:i w:val="false"/>
          <w:caps w:val="false"/>
          <w:smallCaps w:val="false"/>
          <w:sz w:val="20"/>
        </w:rPr>
        <w:t xml:space="preserve">Schedule 1 </w:t>
      </w:r>
      <w:r>
        <w:rPr>
          <w:rFonts w:ascii="Times New Roman;Times;Serif" w:hAnsi="Times New Roman;Times;Serif"/>
          <w:b w:val="false"/>
          <w:i w:val="false"/>
          <w:caps w:val="false"/>
          <w:smallCaps w:val="false"/>
          <w:sz w:val="20"/>
        </w:rPr>
        <w:t xml:space="preserve">under the caption “Applicable Commitment”, as such Schedule may be amended from time to time pursuant to an Assignment and Assumption or otherwise. The aggregate amount of Commitments outstanding on the </w:t>
      </w:r>
      <w:r>
        <w:rPr>
          <w:rFonts w:ascii="Times New Roman;Times;Serif" w:hAnsi="Times New Roman;Times;Serif"/>
          <w:b w:val="false"/>
          <w:i w:val="false"/>
          <w:caps w:val="false"/>
          <w:smallCaps w:val="false"/>
          <w:strike/>
          <w:color w:val="FF0000"/>
          <w:sz w:val="20"/>
        </w:rPr>
        <w:t>Second</w:t>
      </w:r>
      <w:r>
        <w:rPr>
          <w:rFonts w:ascii="Times New Roman;Times;Serif" w:hAnsi="Times New Roman;Times;Serif"/>
          <w:b w:val="false"/>
          <w:i w:val="false"/>
          <w:caps w:val="false"/>
          <w:smallCaps w:val="false"/>
          <w:color w:val="0000FF"/>
          <w:sz w:val="20"/>
          <w:u w:val="single"/>
        </w:rPr>
        <w:t>Fourteenth</w:t>
      </w:r>
      <w:r>
        <w:rPr>
          <w:rFonts w:ascii="Times New Roman;Times;Serif" w:hAnsi="Times New Roman;Times;Serif"/>
          <w:b w:val="false"/>
          <w:i w:val="false"/>
          <w:caps w:val="false"/>
          <w:smallCaps w:val="false"/>
          <w:sz w:val="20"/>
        </w:rPr>
        <w:t xml:space="preserve"> Amendment Effective Date (after giving effect to the </w:t>
      </w:r>
      <w:r>
        <w:rPr>
          <w:rFonts w:ascii="Times New Roman;Times;Serif" w:hAnsi="Times New Roman;Times;Serif"/>
          <w:b w:val="false"/>
          <w:i w:val="false"/>
          <w:caps w:val="false"/>
          <w:smallCaps w:val="false"/>
          <w:strike/>
          <w:color w:val="FF0000"/>
          <w:sz w:val="20"/>
        </w:rPr>
        <w:t>Second</w:t>
      </w:r>
      <w:r>
        <w:rPr>
          <w:rFonts w:ascii="Times New Roman;Times;Serif" w:hAnsi="Times New Roman;Times;Serif"/>
          <w:b w:val="false"/>
          <w:i w:val="false"/>
          <w:caps w:val="false"/>
          <w:smallCaps w:val="false"/>
          <w:color w:val="0000FF"/>
          <w:sz w:val="20"/>
          <w:u w:val="single"/>
        </w:rPr>
        <w:t>Fourteenth</w:t>
      </w:r>
      <w:r>
        <w:rPr>
          <w:rFonts w:ascii="Times New Roman;Times;Serif" w:hAnsi="Times New Roman;Times;Serif"/>
          <w:b w:val="false"/>
          <w:i w:val="false"/>
          <w:caps w:val="false"/>
          <w:smallCaps w:val="false"/>
          <w:sz w:val="20"/>
        </w:rPr>
        <w:t xml:space="preserve"> Amendment) equals $</w:t>
      </w:r>
      <w:r>
        <w:rPr>
          <w:rFonts w:ascii="Times New Roman;Times;Serif" w:hAnsi="Times New Roman;Times;Serif"/>
          <w:b w:val="false"/>
          <w:i w:val="false"/>
          <w:caps w:val="false"/>
          <w:smallCaps w:val="false"/>
          <w:strike/>
          <w:color w:val="FF0000"/>
          <w:sz w:val="20"/>
        </w:rPr>
        <w:t>100,000,000.</w:t>
      </w:r>
      <w:r>
        <w:rPr>
          <w:rFonts w:ascii="Times New Roman;Times;Serif" w:hAnsi="Times New Roman;Times;Serif"/>
          <w:b w:val="false"/>
          <w:i w:val="false"/>
          <w:caps w:val="false"/>
          <w:smallCaps w:val="false"/>
          <w:color w:val="0000FF"/>
          <w:sz w:val="20"/>
          <w:u w:val="single"/>
        </w:rPr>
        <w:t>110,412,178.58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Commitment Termination Date</w:t>
      </w:r>
      <w:r>
        <w:rPr>
          <w:rFonts w:ascii="Times New Roman;Times;Serif" w:hAnsi="Times New Roman;Times;Serif"/>
          <w:b w:val="false"/>
          <w:i w:val="false"/>
          <w:caps w:val="false"/>
          <w:smallCaps w:val="false"/>
          <w:sz w:val="20"/>
        </w:rPr>
        <w:t>” means (a) with respect to the Commitments to make Tranche B Term Loans, December 31, 2024, (b) with respect to the Commitments to make Tranche C Term Loans, December 31, 2025 and (c) with respect to the Commitments to make Tranche D Term Loans,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$0.001 par value,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Competitor</w:t>
      </w:r>
      <w:r>
        <w:rPr>
          <w:rFonts w:ascii="Times New Roman;Times;Serif" w:hAnsi="Times New Roman;Times;Serif"/>
          <w:b w:val="false"/>
          <w:i w:val="false"/>
          <w:caps w:val="false"/>
          <w:smallCaps w:val="false"/>
          <w:sz w:val="20"/>
        </w:rPr>
        <w:t>” means (i) any competitor of the Borrower or any of its Subsidiaries primarily operating in the same line of business as the Borrower or any of its Subsidiaries and (ii) any of such competitor’s Affiliates (other than any Person that is a bona fide debt fund primarily engaged in the making, purchasing, holding or other investing in commercial loans, notes, bonds or similar extensions of credit or securities in the Ordinary Course) that are either (x) identified by name in writing by the Borrower to the Administrative Agent from time to time or (y) clearly identifiable on the basis of such Affiliate’s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Company Warrants</w:t>
      </w:r>
      <w:r>
        <w:rPr>
          <w:rFonts w:ascii="Times New Roman;Times;Serif" w:hAnsi="Times New Roman;Times;Serif"/>
          <w:b w:val="false"/>
          <w:i w:val="false"/>
          <w:caps w:val="false"/>
          <w:smallCaps w:val="false"/>
          <w:sz w:val="20"/>
        </w:rPr>
        <w:t>” means (i) those certain warrants, dated as of the Closing Date and delivered pursuant to Section 6.01(h), evidenced by an instrument substantially the form of Exhibit J-1 hereto, as amended on the Second Amendment Effective Date, (ii) those certain warrants, dated as of the Second Amendment Effective Date, evidenced by an instrument substantially the form of Exhibit J-1 hereto, (iii) those certain warrants, dated March 20, 2024, evidenced by an instrument substantially the form of Exhibit A to the Fourth Amendment to Credit Agreement and Guaranty, dated March 20, 2024, by and among the Borrower, the Lenders and the Administrative Agent, and (iv) those certain warrants, to be dated on or around the date of Fifth Amendment Capital Raise One, evidenced by an instrument substantially the form of Exhibit B to the Fifth Amendment, in each case ((i) through (iv)), as amended, replaced or otherwise modified from time to time pursuant to the terms thereof, including pursuant to the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Contracts</w:t>
      </w:r>
      <w:r>
        <w:rPr>
          <w:rFonts w:ascii="Times New Roman;Times;Serif" w:hAnsi="Times New Roman;Times;Serif"/>
          <w:b w:val="false"/>
          <w:i w:val="false"/>
          <w:caps w:val="false"/>
          <w:smallCaps w:val="false"/>
          <w:sz w:val="20"/>
        </w:rPr>
        <w:t>” means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Copyright</w:t>
      </w:r>
      <w:r>
        <w:rPr>
          <w:rFonts w:ascii="Times New Roman;Times;Serif" w:hAnsi="Times New Roman;Times;Serif"/>
          <w:b w:val="false"/>
          <w:i w:val="false"/>
          <w:caps w:val="false"/>
          <w:smallCaps w:val="false"/>
          <w:sz w:val="20"/>
        </w:rPr>
        <w:t>” means published and unpublished works of authorship whether or not copyrightable, including software, website and mobile content, data, databases, and other compilations of information, in each case, whether or not registered, and any and all copyrights in and to the foregoing, together with all common law rights and moral rights therein, and all copyrights, copyright registrations and applications for copyright registrations, including all renewals, extensions, restorations, derivative works and reversions thereof and all common law rights, moral rights and other rights whatsoever accruing thereunder or pertaining thereto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of Default and any event that, upon the giving of notice, the lapse of time or both, would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Designated Jurisdiction</w:t>
      </w:r>
      <w:r>
        <w:rPr>
          <w:rFonts w:ascii="Times New Roman;Times;Serif" w:hAnsi="Times New Roman;Times;Serif"/>
          <w:b w:val="false"/>
          <w:i w:val="false"/>
          <w:caps w:val="false"/>
          <w:smallCaps w:val="false"/>
          <w:sz w:val="20"/>
        </w:rPr>
        <w:t>” means any country or territory to the extent that such country or territory is the subject of country- or territory-wide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Disqualified Equity Interests</w:t>
      </w:r>
      <w:r>
        <w:rPr>
          <w:rFonts w:ascii="Times New Roman;Times;Serif" w:hAnsi="Times New Roman;Times;Serif"/>
          <w:b w:val="false"/>
          <w:i w:val="false"/>
          <w:caps w:val="false"/>
          <w:smallCaps w:val="false"/>
          <w:sz w:val="20"/>
        </w:rPr>
        <w:t xml:space="preserve">” means, with respect to any Person, any Equity Interest of such Person that, by its terms (or by the terms of any security or other Equity Interest into which it is convertible or for which it is exchangeable), or upon the happening of any event or condition (i) matures or is mandatorily redeemable or requires such Person to use efforts to redeem such Equity Interests (in each case, other than solely for Qualified Equity Interests), including pursuant to a sinking fund obligation or otherwise, (ii) is redeemable at the option of the holder thereof (other than solely for Qualified Equity Interests), in whole or in part, (iii) 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ninety-one (91) days after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Equity Interests are issued to any employee or any plan for the benefit of employees of Borrower or its Subsidiaries or by any such plan to such employees, such Equity Interests shall not constitute Disqualified Equity Interests solely because they may be required to be repurchased by Borrower or its Subsidiaries in order to satisfy applicable statutory or regulatory obligations or as a result of any such employee’s termination, death or disability;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Equity Interests held by any future, present or former employee, director, officer or consultant (or their respective Affiliates or immediate family members) of Borrower issued pursuant to customary terms in the Ordinary Course shall be considered Disqualified Equity Interests solely because such Equity Interests are redeemable or subject to repurchase pursuant to a customary management equity subscription agreement, stock option, stock appreciation right or other stock award agreement or similar agreement that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Distressed Debt Investor</w:t>
      </w:r>
      <w:r>
        <w:rPr>
          <w:rFonts w:ascii="Times New Roman;Times;Serif" w:hAnsi="Times New Roman;Times;Serif"/>
          <w:b w:val="false"/>
          <w:i w:val="false"/>
          <w:caps w:val="false"/>
          <w:smallCaps w:val="false"/>
          <w:sz w:val="20"/>
        </w:rPr>
        <w:t>” means any investor or investment fund specializing in distressed debt and a majority of whose investment portfolio at all times consists of distressed debt. In no event shall any Oaktree Lender be deemed to be a Distressed Debt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Division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means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Domestic Subsidiary</w:t>
      </w:r>
      <w:r>
        <w:rPr>
          <w:rFonts w:ascii="Times New Roman;Times;Serif" w:hAnsi="Times New Roman;Times;Serif"/>
          <w:b w:val="false"/>
          <w:i w:val="false"/>
          <w:caps w:val="false"/>
          <w:smallCaps w:val="false"/>
          <w:sz w:val="20"/>
        </w:rPr>
        <w:t>” means any Subsidiary that is a corporation, limited liability company, partnership or similar business entity incorporated, formed or organized under the laws of the United States, any state of the United States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Times;Serif" w:hAnsi="Times New Roman;Times;Serif"/>
          <w:b/>
          <w:i w:val="false"/>
          <w:caps w:val="false"/>
          <w:smallCaps w:val="false"/>
          <w:sz w:val="20"/>
        </w:rPr>
        <w:t>clause (a) </w:t>
      </w:r>
      <w:r>
        <w:rPr>
          <w:rFonts w:ascii="Times New Roman;Times;Serif" w:hAnsi="Times New Roman;Times;Serif"/>
          <w:b w:val="false"/>
          <w:i w:val="false"/>
          <w:caps w:val="false"/>
          <w:smallCaps w:val="false"/>
          <w:sz w:val="20"/>
        </w:rPr>
        <w:t xml:space="preserve">of this definition, or (c) any financial institution established in an EEA Member Country which is a subsidiary of an institution described in </w:t>
      </w:r>
      <w:r>
        <w:rPr>
          <w:rFonts w:ascii="Times New Roman;Times;Serif" w:hAnsi="Times New Roman;Times;Serif"/>
          <w:b/>
          <w:i w:val="false"/>
          <w:caps w:val="false"/>
          <w:smallCaps w:val="false"/>
          <w:sz w:val="20"/>
        </w:rPr>
        <w:t>clause (a)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Eighth Amendment</w:t>
      </w:r>
      <w:r>
        <w:rPr>
          <w:rFonts w:ascii="Times New Roman;Times;Serif" w:hAnsi="Times New Roman;Times;Serif"/>
          <w:b w:val="false"/>
          <w:i w:val="false"/>
          <w:caps w:val="false"/>
          <w:smallCaps w:val="false"/>
          <w:color w:val="0000FF"/>
          <w:sz w:val="20"/>
          <w:u w:val="single"/>
        </w:rPr>
        <w:t>” means the Eighth Amendment to this Agreement, dated as of April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Eleventh Amendment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means the Eleventh Amendment to this Agreement, dated as of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Eleventh Amendment Effective Date</w:t>
      </w:r>
      <w:r>
        <w:rPr>
          <w:rFonts w:ascii="Times New Roman;Times;Serif" w:hAnsi="Times New Roman;Times;Serif"/>
          <w:b w:val="false"/>
          <w:i w:val="false"/>
          <w:caps w:val="false"/>
          <w:smallCaps w:val="false"/>
          <w:sz w:val="20"/>
        </w:rPr>
        <w:t>” means the date all of the conditions precedent set forth in Section 5 of the Eleventh Amendment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Eligible Transferee</w:t>
      </w:r>
      <w:r>
        <w:rPr>
          <w:rFonts w:ascii="Times New Roman;Times;Serif" w:hAnsi="Times New Roman;Times;Serif"/>
          <w:b w:val="false"/>
          <w:i w:val="false"/>
          <w:caps w:val="false"/>
          <w:smallCaps w:val="false"/>
          <w:sz w:val="20"/>
        </w:rPr>
        <w:t xml:space="preserve">” means and includes (i) any commercial bank, (ii) any insurance company, (iii) any finance company, (iv) any financial institution, (v) any Person that is a bona fide debt fund primarily engaged in the making, purchasing, holding or other investing in commercial loans, notes, bonds or similar extensions of credit or securities in the Ordinary Course, (vi) with respect to any Lender, any of its Affiliates or such Lender’s or Affiliate’s managed funds or accounts, and (vii) any other “accredited investor” (as defined in Regulation D of the Securities Act) that is principally in the business of managing investments or holding assets for investment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Distressed Debt Investor or Company Competitor shall be an Eligible Transferee.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Emerging 701 Pipeline</w:t>
      </w:r>
      <w:r>
        <w:rPr>
          <w:rFonts w:ascii="Times New Roman;Times;Serif" w:hAnsi="Times New Roman;Times;Serif"/>
          <w:b w:val="false"/>
          <w:i w:val="false"/>
          <w:caps w:val="false"/>
          <w:smallCaps w:val="false"/>
          <w:sz w:val="20"/>
        </w:rPr>
        <w:t>” means oncology drug concepts and candidates identified using AI platform approaches, including synthetic lethality pairs.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Environmental Claims</w:t>
      </w:r>
      <w:r>
        <w:rPr>
          <w:rFonts w:ascii="Times New Roman;Times;Serif" w:hAnsi="Times New Roman;Times;Serif"/>
          <w:b w:val="false"/>
          <w:i w:val="false"/>
          <w:caps w:val="false"/>
          <w:smallCaps w:val="false"/>
          <w:sz w:val="20"/>
        </w:rPr>
        <w:t>” means any investigation, notice, notice of violation, claim, action, suit, proceeding, demand, information request, abatement order or other order or directive (conditional or otherwise), by any Governmental Authority or any other Person, arising (i) pursuant to or in connection with any actual or alleged violation of, or liability relating to, any Environmental Law; (ii) in connection with any Hazardous Material or any actual or alleged Hazardous Materials Activity; or (iii) in connection with any actual or alleged damage, injury, threat or harm to health, safety, natural resources or the environment, arising out of a violation of Environmental Law or any Hazardous Materials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Environmental Law</w:t>
      </w:r>
      <w:r>
        <w:rPr>
          <w:rFonts w:ascii="Times New Roman;Times;Serif" w:hAnsi="Times New Roman;Times;Serif"/>
          <w:b w:val="false"/>
          <w:i w:val="false"/>
          <w:caps w:val="false"/>
          <w:smallCaps w:val="false"/>
          <w:sz w:val="20"/>
        </w:rPr>
        <w:t>” means all laws (including common law and any federal, state, provincial or local governmental law), rule, regulation, order, writ, judgment, notice, requirement, binding agreement, injunction or decree, whether U.S. or non-U.S., relating in any way to (i) environmental matters, including those relating to any Hazardous Materials Activity; (ii) the generation, use, storage, transportation or disposal of Hazardous Materials; or (iii) to the extent related to Hazardous Materials Activity, occupational safety and health, industrial hygiene, land use, natural resources or the protection of human, plant or animal health or welfare, in any manner applicable to the Borrower or any of its Subsidiaries or any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Environmental Liability</w:t>
      </w:r>
      <w:r>
        <w:rPr>
          <w:rFonts w:ascii="Times New Roman;Times;Serif" w:hAnsi="Times New Roman;Times;Serif"/>
          <w:b w:val="false"/>
          <w:i w:val="false"/>
          <w:caps w:val="false"/>
          <w:smallCaps w:val="false"/>
          <w:sz w:val="20"/>
        </w:rPr>
        <w:t>” means any liability, contingent or otherwise (including any liability for damages, costs of environmental remediation, fines, penalties or indemnities), of any Obligor or any of its Subsidiaries directly or indirectly resulting from or based upon (i) violation of any Environmental Law, (ii) the generation, use, presence, emission, discharge, handling, transportation, storage, treatment or disposal of any Hazardous Materials, (iii) exposure to any Hazardous Materials, (iv) the release or threatened release of any Hazardous Materials into the environment or (v) any contract, agreement or other consensual arrangement pursuant to which liability is assumed or imposed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with respect to any Person (for purposes of this defined term, an “</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all shares of, interests or participations in, or other equivalents in respect of such issuer’s capital stock, including all membership interests, partnership interests or equivalent, whether now outstanding or issued after the Closing Date, and in each case, however designated and whether voting or non-voting. Notwithstanding the foregoing, in no event shall any Indebtedness convertible or exchangeable into Equity Interests constitute “Equity Interests”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Equivalent Amount</w:t>
      </w:r>
      <w:r>
        <w:rPr>
          <w:rFonts w:ascii="Times New Roman;Times;Serif" w:hAnsi="Times New Roman;Times;Serif"/>
          <w:b w:val="false"/>
          <w:i w:val="false"/>
          <w:caps w:val="false"/>
          <w:smallCaps w:val="false"/>
          <w:sz w:val="20"/>
        </w:rPr>
        <w:t>” means, with respect to an amount denominated in one currency, the amount in another currency that could be purchased by the amount in the first currency determined by reference to the Exchange Rate at the time of determination. Where the permissibility of a transaction, accuracy of a representation or warranty or compliance with a covenant hereunder is determined by reference to amounts stated in Dollars (or the Equivalent Amount in other currencies), the time of determination shall, in each case, be the time at which any applicable transaction is entered into (e.g. the time at which Indebtedness is incurred or at which an Investment or Asset Sale is made), financial covenant is tested, or representation or warranty is made, and the permissibility of actions taken under this Agreement shall not be affected by, and no Default or Event of Default shall arise as a result of, subsequent fluctuations in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United States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means, collectively, any Obligor, Subsidiary thereof, and any Person under common control, or treated as a single employer, with any Obligor or Subsidiary thereof, within the meaning of Section 414(b), (c), (m)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 Event</w:t>
      </w:r>
      <w:r>
        <w:rPr>
          <w:rFonts w:ascii="Times New Roman;Times;Serif" w:hAnsi="Times New Roman;Times;Serif"/>
          <w:b w:val="false"/>
          <w:i w:val="false"/>
          <w:caps w:val="false"/>
          <w:smallCaps w:val="false"/>
          <w:sz w:val="20"/>
        </w:rPr>
        <w:t>” means (i)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(ii) 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(iii) a withdrawal by any Obligor or any ERISA Affiliate thereof from a Title IV Plan or the termination of any Title IV Plan resulting in liability under Sections 4063 or 4064 of ERISA; (iv) the withdrawal of any Obligor or any ERISA Affiliate thereof in a complete or partial withdrawal (within the meaning of Sections 4203 and 4205 of ERISA) from any Multiemployer Plan if there is any potential liability therefore, or the receipt by any Obligor or any ERISA Affiliate thereof of notice from any Multiemployer Plan that it is insolvent pursuant to Section 4245 of ERISA; (v) the filing of a notice of intent to terminate, the treatment of a plan amendment as a termination under Section 4041 or 4041A of ERISA, or the commencement of proceedings by the PBGC to terminate a Title IV Plan or Multiemployer Plan; (vi) the imposition of liability on any Obligor or any ERISA Affiliate thereof pursuant to Section 4062(e) or 4069 of ERISA or by reason of the application of Section 4212(c) of ERISA; (vii) the failure by any Obligor or any ERISA Affiliate thereof to make any required contribution to a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(viii) the determination that any Title IV Plan is considered an at-risk plan or a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(x) the imposition of any liability under Title I or Title IV of ERISA, other than PBGC premiums due but not delinquent under Section 4007 of ERISA, upon any Obligor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 406 or 407 of ERISA for which any Obligor or any Subsidiary thereof may be directly or indirectly liable; (xiii) a violation of the applicable requirements of Section 404 or 405 of ERISA or the exclusive benefit rule under Section 401(a) of the Code by any fiduciary or disqualified person for which any Obligor or any ERISA Affiliate thereof may be directly or indirectly liable; (xiv) the occurrence of an act or omission which could give rise to the imposition on any Obligor or any ERISA Affiliate thereof of fines, penalties, taxes or related charges under Chapter 43 of the Code or under Sections 409, 502(c), (i) or (1) or 4071 of ERISA; (xv) the assertion of a material claim (other than routine claims for benefits) against any Plan or the assets thereof, or against any Obligor or any Subsidiary thereof in connection with any such plan; (xvi) receipt from the IRS of notice of the failure of any Qualified Plan to qualify under Section 401(a) of the Code, or the failure of any trust forming part of any Qualified Plan to fail to qualify for exemption from taxation under Section 501(a) of the Code; (xvii)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 or (xviii) the establishment or amendment by any Obligor or any Subsidiary thereof of any “welfare plan”, as such term is defined in Section 3(1) of ERISA, that provides post-employment welfare benefits in a manner that would increase the liability of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ERISA Funding Rules</w:t>
      </w:r>
      <w:r>
        <w:rPr>
          <w:rFonts w:ascii="Times New Roman;Times;Serif" w:hAnsi="Times New Roman;Times;Serif"/>
          <w:b w:val="false"/>
          <w:i w:val="false"/>
          <w:caps w:val="false"/>
          <w:smallCaps w:val="false"/>
          <w:sz w:val="20"/>
        </w:rPr>
        <w:t>” means the rules regarding minimum required contributions (including any installment payment thereof) to Title IV Plans, as set forth in Sections 412, 430, 431, 432 and 436 of the Code and Sections 302, 303, 304 and 305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Erroneous Payment Impacted Loans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12.13(d)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Exchange Rate</w:t>
      </w:r>
      <w:r>
        <w:rPr>
          <w:rFonts w:ascii="Times New Roman;Times;Serif" w:hAnsi="Times New Roman;Times;Serif"/>
          <w:b w:val="false"/>
          <w:i w:val="false"/>
          <w:caps w:val="false"/>
          <w:smallCaps w:val="false"/>
          <w:sz w:val="20"/>
        </w:rPr>
        <w:t>” means, as of any date, the rate at which any currency may be exchanged into another currency, as set forth on the relevant Reuters screen at or about 11:00 a.m. (Eastern time) on such date. In the event that such rate does not appear on the Reuters screen, the “Exchange Rate” shall be determined by reference to such other publicly available service for displaying exchange rates as may be reasonably designated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Excluded Accounts</w:t>
      </w:r>
      <w:r>
        <w:rPr>
          <w:rFonts w:ascii="Times New Roman;Times;Serif" w:hAnsi="Times New Roman;Times;Serif"/>
          <w:b w:val="false"/>
          <w:i w:val="false"/>
          <w:caps w:val="false"/>
          <w:smallCaps w:val="false"/>
          <w:sz w:val="20"/>
        </w:rPr>
        <w:t>” means (i) deposit accounts exclusively used for payroll, payroll Taxes and other employee wage and benefit payments to or for the benefit of any Obligor’s employees, (ii) </w:t>
      </w:r>
      <w:r>
        <w:rPr>
          <w:rFonts w:ascii="Times New Roman;Times;Serif" w:hAnsi="Times New Roman;Times;Serif"/>
          <w:b w:val="false"/>
          <w:i w:val="false"/>
          <w:caps w:val="false"/>
          <w:smallCaps w:val="false"/>
          <w:strike/>
          <w:color w:val="FF0000"/>
          <w:sz w:val="20"/>
        </w:rPr>
        <w:t>zero balance accounts that are swept no less frequently than weekly to a Controlled Account, (iii) </w:t>
      </w:r>
      <w:r>
        <w:rPr>
          <w:rFonts w:ascii="Times New Roman;Times;Serif" w:hAnsi="Times New Roman;Times;Serif"/>
          <w:b w:val="false"/>
          <w:i w:val="false"/>
          <w:caps w:val="false"/>
          <w:smallCaps w:val="false"/>
          <w:sz w:val="20"/>
        </w:rPr>
        <w:t>accounts (including trust accounts) used exclusively for bona fide escrow, insurance or fiduciary purposes, and (</w:t>
      </w:r>
      <w:r>
        <w:rPr>
          <w:rFonts w:ascii="Times New Roman;Times;Serif" w:hAnsi="Times New Roman;Times;Serif"/>
          <w:b w:val="false"/>
          <w:i w:val="false"/>
          <w:caps w:val="false"/>
          <w:smallCaps w:val="false"/>
          <w:strike/>
          <w:color w:val="FF0000"/>
          <w:sz w:val="20"/>
        </w:rPr>
        <w:t>iv</w:t>
      </w:r>
      <w:r>
        <w:rPr>
          <w:rFonts w:ascii="Times New Roman;Times;Serif" w:hAnsi="Times New Roman;Times;Serif"/>
          <w:b w:val="false"/>
          <w:i w:val="false"/>
          <w:caps w:val="false"/>
          <w:smallCaps w:val="false"/>
          <w:color w:val="0000FF"/>
          <w:sz w:val="20"/>
          <w:u w:val="single"/>
        </w:rPr>
        <w:t>iii</w:t>
      </w:r>
      <w:r>
        <w:rPr>
          <w:rFonts w:ascii="Times New Roman;Times;Serif" w:hAnsi="Times New Roman;Times;Serif"/>
          <w:b w:val="false"/>
          <w:i w:val="false"/>
          <w:caps w:val="false"/>
          <w:smallCaps w:val="false"/>
          <w:sz w:val="20"/>
        </w:rPr>
        <w:t xml:space="preserve">) cash collateral for (x) Permitted Liens incurred pursuant to </w:t>
      </w:r>
      <w:r>
        <w:rPr>
          <w:rFonts w:ascii="Times New Roman;Times;Serif" w:hAnsi="Times New Roman;Times;Serif"/>
          <w:b/>
          <w:i w:val="false"/>
          <w:caps w:val="false"/>
          <w:smallCaps w:val="false"/>
          <w:sz w:val="20"/>
        </w:rPr>
        <w:t>Sections 9.02(i)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(r)</w:t>
      </w:r>
      <w:r>
        <w:rPr>
          <w:rFonts w:ascii="Times New Roman;Times;Serif" w:hAnsi="Times New Roman;Times;Serif"/>
          <w:b w:val="false"/>
          <w:i w:val="false"/>
          <w:caps w:val="false"/>
          <w:smallCaps w:val="false"/>
          <w:sz w:val="20"/>
        </w:rPr>
        <w:t xml:space="preserve"> and (y) Permitted Liens securing Indebtedness incurred pursuant to </w:t>
      </w:r>
      <w:r>
        <w:rPr>
          <w:rFonts w:ascii="Times New Roman;Times;Serif" w:hAnsi="Times New Roman;Times;Serif"/>
          <w:b/>
          <w:i w:val="false"/>
          <w:caps w:val="false"/>
          <w:smallCaps w:val="false"/>
          <w:sz w:val="20"/>
        </w:rPr>
        <w:t>Sections 9.01(p)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(s)(iii)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(x) imposed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 on amounts payable to or for the account of such Lender with respect to an applicable interest in a Loan or Commitment pursuant to a law in effect on the date on which (1) such Lender acquires such interest in the Loan or Commitment or (2) such Lender changes its lending office, except in each case to the extent that, pursuant to this Agreement,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Times;Serif" w:hAnsi="Times New Roman;Times;Serif"/>
          <w:b/>
          <w:i w:val="false"/>
          <w:caps w:val="false"/>
          <w:smallCaps w:val="false"/>
          <w:sz w:val="20"/>
        </w:rPr>
        <w:t>Section 5.03(f)</w:t>
      </w:r>
      <w:r>
        <w:rPr>
          <w:rFonts w:ascii="Times New Roman;Times;Serif" w:hAnsi="Times New Roman;Times;Serif"/>
          <w:b w:val="false"/>
          <w:i w:val="false"/>
          <w:caps w:val="false"/>
          <w:smallCaps w:val="false"/>
          <w:sz w:val="20"/>
        </w:rPr>
        <w:t>, and (iv)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Facility</w:t>
      </w:r>
      <w:r>
        <w:rPr>
          <w:rFonts w:ascii="Times New Roman;Times;Serif" w:hAnsi="Times New Roman;Times;Serif"/>
          <w:b w:val="false"/>
          <w:i w:val="false"/>
          <w:caps w:val="false"/>
          <w:smallCaps w:val="false"/>
          <w:sz w:val="20"/>
        </w:rPr>
        <w:t>” means any real property (including all buildings, fixtures or other improvements located thereon) now, hereafter or heretofore owned, leased or operated by any Obligor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FD&amp;C Act</w:t>
      </w:r>
      <w:r>
        <w:rPr>
          <w:rFonts w:ascii="Times New Roman;Times;Serif" w:hAnsi="Times New Roman;Times;Serif"/>
          <w:b w:val="false"/>
          <w:i w:val="false"/>
          <w:caps w:val="false"/>
          <w:smallCaps w:val="false"/>
          <w:sz w:val="20"/>
        </w:rPr>
        <w:t>” means the U.S. Food, Drug and Cosmetic Act of 1938, 21 U.S.C. §§ 301 et seq. (or any successor thereto), as amended from time to time, and the rules, regulations, guidelines, guidance documents and compliance policy guides issued or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means the U.S. Food and Drug Administration and any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Federal Funds Effective Rate</w:t>
      </w:r>
      <w:r>
        <w:rPr>
          <w:rFonts w:ascii="Times New Roman;Times;Serif" w:hAnsi="Times New Roman;Times;Serif"/>
          <w:b w:val="false"/>
          <w:i w:val="false"/>
          <w:caps w:val="false"/>
          <w:smallCaps w:val="false"/>
          <w:sz w:val="20"/>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Federal Funds Effective Rate as so determined would be less than zero, such rate shall be deemed to be zero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Fee Letter</w:t>
      </w:r>
      <w:r>
        <w:rPr>
          <w:rFonts w:ascii="Times New Roman;Times;Serif" w:hAnsi="Times New Roman;Times;Serif"/>
          <w:b w:val="false"/>
          <w:i w:val="false"/>
          <w:caps w:val="false"/>
          <w:smallCaps w:val="false"/>
          <w:sz w:val="20"/>
        </w:rPr>
        <w:t>” means the amended and restated Fee Letter, dated as of the Second Amendment Effective Date, among the Borrower, the Lenders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Fifth Amendment</w:t>
      </w:r>
      <w:r>
        <w:rPr>
          <w:rFonts w:ascii="Times New Roman;Times;Serif" w:hAnsi="Times New Roman;Times;Serif"/>
          <w:b w:val="false"/>
          <w:i w:val="false"/>
          <w:caps w:val="false"/>
          <w:smallCaps w:val="false"/>
          <w:sz w:val="20"/>
        </w:rPr>
        <w:t>” means the Fifth Amendment to this Agreement and First Amendment to the Fourth Amendment, dated as of November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Fifth Amendment Capital Raise One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 xml:space="preserve">Fifth Amendment Capital Raise Two” </w:t>
      </w:r>
      <w:r>
        <w:rPr>
          <w:rFonts w:ascii="Times New Roman;Times;Serif" w:hAnsi="Times New Roman;Times;Serif"/>
          <w:b w:val="false"/>
          <w:i w:val="false"/>
          <w:caps w:val="false"/>
          <w:smallCaps w:val="false"/>
          <w:sz w:val="20"/>
        </w:rPr>
        <w:t xml:space="preserve">has the meaning set forth in </w:t>
      </w:r>
      <w:r>
        <w:rPr>
          <w:rFonts w:ascii="Times New Roman;Times;Serif" w:hAnsi="Times New Roman;Times;Serif"/>
          <w:b/>
          <w:i w:val="false"/>
          <w:caps w:val="false"/>
          <w:smallCaps w:val="false"/>
          <w:sz w:val="20"/>
        </w:rPr>
        <w:t>Section 8.24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Fifth Amendment Date</w:t>
      </w:r>
      <w:r>
        <w:rPr>
          <w:rFonts w:ascii="Times New Roman;Times;Serif" w:hAnsi="Times New Roman;Times;Serif"/>
          <w:b w:val="false"/>
          <w:i w:val="false"/>
          <w:caps w:val="false"/>
          <w:smallCaps w:val="false"/>
          <w:sz w:val="20"/>
        </w:rPr>
        <w:t>” has the meaning set forth in the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First Amendment</w:t>
      </w:r>
      <w:r>
        <w:rPr>
          <w:rFonts w:ascii="Times New Roman;Times;Serif" w:hAnsi="Times New Roman;Times;Serif"/>
          <w:b w:val="false"/>
          <w:i w:val="false"/>
          <w:caps w:val="false"/>
          <w:smallCaps w:val="false"/>
          <w:sz w:val="20"/>
        </w:rPr>
        <w:t>” means the Waiver and First Amendment to this Agreement, dated as of November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means a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Fourteenth Amendment</w:t>
      </w:r>
      <w:r>
        <w:rPr>
          <w:rFonts w:ascii="Times New Roman;Times;Serif" w:hAnsi="Times New Roman;Times;Serif"/>
          <w:b w:val="false"/>
          <w:i w:val="false"/>
          <w:caps w:val="false"/>
          <w:smallCaps w:val="false"/>
          <w:color w:val="0000FF"/>
          <w:sz w:val="20"/>
          <w:u w:val="single"/>
        </w:rPr>
        <w:t>” means the Fourteenth Amendment to this Agreement, dated as of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rPr>
      </w:pPr>
      <w:r>
        <w:rPr>
          <w:caps w:val="false"/>
          <w:smallCaps w:val="false"/>
          <w:color w:val="0000FF"/>
          <w:u w:val="single"/>
        </w:rPr>
        <w:t>“</w:t>
      </w:r>
      <w:r>
        <w:rPr>
          <w:rFonts w:ascii="Times New Roman;Times;Serif" w:hAnsi="Times New Roman;Times;Serif"/>
          <w:b/>
          <w:i/>
          <w:caps w:val="false"/>
          <w:smallCaps w:val="false"/>
          <w:color w:val="0000FF"/>
          <w:sz w:val="20"/>
          <w:u w:val="single"/>
        </w:rPr>
        <w:t>Fourteenth Amendment Effective Date</w:t>
      </w:r>
      <w:r>
        <w:rPr>
          <w:rFonts w:ascii="Times New Roman;Times;Serif" w:hAnsi="Times New Roman;Times;Serif"/>
          <w:b w:val="false"/>
          <w:i/>
          <w:caps w:val="false"/>
          <w:smallCaps w:val="false"/>
          <w:color w:val="0000FF"/>
          <w:sz w:val="20"/>
          <w:u w:val="single"/>
        </w:rPr>
        <w:t xml:space="preserve">” </w:t>
      </w:r>
      <w:r>
        <w:rPr>
          <w:rFonts w:ascii="Times New Roman;Times;Serif" w:hAnsi="Times New Roman;Times;Serif"/>
          <w:b w:val="false"/>
          <w:i w:val="false"/>
          <w:caps w:val="false"/>
          <w:smallCaps w:val="false"/>
          <w:color w:val="0000FF"/>
          <w:sz w:val="20"/>
          <w:u w:val="single"/>
        </w:rPr>
        <w:t>means the date all of the conditions precedent set forth in Section 5 of the Fourteenth Amendment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Fourth Amendment</w:t>
      </w:r>
      <w:r>
        <w:rPr>
          <w:rFonts w:ascii="Times New Roman;Times;Serif" w:hAnsi="Times New Roman;Times;Serif"/>
          <w:b w:val="false"/>
          <w:i w:val="false"/>
          <w:caps w:val="false"/>
          <w:smallCaps w:val="false"/>
          <w:sz w:val="20"/>
        </w:rPr>
        <w:t>” means the Fourth Amendment to this Agreement, dated as of March 20,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Funding Date Certificate</w:t>
      </w:r>
      <w:r>
        <w:rPr>
          <w:rFonts w:ascii="Times New Roman;Times;Serif" w:hAnsi="Times New Roman;Times;Serif"/>
          <w:b w:val="false"/>
          <w:i w:val="false"/>
          <w:caps w:val="false"/>
          <w:smallCaps w:val="false"/>
          <w:sz w:val="20"/>
        </w:rPr>
        <w:t>” means a certificate substantially in the form of Exhibit 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All references to “GAAP” shall be to GAAP applied consistently with the principles used in the preparation of the financial statements delivered pursuant to </w:t>
      </w:r>
      <w:r>
        <w:rPr>
          <w:rFonts w:ascii="Times New Roman;Times;Serif" w:hAnsi="Times New Roman;Times;Serif"/>
          <w:b/>
          <w:i w:val="false"/>
          <w:caps w:val="false"/>
          <w:smallCaps w:val="false"/>
          <w:sz w:val="20"/>
        </w:rPr>
        <w:t>Section 6.01(d)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Governmental Approval</w:t>
      </w:r>
      <w:r>
        <w:rPr>
          <w:rFonts w:ascii="Times New Roman;Times;Serif" w:hAnsi="Times New Roman;Times;Serif"/>
          <w:b w:val="false"/>
          <w:i w:val="false"/>
          <w:caps w:val="false"/>
          <w:smallCaps w:val="false"/>
          <w:sz w:val="20"/>
        </w:rPr>
        <w:t>” means any consent, authorization, approval, order, license, franchise, permit, certification, accreditation, registration, clearance or exemption that is issued or granted by or from (or pursuant to any act of) any Governmental Authority, including any application or submission related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 each case whether U.S. or non-U.S.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or other obligation of any other Person (the “</w:t>
      </w:r>
      <w:r>
        <w:rPr>
          <w:rFonts w:ascii="Times New Roman;Times;Serif" w:hAnsi="Times New Roman;Times;Serif"/>
          <w:b/>
          <w:i/>
          <w:caps w:val="false"/>
          <w:smallCaps w:val="false"/>
          <w:sz w:val="20"/>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to support such Indebtedness or other obligation;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term Guarantee shall not include endorsements for collection or deposit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Guarantee Assumption Agreement</w:t>
      </w:r>
      <w:r>
        <w:rPr>
          <w:rFonts w:ascii="Times New Roman;Times;Serif" w:hAnsi="Times New Roman;Times;Serif"/>
          <w:b w:val="false"/>
          <w:i w:val="false"/>
          <w:caps w:val="false"/>
          <w:smallCaps w:val="false"/>
          <w:sz w:val="20"/>
        </w:rPr>
        <w:t xml:space="preserve">” means a Guarantee Assumption Agreement substantially in the form of </w:t>
      </w:r>
      <w:r>
        <w:rPr>
          <w:rFonts w:ascii="Times New Roman;Times;Serif" w:hAnsi="Times New Roman;Times;Serif"/>
          <w:b/>
          <w:i w:val="false"/>
          <w:caps w:val="false"/>
          <w:smallCaps w:val="false"/>
          <w:sz w:val="20"/>
        </w:rPr>
        <w:t xml:space="preserve">Exhibit C </w:t>
      </w:r>
      <w:r>
        <w:rPr>
          <w:rFonts w:ascii="Times New Roman;Times;Serif" w:hAnsi="Times New Roman;Times;Serif"/>
          <w:b w:val="false"/>
          <w:i w:val="false"/>
          <w:caps w:val="false"/>
          <w:smallCaps w:val="false"/>
          <w:sz w:val="20"/>
        </w:rPr>
        <w:t xml:space="preserve">by an entity that, pursuant to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 is required to become a “Subsidiary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Guaranteed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Guaranty</w:t>
      </w:r>
      <w:r>
        <w:rPr>
          <w:rFonts w:ascii="Times New Roman;Times;Serif" w:hAnsi="Times New Roman;Times;Serif"/>
          <w:b w:val="false"/>
          <w:i w:val="false"/>
          <w:caps w:val="false"/>
          <w:smallCaps w:val="false"/>
          <w:sz w:val="20"/>
        </w:rPr>
        <w:t xml:space="preserve">” means the Guaranty made by the Subsidiary Guarantors under </w:t>
      </w:r>
      <w:r>
        <w:rPr>
          <w:rFonts w:ascii="Times New Roman;Times;Serif" w:hAnsi="Times New Roman;Times;Serif"/>
          <w:b/>
          <w:i w:val="false"/>
          <w:caps w:val="false"/>
          <w:smallCaps w:val="false"/>
          <w:sz w:val="20"/>
        </w:rPr>
        <w:t xml:space="preserve">Section 13 </w:t>
      </w:r>
      <w:r>
        <w:rPr>
          <w:rFonts w:ascii="Times New Roman;Times;Serif" w:hAnsi="Times New Roman;Times;Serif"/>
          <w:b w:val="false"/>
          <w:i w:val="false"/>
          <w:caps w:val="false"/>
          <w:smallCaps w:val="false"/>
          <w:sz w:val="20"/>
        </w:rPr>
        <w:t>in favor of the Secured Parties (including any Guaranty assumed by an entity that is required to become a “Subsidiary Guarantor” pursuant to a Guarantee Assumption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Hazardous Material</w:t>
      </w:r>
      <w:r>
        <w:rPr>
          <w:rFonts w:ascii="Times New Roman;Times;Serif" w:hAnsi="Times New Roman;Times;Serif"/>
          <w:b w:val="false"/>
          <w:i w:val="false"/>
          <w:caps w:val="false"/>
          <w:smallCaps w:val="false"/>
          <w:sz w:val="20"/>
        </w:rPr>
        <w:t>” 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Hazardous Materials Activity</w:t>
      </w:r>
      <w:r>
        <w:rPr>
          <w:rFonts w:ascii="Times New Roman;Times;Serif" w:hAnsi="Times New Roman;Times;Serif"/>
          <w:b w:val="false"/>
          <w:i w:val="false"/>
          <w:caps w:val="false"/>
          <w:smallCaps w:val="false"/>
          <w:sz w:val="20"/>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Healthcare Laws</w:t>
      </w:r>
      <w:r>
        <w:rPr>
          <w:rFonts w:ascii="Times New Roman;Times;Serif" w:hAnsi="Times New Roman;Times;Serif"/>
          <w:b w:val="false"/>
          <w:i w:val="false"/>
          <w:caps w:val="false"/>
          <w:smallCaps w:val="false"/>
          <w:sz w:val="20"/>
        </w:rPr>
        <w:t>” means, collectively, all Laws and Product Authorizations applicable to the business, any Product or the Product Commercialization and Development Activities of any Obligor, whether U.S. or non-U.S., regulating the distribution, dispensing, importation, exportation, quality, manufacturing, labeling, promotion and provision of and payment for drugs, medical or healthcare products, items and services, including 45 C.F.R. et seq. (“</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Section 1128B(b) of the Social Security Act, as amended; 42 U.S.C. § 1320a-7b (Criminal Penalties Involving Medicare or State Health Care Programs), commonly referred to as the “Federal Anti-Kickback Statute”; § 1877 of the Social Security Act, as amended; 42 U.S.C. § 1395nn (Limitation on Certain Physician Referrals), commonly referred to as “Stark Statute”; the FD&amp;C Act; all rules, regulations and guidance with respect to the provision of Medicare and Medicaid programs or services (42 C.F.R. Chapter IV et seq.); 10 U.S.C. §§1071 – 1110(b); 5 U.S.C. §§ 8901 – 8914; and all rules, regulations and guidance promulgated under or pursuant to any of the foregoing, including any non-U.S.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Hedging Agreement</w:t>
      </w:r>
      <w:r>
        <w:rPr>
          <w:rFonts w:ascii="Times New Roman;Times;Serif" w:hAnsi="Times New Roman;Times;Serif"/>
          <w:b w:val="false"/>
          <w:i w:val="false"/>
          <w:caps w:val="false"/>
          <w:smallCaps w:val="false"/>
          <w:sz w:val="20"/>
        </w:rPr>
        <w:t>” means any interest rate exchange agreement, foreign currency exchange agreement, commodity price protection agreement or other interest or currency exchange rate or commodity price hedging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has the meaning set forth in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Immaterial Subsidiary</w:t>
      </w:r>
      <w:r>
        <w:rPr>
          <w:rFonts w:ascii="Times New Roman;Times;Serif" w:hAnsi="Times New Roman;Times;Serif"/>
          <w:b w:val="false"/>
          <w:i w:val="false"/>
          <w:caps w:val="false"/>
          <w:smallCaps w:val="false"/>
          <w:sz w:val="20"/>
        </w:rPr>
        <w:t xml:space="preserve">” means any Subsidiary of the Borrower that (i) individually constitutes or holds less than </w:t>
      </w:r>
      <w:r>
        <w:rPr>
          <w:rFonts w:ascii="Times New Roman;Times;Serif" w:hAnsi="Times New Roman;Times;Serif"/>
          <w:b w:val="false"/>
          <w:i w:val="false"/>
          <w:caps w:val="false"/>
          <w:smallCaps w:val="false"/>
          <w:strike/>
          <w:color w:val="FF0000"/>
          <w:sz w:val="20"/>
        </w:rPr>
        <w:t>five</w:t>
      </w:r>
      <w:r>
        <w:rPr>
          <w:rFonts w:ascii="Times New Roman;Times;Serif" w:hAnsi="Times New Roman;Times;Serif"/>
          <w:b w:val="false"/>
          <w:i w:val="false"/>
          <w:caps w:val="false"/>
          <w:smallCaps w:val="false"/>
          <w:color w:val="0000FF"/>
          <w:sz w:val="20"/>
          <w:u w:val="single"/>
        </w:rPr>
        <w:t>one</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1.0</w:t>
      </w:r>
      <w:r>
        <w:rPr>
          <w:rFonts w:ascii="Times New Roman;Times;Serif" w:hAnsi="Times New Roman;Times;Serif"/>
          <w:b w:val="false"/>
          <w:i w:val="false"/>
          <w:caps w:val="false"/>
          <w:smallCaps w:val="false"/>
          <w:sz w:val="20"/>
        </w:rPr>
        <w:t xml:space="preserve">%) of the Borrower’s consolidated total assets and generates less than </w:t>
      </w:r>
      <w:r>
        <w:rPr>
          <w:rFonts w:ascii="Times New Roman;Times;Serif" w:hAnsi="Times New Roman;Times;Serif"/>
          <w:b w:val="false"/>
          <w:i w:val="false"/>
          <w:caps w:val="false"/>
          <w:smallCaps w:val="false"/>
          <w:strike/>
          <w:color w:val="FF0000"/>
          <w:sz w:val="20"/>
        </w:rPr>
        <w:t>five</w:t>
      </w:r>
      <w:r>
        <w:rPr>
          <w:rFonts w:ascii="Times New Roman;Times;Serif" w:hAnsi="Times New Roman;Times;Serif"/>
          <w:b w:val="false"/>
          <w:i w:val="false"/>
          <w:caps w:val="false"/>
          <w:smallCaps w:val="false"/>
          <w:color w:val="0000FF"/>
          <w:sz w:val="20"/>
          <w:u w:val="single"/>
        </w:rPr>
        <w:t>one</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1.0</w:t>
      </w:r>
      <w:r>
        <w:rPr>
          <w:rFonts w:ascii="Times New Roman;Times;Serif" w:hAnsi="Times New Roman;Times;Serif"/>
          <w:b w:val="false"/>
          <w:i w:val="false"/>
          <w:caps w:val="false"/>
          <w:smallCaps w:val="false"/>
          <w:sz w:val="20"/>
        </w:rPr>
        <w:t xml:space="preserve">%) of the Borrower’s consolidated total revenue, and (ii) when taken together with all then existing Immaterial Subsidiaries, such Subsidiary and such Immaterial Subsidiaries, in the aggregate, would constitute or hold less than </w:t>
      </w:r>
      <w:r>
        <w:rPr>
          <w:rFonts w:ascii="Times New Roman;Times;Serif" w:hAnsi="Times New Roman;Times;Serif"/>
          <w:b w:val="false"/>
          <w:i w:val="false"/>
          <w:caps w:val="false"/>
          <w:smallCaps w:val="false"/>
          <w:strike/>
          <w:color w:val="FF0000"/>
          <w:sz w:val="20"/>
        </w:rPr>
        <w:t>five</w:t>
      </w:r>
      <w:r>
        <w:rPr>
          <w:rFonts w:ascii="Times New Roman;Times;Serif" w:hAnsi="Times New Roman;Times;Serif"/>
          <w:b w:val="false"/>
          <w:i w:val="false"/>
          <w:caps w:val="false"/>
          <w:smallCaps w:val="false"/>
          <w:color w:val="0000FF"/>
          <w:sz w:val="20"/>
          <w:u w:val="single"/>
        </w:rPr>
        <w:t>one</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1.0</w:t>
      </w:r>
      <w:r>
        <w:rPr>
          <w:rFonts w:ascii="Times New Roman;Times;Serif" w:hAnsi="Times New Roman;Times;Serif"/>
          <w:b w:val="false"/>
          <w:i w:val="false"/>
          <w:caps w:val="false"/>
          <w:smallCaps w:val="false"/>
          <w:sz w:val="20"/>
        </w:rPr>
        <w:t xml:space="preserve">%) of the Borrower’s consolidated total assets and generate less than </w:t>
      </w:r>
      <w:r>
        <w:rPr>
          <w:rFonts w:ascii="Times New Roman;Times;Serif" w:hAnsi="Times New Roman;Times;Serif"/>
          <w:b w:val="false"/>
          <w:i w:val="false"/>
          <w:caps w:val="false"/>
          <w:smallCaps w:val="false"/>
          <w:strike/>
          <w:color w:val="FF0000"/>
          <w:sz w:val="20"/>
        </w:rPr>
        <w:t>five</w:t>
      </w:r>
      <w:r>
        <w:rPr>
          <w:rFonts w:ascii="Times New Roman;Times;Serif" w:hAnsi="Times New Roman;Times;Serif"/>
          <w:b w:val="false"/>
          <w:i w:val="false"/>
          <w:caps w:val="false"/>
          <w:smallCaps w:val="false"/>
          <w:color w:val="0000FF"/>
          <w:sz w:val="20"/>
          <w:u w:val="single"/>
        </w:rPr>
        <w:t>one</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1.0</w:t>
      </w:r>
      <w:r>
        <w:rPr>
          <w:rFonts w:ascii="Times New Roman;Times;Serif" w:hAnsi="Times New Roman;Times;Serif"/>
          <w:b w:val="false"/>
          <w:i w:val="false"/>
          <w:caps w:val="false"/>
          <w:smallCaps w:val="false"/>
          <w:sz w:val="20"/>
        </w:rPr>
        <w:t xml:space="preserve">%) of the Borrower’s consolidated total revenue, in each case as pursuant to the most recent fiscal period for which financial statements were required to have been delivered pursuant to </w:t>
      </w:r>
      <w:r>
        <w:rPr>
          <w:rFonts w:ascii="Times New Roman;Times;Serif" w:hAnsi="Times New Roman;Times;Serif"/>
          <w:b/>
          <w:i w:val="false"/>
          <w:caps w:val="false"/>
          <w:smallCaps w:val="false"/>
          <w:sz w:val="20"/>
        </w:rPr>
        <w:t>Section 8.01(a)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Subsidiary of the Borrower shall be an Immaterial Subsidiary if such Subsidiary holds Material Intellectual Property (other than, for the avoidance of doubt, foreign Product Authorizations). If at any time the aggregate amount of the Borrower’s consolidated total assets or consolidated total revenue attributable to Immaterial Subsidiaries exceeds </w:t>
      </w:r>
      <w:r>
        <w:rPr>
          <w:rFonts w:ascii="Times New Roman;Times;Serif" w:hAnsi="Times New Roman;Times;Serif"/>
          <w:b w:val="false"/>
          <w:i w:val="false"/>
          <w:caps w:val="false"/>
          <w:smallCaps w:val="false"/>
          <w:strike/>
          <w:color w:val="FF0000"/>
          <w:sz w:val="20"/>
        </w:rPr>
        <w:t>five</w:t>
      </w:r>
      <w:r>
        <w:rPr>
          <w:rFonts w:ascii="Times New Roman;Times;Serif" w:hAnsi="Times New Roman;Times;Serif"/>
          <w:b w:val="false"/>
          <w:i w:val="false"/>
          <w:caps w:val="false"/>
          <w:smallCaps w:val="false"/>
          <w:color w:val="0000FF"/>
          <w:sz w:val="20"/>
          <w:u w:val="single"/>
        </w:rPr>
        <w:t>one</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1.0</w:t>
      </w:r>
      <w:r>
        <w:rPr>
          <w:rFonts w:ascii="Times New Roman;Times;Serif" w:hAnsi="Times New Roman;Times;Serif"/>
          <w:b w:val="false"/>
          <w:i w:val="false"/>
          <w:caps w:val="false"/>
          <w:smallCaps w:val="false"/>
          <w:sz w:val="20"/>
        </w:rPr>
        <w:t xml:space="preserve">%) of the Borrower’s consolidated total assets or consolidated total revenue, the Borrower shall promptly (and in any event within thirty (30) days of becoming aware of such excess) designate sufficient Subsidiaries as ceasing to constitute “Immaterial Subsidiaries” to eliminate such excess, and such designated Subsidiaries shall be required to become Guarantors in accordance with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 xml:space="preserve">. If at any time any Subsidiary designated as an Immaterial Subsidiary individually constitutes or holds </w:t>
      </w:r>
      <w:r>
        <w:rPr>
          <w:rFonts w:ascii="Times New Roman;Times;Serif" w:hAnsi="Times New Roman;Times;Serif"/>
          <w:b w:val="false"/>
          <w:i w:val="false"/>
          <w:caps w:val="false"/>
          <w:smallCaps w:val="false"/>
          <w:strike/>
          <w:color w:val="FF0000"/>
          <w:sz w:val="20"/>
        </w:rPr>
        <w:t>five</w:t>
      </w:r>
      <w:r>
        <w:rPr>
          <w:rFonts w:ascii="Times New Roman;Times;Serif" w:hAnsi="Times New Roman;Times;Serif"/>
          <w:b w:val="false"/>
          <w:i w:val="false"/>
          <w:caps w:val="false"/>
          <w:smallCaps w:val="false"/>
          <w:color w:val="0000FF"/>
          <w:sz w:val="20"/>
          <w:u w:val="single"/>
        </w:rPr>
        <w:t>one</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1.0</w:t>
      </w:r>
      <w:r>
        <w:rPr>
          <w:rFonts w:ascii="Times New Roman;Times;Serif" w:hAnsi="Times New Roman;Times;Serif"/>
          <w:b w:val="false"/>
          <w:i w:val="false"/>
          <w:caps w:val="false"/>
          <w:smallCaps w:val="false"/>
          <w:sz w:val="20"/>
        </w:rPr>
        <w:t xml:space="preserve">%) or more of the Borrower’s consolidated total assets or generates </w:t>
      </w:r>
      <w:r>
        <w:rPr>
          <w:rFonts w:ascii="Times New Roman;Times;Serif" w:hAnsi="Times New Roman;Times;Serif"/>
          <w:b w:val="false"/>
          <w:i w:val="false"/>
          <w:caps w:val="false"/>
          <w:smallCaps w:val="false"/>
          <w:strike/>
          <w:color w:val="FF0000"/>
          <w:sz w:val="20"/>
        </w:rPr>
        <w:t>five</w:t>
      </w:r>
      <w:r>
        <w:rPr>
          <w:rFonts w:ascii="Times New Roman;Times;Serif" w:hAnsi="Times New Roman;Times;Serif"/>
          <w:b w:val="false"/>
          <w:i w:val="false"/>
          <w:caps w:val="false"/>
          <w:smallCaps w:val="false"/>
          <w:color w:val="0000FF"/>
          <w:sz w:val="20"/>
          <w:u w:val="single"/>
        </w:rPr>
        <w:t>one</w:t>
      </w:r>
      <w:r>
        <w:rPr>
          <w:rFonts w:ascii="Times New Roman;Times;Serif" w:hAnsi="Times New Roman;Times;Serif"/>
          <w:b w:val="false"/>
          <w:i w:val="false"/>
          <w:caps w:val="false"/>
          <w:smallCaps w:val="false"/>
          <w:sz w:val="20"/>
        </w:rPr>
        <w:t xml:space="preserve"> percent (</w:t>
      </w:r>
      <w:r>
        <w:rPr>
          <w:rFonts w:ascii="Times New Roman;Times;Serif" w:hAnsi="Times New Roman;Times;Serif"/>
          <w:b w:val="false"/>
          <w:i w:val="false"/>
          <w:caps w:val="false"/>
          <w:smallCaps w:val="false"/>
          <w:strike/>
          <w:color w:val="FF0000"/>
          <w:sz w:val="20"/>
        </w:rPr>
        <w:t>5</w:t>
      </w:r>
      <w:r>
        <w:rPr>
          <w:rFonts w:ascii="Times New Roman;Times;Serif" w:hAnsi="Times New Roman;Times;Serif"/>
          <w:b w:val="false"/>
          <w:i w:val="false"/>
          <w:caps w:val="false"/>
          <w:smallCaps w:val="false"/>
          <w:color w:val="0000FF"/>
          <w:sz w:val="20"/>
          <w:u w:val="single"/>
        </w:rPr>
        <w:t>1.0</w:t>
      </w:r>
      <w:r>
        <w:rPr>
          <w:rFonts w:ascii="Times New Roman;Times;Serif" w:hAnsi="Times New Roman;Times;Serif"/>
          <w:b w:val="false"/>
          <w:i w:val="false"/>
          <w:caps w:val="false"/>
          <w:smallCaps w:val="false"/>
          <w:sz w:val="20"/>
        </w:rPr>
        <w:t xml:space="preserve">%) or more of the Borrower’s consolidated total revenue, such Subsidiary shall cease to constitute an Immaterial Subsidiary and the Borrower shall promptly (and in any event within thirty (30) days of becoming aware thereof) cause such Subsidiary to become a Guarantor in accordance with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w:t>
      </w:r>
      <w:r>
        <w:rPr>
          <w:rFonts w:ascii="Times New Roman;Times;Serif" w:hAnsi="Times New Roman;Times;Serif"/>
          <w:b w:val="false"/>
          <w:i w:val="false"/>
          <w:caps w:val="false"/>
          <w:smallCaps w:val="false"/>
          <w:sz w:val="20"/>
        </w:rPr>
        <w:t>” means (i) (x) an investigational new drug application (as defined in the FD&amp;C Act) that is required to be filed with the FDA before beginning clinical testing in human subjects, or any successor application or procedure and (y) any similar application or functional equivalent relating to any investigational new drug application applicable to or required by any non-U.S. Governmental Authority, and (ii) all supplements and amendments that may be filed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xml:space="preserve">” of any Person means, without duplication, (i) all obligations of such Person for borrowed money, (ii) all obligations of such Person evidenced by bonds, debentures, notes, loan agreements or similar instruments,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(xii) all obligations under any earn-out and guaranteed minimum milestone and other payments of such Person under any license or other agreements (but excluding any payments based on sales under any such license or other agreement), (xiii) any Disqualified Equity Interests of such Person and (xiv) any Off-Balance Sheet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Indebtedness shall not include (A) accrued expenses, deferred rent, deferred Taxes, deferred compensation or customary obligations under employment agreements, and (B) accounts payable incurred in the ordinary course of business and either (i) not overdue by more than ninety (90) days or (ii) being contested in good faith by appropriate proceedings and reserved for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xml:space="preserve">” means (i) Taxes, other than Excluded Taxes, imposed on or with respect to any payment made by or on account of any Obligation and (ii) to the extent not otherwise described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Information Certificate</w:t>
      </w:r>
      <w:r>
        <w:rPr>
          <w:rFonts w:ascii="Times New Roman;Times;Serif" w:hAnsi="Times New Roman;Times;Serif"/>
          <w:b w:val="false"/>
          <w:i w:val="false"/>
          <w:caps w:val="false"/>
          <w:smallCaps w:val="false"/>
          <w:sz w:val="20"/>
        </w:rPr>
        <w:t xml:space="preserve">” means the Information Certificate delivered pursuant to </w:t>
      </w:r>
      <w:r>
        <w:rPr>
          <w:rFonts w:ascii="Times New Roman;Times;Serif" w:hAnsi="Times New Roman;Times;Serif"/>
          <w:b/>
          <w:i w:val="false"/>
          <w:caps w:val="false"/>
          <w:smallCaps w:val="false"/>
          <w:sz w:val="20"/>
        </w:rPr>
        <w:t>Section 6.01(c)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Initial Budget</w:t>
      </w:r>
      <w:r>
        <w:rPr>
          <w:rFonts w:ascii="Times New Roman;Times;Serif" w:hAnsi="Times New Roman;Times;Serif"/>
          <w:b w:val="false"/>
          <w:i w:val="false"/>
          <w:caps w:val="false"/>
          <w:smallCaps w:val="false"/>
          <w:sz w:val="20"/>
        </w:rPr>
        <w:t>” means the cash flow budget delivered pursuant to Section 5(d) of the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Initial Period</w:t>
      </w:r>
      <w:r>
        <w:rPr>
          <w:rFonts w:ascii="Times New Roman;Times;Serif" w:hAnsi="Times New Roman;Times;Serif"/>
          <w:b w:val="false"/>
          <w:i w:val="false"/>
          <w:caps w:val="false"/>
          <w:smallCaps w:val="false"/>
          <w:sz w:val="20"/>
        </w:rPr>
        <w:t>” has the meaning ascribed to such term in the BioXcel Trademark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Insolvency Proceeding</w:t>
      </w:r>
      <w:r>
        <w:rPr>
          <w:rFonts w:ascii="Times New Roman;Times;Serif" w:hAnsi="Times New Roman;Times;Serif"/>
          <w:b w:val="false"/>
          <w:i w:val="false"/>
          <w:caps w:val="false"/>
          <w:smallCaps w:val="false"/>
          <w:sz w:val="20"/>
        </w:rPr>
        <w:t>” means (i) any case, action or proceeding before any court or other Governmental Authority relating to bankruptcy, reorganization, insolvency, liquidation, receivership, dissolution, winding-up or relief of debtors, or (ii)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means all intellectual property or proprietary rights of any kind anywhere in the world, including any rights in or to Patents, Trademarks, Copyrights, and Trade Secrets, whether U.S. or non-U.S.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Intercompany Subordination Agreement</w:t>
      </w:r>
      <w:r>
        <w:rPr>
          <w:rFonts w:ascii="Times New Roman;Times;Serif" w:hAnsi="Times New Roman;Times;Serif"/>
          <w:b w:val="false"/>
          <w:i w:val="false"/>
          <w:caps w:val="false"/>
          <w:smallCaps w:val="false"/>
          <w:sz w:val="20"/>
        </w:rPr>
        <w:t xml:space="preserve">” means a subordination agreement to be executed and delivered by each Obligor and each of its Subsidiaries, pursuant to which all obligations in respect of any Indebtedness owing to any such Person by an Obligor shall be subordinated to the prior payment in full in cash of all Obligations, such agreement to be in substantially the form attached hereto as </w:t>
      </w:r>
      <w:r>
        <w:rPr>
          <w:rFonts w:ascii="Times New Roman;Times;Serif" w:hAnsi="Times New Roman;Times;Serif"/>
          <w:b/>
          <w:i w:val="false"/>
          <w:caps w:val="false"/>
          <w:smallCaps w:val="false"/>
          <w:sz w:val="20"/>
        </w:rPr>
        <w:t>Exhibit 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Interest Rate</w:t>
      </w:r>
      <w:r>
        <w:rPr>
          <w:rFonts w:ascii="Times New Roman;Times;Serif" w:hAnsi="Times New Roman;Times;Serif"/>
          <w:b w:val="false"/>
          <w:i w:val="false"/>
          <w:caps w:val="false"/>
          <w:smallCaps w:val="false"/>
          <w:sz w:val="20"/>
        </w:rPr>
        <w:t xml:space="preserve">” means (i) prior to September 30, 2024, Term SOFR (as defined in this Agreement prior to giving effect to the Fifth Amendment)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7.50% per annum and (ii) on or after September 30, 2024, 13.00% per annum, in each case, as may be increased pursuant to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Invention</w:t>
      </w:r>
      <w:r>
        <w:rPr>
          <w:rFonts w:ascii="Times New Roman;Times;Serif" w:hAnsi="Times New Roman;Times;Serif"/>
          <w:b w:val="false"/>
          <w:i w:val="false"/>
          <w:caps w:val="false"/>
          <w:smallCaps w:val="false"/>
          <w:sz w:val="20"/>
        </w:rPr>
        <w:t>” means any novel, inventive or useful art, apparatus, method, process, machine (including any article or device), manufacture or composition of matter, or any novel, inventive and useful improvement in any art, method, process, machine (including article or device), manufacture or composition of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Investment</w:t>
      </w:r>
      <w:r>
        <w:rPr>
          <w:rFonts w:ascii="Times New Roman;Times;Serif" w:hAnsi="Times New Roman;Times;Serif"/>
          <w:b w:val="false"/>
          <w:i w:val="false"/>
          <w:caps w:val="false"/>
          <w:smallCaps w:val="false"/>
          <w:sz w:val="20"/>
        </w:rPr>
        <w:t xml:space="preserve">” means, for any Person: (i) the acquisition (whether for cash, property, services or securities or otherwise) of any debt or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ninety (90) days arising in connection with the sale of inventory or supplies by such Person in the Ordinary Course; or (iii) the entering into of any Guarantee of, or other contingent obligation with respect to, Indebtedness of any other Person and (without duplication) any amount committed to be advanced, lent or extended to such Person.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such amount be less than zero or increase any basket or amount pursuant to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above the fixed amount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U.S. Internal Revenue Service or any successor agency, and to the extent relevant, the U.S.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Landlord Consent</w:t>
      </w:r>
      <w:r>
        <w:rPr>
          <w:rFonts w:ascii="Times New Roman;Times;Serif" w:hAnsi="Times New Roman;Times;Serif"/>
          <w:b w:val="false"/>
          <w:i w:val="false"/>
          <w:caps w:val="false"/>
          <w:smallCaps w:val="false"/>
          <w:sz w:val="20"/>
        </w:rPr>
        <w:t xml:space="preserve">” means a Landlord Consent substantially in the form of </w:t>
      </w:r>
      <w:r>
        <w:rPr>
          <w:rFonts w:ascii="Times New Roman;Times;Serif" w:hAnsi="Times New Roman;Times;Serif"/>
          <w:b/>
          <w:i w:val="false"/>
          <w:caps w:val="false"/>
          <w:smallCaps w:val="false"/>
          <w:sz w:val="20"/>
        </w:rPr>
        <w:t>Exhibit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collectively, all U.S. or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 any mortgage, lien, license, pledge, hypothecation, charge,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Loan</w:t>
      </w:r>
      <w:r>
        <w:rPr>
          <w:rFonts w:ascii="Times New Roman;Times;Serif" w:hAnsi="Times New Roman;Times;Serif"/>
          <w:b w:val="false"/>
          <w:i w:val="false"/>
          <w:caps w:val="false"/>
          <w:smallCaps w:val="false"/>
          <w:sz w:val="20"/>
        </w:rPr>
        <w:t xml:space="preserve">” means each loan advanced by a Lender pursuant to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xml:space="preserve">” means, collectively, this Agreement, the First Amendment, the Second Amendment, the Third Amendment, the Fourth Amendment, the Fifth Amendment, the Sixth Amendment, the Seventh Amendment, the Eighth Amendment, the Ninth Amendment, the Tenth Amendment, the Eleventh Amendment, the Twelfth Amendment, the Thirteenth Amendment, </w:t>
      </w:r>
      <w:r>
        <w:rPr>
          <w:rFonts w:ascii="Times New Roman;Times;Serif" w:hAnsi="Times New Roman;Times;Serif"/>
          <w:b w:val="false"/>
          <w:i w:val="false"/>
          <w:caps w:val="false"/>
          <w:smallCaps w:val="false"/>
          <w:color w:val="0000FF"/>
          <w:sz w:val="20"/>
          <w:u w:val="single"/>
        </w:rPr>
        <w:t xml:space="preserve">Fourteenth Amendment, </w:t>
      </w:r>
      <w:r>
        <w:rPr>
          <w:rFonts w:ascii="Times New Roman;Times;Serif" w:hAnsi="Times New Roman;Times;Serif"/>
          <w:b w:val="false"/>
          <w:i w:val="false"/>
          <w:caps w:val="false"/>
          <w:smallCaps w:val="false"/>
          <w:sz w:val="20"/>
        </w:rPr>
        <w:t>the Notes, the Security Documents, the Company Warrants, the 701 Warrants, the Fee Letter, any Guarantee Assumption Agreement, the Intercompany Subordination Agreement and any subordination agreement, intercreditor agreement or other present or future document, instrument, agreement or certificate delivered to the Administrative Agent (for itself or for the benefit of any other Secured Party) in connection with this Agreement or any of the other Loan Documents, in each case, as amended or otherwise modified.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Majority Lenders</w:t>
      </w:r>
      <w:r>
        <w:rPr>
          <w:rFonts w:ascii="Times New Roman;Times;Serif" w:hAnsi="Times New Roman;Times;Serif"/>
          <w:b w:val="false"/>
          <w:i w:val="false"/>
          <w:caps w:val="false"/>
          <w:smallCaps w:val="false"/>
          <w:sz w:val="20"/>
        </w:rPr>
        <w:t>” means, at any time, Lenders having at such time in excess of fifty percent (50%) of the aggregate Commitments (or, if such Commitments are terminated, the outstanding principal amount of the Loans)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Margin Stock</w:t>
      </w:r>
      <w:r>
        <w:rPr>
          <w:rFonts w:ascii="Times New Roman;Times;Serif" w:hAnsi="Times New Roman;Times;Serif"/>
          <w:b w:val="false"/>
          <w:i w:val="false"/>
          <w:caps w:val="false"/>
          <w:smallCaps w:val="false"/>
          <w:sz w:val="20"/>
        </w:rPr>
        <w:t>” means “margin stock” within the meaning of Regulations U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Adverse Change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 a material adverse change in or effect on (i) the business, financial performance, operations, condition of the assets or liabilities of the Borrower and its Subsidiaries taken as a whole, (ii) the ability of any Obligor to perform its obligations under the Loan Documents, as and when due, (iii) the legality, validity, binding effect or enforceability of the Loan Documents or (iv) the rights, remedies and benefits available to, or conferred upon, the Administrative Agent or the Secured Parties under any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Agreement</w:t>
      </w:r>
      <w:r>
        <w:rPr>
          <w:rFonts w:ascii="Times New Roman;Times;Serif" w:hAnsi="Times New Roman;Times;Serif"/>
          <w:b w:val="false"/>
          <w:i w:val="false"/>
          <w:caps w:val="false"/>
          <w:smallCaps w:val="false"/>
          <w:sz w:val="20"/>
        </w:rPr>
        <w:t>” means any Contract required to be disclosed (including amendments thereto) under regulations promulgated under the Securities Act of 1933 or Securities Exchange Act of 1934, as may be amended. For the avoidance of doubt, employment and management contracts shall not be Material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Indebtedness</w:t>
      </w:r>
      <w:r>
        <w:rPr>
          <w:rFonts w:ascii="Times New Roman;Times;Serif" w:hAnsi="Times New Roman;Times;Serif"/>
          <w:b w:val="false"/>
          <w:i w:val="false"/>
          <w:caps w:val="false"/>
          <w:smallCaps w:val="false"/>
          <w:sz w:val="20"/>
        </w:rPr>
        <w:t>” means, at any time, any Indebtedness of any Obligor or Subsidiary thereof, the outstanding principal amount of which, individually or in the aggregate, exceeds $15,000,000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Intellectual Property</w:t>
      </w:r>
      <w:r>
        <w:rPr>
          <w:rFonts w:ascii="Times New Roman;Times;Serif" w:hAnsi="Times New Roman;Times;Serif"/>
          <w:b w:val="false"/>
          <w:i w:val="false"/>
          <w:caps w:val="false"/>
          <w:smallCaps w:val="false"/>
          <w:sz w:val="20"/>
        </w:rPr>
        <w:t>” means all Intellectual Property, whether currently owned by (or purported to be owned by) or licensed to (or purported to be licensed to) the Borrower or any of its Subsidiaries, or acquired, developed or obtained by or otherwise licensed to the Borrower or any of its Subsidiaries after the Closing Date that is, in each case, material to any current, planned or anticipated business of the Borrower or any of its Subsidiaries. Material Intellectual Property includes all Intellectual Property that is material to, or specifically related to or directed toward, (i) BXCL 501 or BXCL 701 or (ii) Product Commercialization and Development Activities with respect to BXCL 501 or BXCL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Software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7.05(b)(G)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Material Subsidiary</w:t>
      </w:r>
      <w:r>
        <w:rPr>
          <w:rFonts w:ascii="Times New Roman;Times;Serif" w:hAnsi="Times New Roman;Times;Serif"/>
          <w:b w:val="false"/>
          <w:i w:val="false"/>
          <w:caps w:val="false"/>
          <w:smallCaps w:val="false"/>
          <w:sz w:val="20"/>
        </w:rPr>
        <w:t>” means any Subsidiary of the Borrower that is not an Immaterial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Maturity Date</w:t>
      </w:r>
      <w:r>
        <w:rPr>
          <w:rFonts w:ascii="Times New Roman;Times;Serif" w:hAnsi="Times New Roman;Times;Serif"/>
          <w:b w:val="false"/>
          <w:i w:val="false"/>
          <w:caps w:val="false"/>
          <w:smallCaps w:val="false"/>
          <w:sz w:val="20"/>
        </w:rPr>
        <w:t xml:space="preserve">” means April 19, 2027 (as it may be extended pursuant to </w:t>
      </w:r>
      <w:r>
        <w:rPr>
          <w:rFonts w:ascii="Times New Roman;Times;Serif" w:hAnsi="Times New Roman;Times;Serif"/>
          <w:b/>
          <w:i w:val="false"/>
          <w:caps w:val="false"/>
          <w:smallCaps w:val="false"/>
          <w:sz w:val="20"/>
        </w:rPr>
        <w:t>Section 2.07</w:t>
      </w:r>
      <w:r>
        <w:rPr>
          <w:rFonts w:ascii="Times New Roman;Times;Serif" w:hAnsi="Times New Roman;Times;Serif"/>
          <w:b w:val="false"/>
          <w:i w:val="false"/>
          <w:caps w:val="false"/>
          <w:smallCaps w:val="false"/>
          <w:sz w:val="20"/>
        </w:rPr>
        <w:t>) or, if such date is not a Business Day,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Medicaid</w:t>
      </w:r>
      <w:r>
        <w:rPr>
          <w:rFonts w:ascii="Times New Roman;Times;Serif" w:hAnsi="Times New Roman;Times;Serif"/>
          <w:b w:val="false"/>
          <w:i w:val="false"/>
          <w:caps w:val="false"/>
          <w:smallCaps w:val="false"/>
          <w:sz w:val="20"/>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Medicare</w:t>
      </w:r>
      <w:r>
        <w:rPr>
          <w:rFonts w:ascii="Times New Roman;Times;Serif" w:hAnsi="Times New Roman;Times;Serif"/>
          <w:b w:val="false"/>
          <w:i w:val="false"/>
          <w:caps w:val="false"/>
          <w:smallCaps w:val="false"/>
          <w:sz w:val="20"/>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Minimum Liquidity Amount</w:t>
      </w:r>
      <w:r>
        <w:rPr>
          <w:rFonts w:ascii="Times New Roman;Times;Serif" w:hAnsi="Times New Roman;Times;Serif"/>
          <w:b w:val="false"/>
          <w:i w:val="false"/>
          <w:caps w:val="false"/>
          <w:smallCaps w:val="false"/>
          <w:sz w:val="20"/>
        </w:rPr>
        <w:t>” means (i) prior to consummation of the Fifth Amendment Equity Raise One, $25,000,000, (ii) upon consummation of the Fifth Amendment Equity Raise One to but excluding March 31, 2025, $7,500,000, (iii) from March 31, 2025 to but excluding January 1, 2026, $10,000,000, (iv) from and after January 1, 2026 to but excluding March 31, 2026, $15,000,000, (v) from and after March 31, 2026 to but excluding the Tenth Amendment Effective Date, $12,500,000, (vi) from and after the Tenth Amendment Effective Date to but excluding the Eleventh Amendment Effective Date, $7,500,000, (vii) from and after the Eleventh Amendment Effective Date to but excluding August 10, 2026, $6,250,000</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(viii) from and after August 10, 2026 </w:t>
      </w:r>
      <w:r>
        <w:rPr>
          <w:rFonts w:ascii="Times New Roman;Times;Serif" w:hAnsi="Times New Roman;Times;Serif"/>
          <w:b w:val="false"/>
          <w:i w:val="false"/>
          <w:caps w:val="false"/>
          <w:smallCaps w:val="false"/>
          <w:color w:val="0000FF"/>
          <w:sz w:val="20"/>
          <w:u w:val="single"/>
        </w:rPr>
        <w:t>to but excluding the Fourteenth Amendment Effective Date</w:t>
      </w:r>
      <w:r>
        <w:rPr>
          <w:rFonts w:ascii="Times New Roman;Times;Serif" w:hAnsi="Times New Roman;Times;Serif"/>
          <w:b w:val="false"/>
          <w:i w:val="false"/>
          <w:caps w:val="false"/>
          <w:smallCaps w:val="false"/>
          <w:sz w:val="20"/>
        </w:rPr>
        <w:t xml:space="preserve">, $3,000,000 </w:t>
      </w:r>
      <w:r>
        <w:rPr>
          <w:rFonts w:ascii="Times New Roman;Times;Serif" w:hAnsi="Times New Roman;Times;Serif"/>
          <w:b w:val="false"/>
          <w:i w:val="false"/>
          <w:caps w:val="false"/>
          <w:smallCaps w:val="false"/>
          <w:color w:val="0000FF"/>
          <w:sz w:val="20"/>
          <w:u w:val="single"/>
        </w:rPr>
        <w:t>and (ix) from and after the Fourteenth Amendment Effective Date, $250,000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Minimum Liquidity Covenant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Mortgage Deliverables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8.11(b)(iv)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Multiemployer Plan</w:t>
      </w:r>
      <w:r>
        <w:rPr>
          <w:rFonts w:ascii="Times New Roman;Times;Serif" w:hAnsi="Times New Roman;Times;Serif"/>
          <w:b w:val="false"/>
          <w:i w:val="false"/>
          <w:caps w:val="false"/>
          <w:smallCaps w:val="false"/>
          <w:sz w:val="20"/>
        </w:rPr>
        <w:t>” means any multiemployer plan, as defined in Section 400l(a)(3) of ERISA, to which any ERISA Affiliate incurs or otherwise has any obligation or liability, contingent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NDA</w:t>
      </w:r>
      <w:r>
        <w:rPr>
          <w:rFonts w:ascii="Times New Roman;Times;Serif" w:hAnsi="Times New Roman;Times;Serif"/>
          <w:b w:val="false"/>
          <w:i w:val="false"/>
          <w:caps w:val="false"/>
          <w:smallCaps w:val="false"/>
          <w:sz w:val="20"/>
        </w:rPr>
        <w:t>” means (i) (x) a new drug application (as defined in the FD&amp;C Act) and (y) any similar application or functional equivalent relating to any new drug application applicable to or required by any non-U.S. country, jurisdiction or Governmental Authority, and (ii) all supplements and amendments that may be filed with respect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Net Cash Proceeds</w:t>
      </w:r>
      <w:r>
        <w:rPr>
          <w:rFonts w:ascii="Times New Roman;Times;Serif" w:hAnsi="Times New Roman;Times;Serif"/>
          <w:b w:val="false"/>
          <w:i w:val="false"/>
          <w:caps w:val="false"/>
          <w:smallCaps w:val="false"/>
          <w:sz w:val="20"/>
        </w:rPr>
        <w:t xml:space="preserve">” means, (i) with respect to any Casualty Event experienced or suffered by any Obligor or any of its Subsidiaries, the amount of cash proceeds received (directly or indirectly) from time to time by or on behalf of such Person after deducting therefrom only (w) reasonable costs and expenses related thereto incurred by such Obligor or such Subsidiary in connection therewith, (x) Taxes (including transfer Taxes or net income Taxes) paid or payable in connection therewith, (y) reasonable reserves established for liabilities estimated to be payable in respect of such Casualty Event and deposited into escrow with a third party escrow agent on customary terms or set aside in a Controlled Account and (z) any amounts required to be used to prepay Permitted Indebtedness pursuant to </w:t>
      </w:r>
      <w:r>
        <w:rPr>
          <w:rFonts w:ascii="Times New Roman;Times;Serif" w:hAnsi="Times New Roman;Times;Serif"/>
          <w:b/>
          <w:i w:val="false"/>
          <w:caps w:val="false"/>
          <w:smallCaps w:val="false"/>
          <w:sz w:val="20"/>
        </w:rPr>
        <w:t>Section 9.01(j) </w:t>
      </w:r>
      <w:r>
        <w:rPr>
          <w:rFonts w:ascii="Times New Roman;Times;Serif" w:hAnsi="Times New Roman;Times;Serif"/>
          <w:b w:val="false"/>
          <w:i w:val="false"/>
          <w:caps w:val="false"/>
          <w:smallCaps w:val="false"/>
          <w:sz w:val="20"/>
        </w:rPr>
        <w:t xml:space="preserve">secured by the assets subject to such Casualty Event (other than (A) Indebtedness owing to the Administrative Agent or any Lender under this Agreement or the other Loan Documents and (B) Indebtedness assumed by the purchaser of such asset); and (ii) with respect to any Asset Sale by any Obligor or any of its Subsidiaries, the amount of cash proceeds received (directly or indirectly) from time to time by or on behalf of such Person after deducting therefrom only (w) reasonable costs and expenses related thereto incurred by such Obligor or such Subsidiary in connection therewith, (x) Taxes (including transfer Taxes or net income Taxes) paid or payable in connection therewith, (y) reasonable reserves established for liabilities estimated to be payable in respect of such Asset Sale and deposited into escrow with a third party escrow agent on customary terms or set aside in a Controlled Account and (z) any amounts required to be used to prepay Permitted Indebtedness pursuant to </w:t>
      </w:r>
      <w:r>
        <w:rPr>
          <w:rFonts w:ascii="Times New Roman;Times;Serif" w:hAnsi="Times New Roman;Times;Serif"/>
          <w:b/>
          <w:i w:val="false"/>
          <w:caps w:val="false"/>
          <w:smallCaps w:val="false"/>
          <w:sz w:val="20"/>
        </w:rPr>
        <w:t>Section 9.01(j)</w:t>
      </w:r>
      <w:r>
        <w:rPr>
          <w:rFonts w:ascii="Times New Roman;Times;Serif" w:hAnsi="Times New Roman;Times;Serif"/>
          <w:b w:val="false"/>
          <w:i w:val="false"/>
          <w:caps w:val="false"/>
          <w:smallCaps w:val="false"/>
          <w:sz w:val="20"/>
        </w:rPr>
        <w:t xml:space="preserve"> secured by the assets subject to such Asset Sale (other than (A) Indebtedness owing to the Administrative Agent or any Lender under this Agreement or the other Loan Documents and (B) Indebtedness assumed by the purchaser of such asset);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of </w:t>
      </w:r>
      <w:r>
        <w:rPr>
          <w:rFonts w:ascii="Times New Roman;Times;Serif" w:hAnsi="Times New Roman;Times;Serif"/>
          <w:b/>
          <w:i w:val="false"/>
          <w:caps w:val="false"/>
          <w:smallCaps w:val="false"/>
          <w:sz w:val="20"/>
        </w:rPr>
        <w:t>clauses (i)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costs and expenses shall only be deducted to the extent, that the amounts so deducted are (x) actually paid to a Person that is not an Affiliate of any Obligor or any of its Subsidiaries and (y) properly attributable to such Casualty Event or Asset Sale,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Ninth Amendment</w:t>
      </w:r>
      <w:r>
        <w:rPr>
          <w:rFonts w:ascii="Times New Roman;Times;Serif" w:hAnsi="Times New Roman;Times;Serif"/>
          <w:b w:val="false"/>
          <w:i w:val="false"/>
          <w:caps w:val="false"/>
          <w:smallCaps w:val="false"/>
          <w:sz w:val="20"/>
        </w:rPr>
        <w:t>” means the Ninth Amendment to this Agreement, dated as of March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Ninth Amendment Effective Date</w:t>
      </w:r>
      <w:r>
        <w:rPr>
          <w:rFonts w:ascii="Times New Roman;Times;Serif" w:hAnsi="Times New Roman;Times;Serif"/>
          <w:b w:val="false"/>
          <w:i w:val="false"/>
          <w:caps w:val="false"/>
          <w:smallCaps w:val="false"/>
          <w:sz w:val="20"/>
        </w:rPr>
        <w:t>” means the date all of the conditions precedent set forth in Section 4 of the Ninth Amendment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Note</w:t>
      </w:r>
      <w:r>
        <w:rPr>
          <w:rFonts w:ascii="Times New Roman;Times;Serif" w:hAnsi="Times New Roman;Times;Serif"/>
          <w:b w:val="false"/>
          <w:i w:val="false"/>
          <w:caps w:val="false"/>
          <w:smallCaps w:val="false"/>
          <w:sz w:val="20"/>
        </w:rPr>
        <w:t xml:space="preserve">” means a promissory note, in substantially the form of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 xml:space="preserve">hereto, executed and delivered by the Borrower to any Lender in accordance with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NY UCC</w:t>
      </w:r>
      <w:r>
        <w:rPr>
          <w:rFonts w:ascii="Times New Roman;Times;Serif" w:hAnsi="Times New Roman;Times;Serif"/>
          <w:b w:val="false"/>
          <w:i w:val="false"/>
          <w:caps w:val="false"/>
          <w:smallCaps w:val="false"/>
          <w:sz w:val="20"/>
        </w:rPr>
        <w:t>” means the UCC as in effect from time to time in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Oaktree Lender</w:t>
      </w:r>
      <w:r>
        <w:rPr>
          <w:rFonts w:ascii="Times New Roman;Times;Serif" w:hAnsi="Times New Roman;Times;Serif"/>
          <w:b w:val="false"/>
          <w:i w:val="false"/>
          <w:caps w:val="false"/>
          <w:smallCaps w:val="false"/>
          <w:sz w:val="20"/>
        </w:rPr>
        <w:t>” means any Lender that is an Affiliate or managed fund or account of Oaktree Capital Management,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means, with respect to any Obligor, all amounts, obligations, liabilities, covenants and duties of every type and description owing by such Obligor to any Secured Party (including all Guaranteed Obligations) any other indemnitee hereunder or any participant,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if such Obligor is the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fees, charges and disbursement of counsel), interest, Ticking Fees, Prepayment Fee, commissions, charges, costs, disbursements, indemnities and reimbursement of amounts paid and other sums chargeable to such Obligor under any Loan Document. Notwithstanding the foregoing, the Obligations shall not include any Warrant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Obligors</w:t>
      </w:r>
      <w:r>
        <w:rPr>
          <w:rFonts w:ascii="Times New Roman;Times;Serif" w:hAnsi="Times New Roman;Times;Serif"/>
          <w:b w:val="false"/>
          <w:i w:val="false"/>
          <w:caps w:val="false"/>
          <w:smallCaps w:val="false"/>
          <w:sz w:val="20"/>
        </w:rPr>
        <w:t>” means, collectively, the Borrower and the Subsidiary Guarantors and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has the meaning assigned to such term in the definition of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Off-Balance Sheet Liability</w:t>
      </w:r>
      <w:r>
        <w:rPr>
          <w:rFonts w:ascii="Times New Roman;Times;Serif" w:hAnsi="Times New Roman;Times;Serif"/>
          <w:b w:val="false"/>
          <w:i w:val="false"/>
          <w:caps w:val="false"/>
          <w:smallCaps w:val="false"/>
          <w:sz w:val="20"/>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Option Right</w:t>
      </w:r>
      <w:r>
        <w:rPr>
          <w:rFonts w:ascii="Times New Roman;Times;Serif" w:hAnsi="Times New Roman;Times;Serif"/>
          <w:b w:val="false"/>
          <w:i w:val="false"/>
          <w:caps w:val="false"/>
          <w:smallCaps w:val="false"/>
          <w:sz w:val="20"/>
        </w:rPr>
        <w:t>” has the meaning set forth in the definition of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Ordinary Course</w:t>
      </w:r>
      <w:r>
        <w:rPr>
          <w:rFonts w:ascii="Times New Roman;Times;Serif" w:hAnsi="Times New Roman;Times;Serif"/>
          <w:b w:val="false"/>
          <w:i w:val="false"/>
          <w:caps w:val="false"/>
          <w:smallCaps w:val="false"/>
          <w:sz w:val="20"/>
        </w:rPr>
        <w:t>” means ordinary course of business or ordinary trade activities that are customary for similar businesses in the normal course of their ordinary operations and not while in financial distress.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Organic Document</w:t>
      </w:r>
      <w:r>
        <w:rPr>
          <w:rFonts w:ascii="Times New Roman;Times;Serif" w:hAnsi="Times New Roman;Times;Serif"/>
          <w:b w:val="false"/>
          <w:i w:val="false"/>
          <w:caps w:val="false"/>
          <w:smallCaps w:val="false"/>
          <w:sz w:val="20"/>
        </w:rPr>
        <w:t>” means, for any Person, such Person’s formation documents, including, as applicable, its certificate of incorporation,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Parent Entity</w:t>
      </w:r>
      <w:r>
        <w:rPr>
          <w:rFonts w:ascii="Times New Roman;Times;Serif" w:hAnsi="Times New Roman;Times;Serif"/>
          <w:b w:val="false"/>
          <w:i w:val="false"/>
          <w:caps w:val="false"/>
          <w:smallCaps w:val="false"/>
          <w:sz w:val="20"/>
        </w:rPr>
        <w:t>” means any direct or indirect parent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Patents</w:t>
      </w:r>
      <w:r>
        <w:rPr>
          <w:rFonts w:ascii="Times New Roman;Times;Serif" w:hAnsi="Times New Roman;Times;Serif"/>
          <w:b w:val="false"/>
          <w:i w:val="false"/>
          <w:caps w:val="false"/>
          <w:smallCaps w:val="false"/>
          <w:sz w:val="20"/>
        </w:rPr>
        <w:t>” means (i) all domestic, national, regional and foreign patents, patent rights, patent applications, provisional applications, patent disclosures and Invention disclosures issued or filed, (ii) any patent applications filed from such patents, patent rights, patent applications, provisional applications, patent disclosures and Invention disclosures claiming priority to any of these, including renewals, divisionals, continuations, continuations-in-part, substitutions, provisionals, converted provisionals, and continued prosecution applications, (iii) any patents that have issued or in the future issue from the foregoing described in clauses (i) and (ii), including utility models, petty patents and design patents and certificates of invention; and (iv) all extensions or restorations by existing or future extension or restoration mechanisms, including revalidations, reissues, re-examinations, revisions, and term extensions (including any supplementary protection certificates and the like) of the foregoing patents or patent applications described in clauses (i), (ii) and (iii), including the Inventions claimed in any of the foregoing and any priority rights arising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Payment Date</w:t>
      </w:r>
      <w:r>
        <w:rPr>
          <w:rFonts w:ascii="Times New Roman;Times;Serif" w:hAnsi="Times New Roman;Times;Serif"/>
          <w:b w:val="false"/>
          <w:i w:val="false"/>
          <w:caps w:val="false"/>
          <w:smallCaps w:val="false"/>
          <w:sz w:val="20"/>
        </w:rPr>
        <w:t>” means (i) March 31, June 30, September 30 and December 31 of each year, commencing on the first such date to occur after the Closing Date (provided, that if such date is not a Business Day, then on the immediately preceding Business Day); and (ii)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PBGC</w:t>
      </w:r>
      <w:r>
        <w:rPr>
          <w:rFonts w:ascii="Times New Roman;Times;Serif" w:hAnsi="Times New Roman;Times;Serif"/>
          <w:b w:val="false"/>
          <w:i w:val="false"/>
          <w:caps w:val="false"/>
          <w:smallCaps w:val="false"/>
          <w:sz w:val="20"/>
        </w:rPr>
        <w:t>” means the United States Pension Benefit Guaranty Corporation referred to and defined in ERISA and any successor entity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Perfection Requirements</w:t>
      </w:r>
      <w:r>
        <w:rPr>
          <w:rFonts w:ascii="Times New Roman;Times;Serif" w:hAnsi="Times New Roman;Times;Serif"/>
          <w:b w:val="false"/>
          <w:i w:val="false"/>
          <w:caps w:val="false"/>
          <w:smallCaps w:val="false"/>
          <w:sz w:val="20"/>
        </w:rPr>
        <w:t>” means the filing of appropriate financing statements with the applicable filing office and the filing of appropriate assignments or notices with the U.S. Patent and Trademark Office and the U.S. Copyright Office, in each case in favor of Administrative Agent, the delivery to Administrative Agent of any stock certificates or promissory notes (and any corresponding stock powers or allonges), control agreements and any other Security Documents required to be delivered or actions to be taken pursuant to the applicable Loan Documents and the making or procuring of any other registrations, filings, endorsements, notarizations, stampings and/or notifications of the Security Documents or the Liens created thereunder necessary for the validity and enforceability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Capital Raise Activities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caps w:val="false"/>
          <w:smallCaps w:val="false"/>
          <w:sz w:val="20"/>
        </w:rPr>
        <w:t>Section 8.24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Cash Equivalent Investments</w:t>
      </w:r>
      <w:r>
        <w:rPr>
          <w:rFonts w:ascii="Times New Roman;Times;Serif" w:hAnsi="Times New Roman;Times;Serif"/>
          <w:b w:val="false"/>
          <w:i w:val="false"/>
          <w:caps w:val="false"/>
          <w:smallCaps w:val="false"/>
          <w:sz w:val="20"/>
        </w:rPr>
        <w:t>” means (i) marketable direct obligations issued or unconditionally guaranteed by the United States or any member states of the European Union or any agency or any state thereof having maturities of not more than one (1) year from the date of acquisition, (ii) commercial paper maturing no more than two hundred seventy (270) days after the date of acquisition thereof and having the highest rating from either Standard &amp; Poor’s Ratings Group or Moody’s Investors Service, Inc., (iii) certificates of deposit maturing no more than one (1) year after issue that are issued by any bank organized under the Laws of the United States, or any state thereof, or the District of Columbia, or any U.S. branch of a foreign bank having, at the date of acquisition thereof, combined capital and surplus of not less than $500,000,000 (or the Equivalent Amount in other currencies), (iv) any Investments compliant with the Borrower’s investment policy in the form provided to the Administrative Agent prior to the Closing Date, subject to amendments to such investment policy approved by the Administrative Agent in writing (such approval not to be unreasonably withheld, conditioned or delayed), and (v) any money market or similar funds that exclusively hold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Hedging Agreement</w:t>
      </w:r>
      <w:r>
        <w:rPr>
          <w:rFonts w:ascii="Times New Roman;Times;Serif" w:hAnsi="Times New Roman;Times;Serif"/>
          <w:b w:val="false"/>
          <w:i w:val="false"/>
          <w:caps w:val="false"/>
          <w:smallCaps w:val="false"/>
          <w:sz w:val="20"/>
        </w:rPr>
        <w:t>” means a Hedging Agreement entered into by any Obligor in such Obligor’s Ordinary Course for the purpose of hedging currency risks or interest rate risks (and not for speculative purposes) and (x) with respect to hedging currency risks, in an aggregate notional amount for all such Hedging Agreements not in excess of $10,000,000 (or the Equivalent Amount in other currencies) and (y) with respect to hedging interest rate risks, in an aggregate notional amount for all such Hedging Agreements in excess of 50%, but not more than 100%, of the aggregate principal amount of Loans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Holder</w:t>
      </w:r>
      <w:r>
        <w:rPr>
          <w:rFonts w:ascii="Times New Roman;Times;Serif" w:hAnsi="Times New Roman;Times;Serif"/>
          <w:b w:val="false"/>
          <w:i w:val="false"/>
          <w:caps w:val="false"/>
          <w:smallCaps w:val="false"/>
          <w:sz w:val="20"/>
        </w:rPr>
        <w:t>” means BioXcel LLC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Indebtedness</w:t>
      </w:r>
      <w:r>
        <w:rPr>
          <w:rFonts w:ascii="Times New Roman;Times;Serif" w:hAnsi="Times New Roman;Times;Serif"/>
          <w:b w:val="false"/>
          <w:i w:val="false"/>
          <w:caps w:val="false"/>
          <w:smallCaps w:val="false"/>
          <w:sz w:val="20"/>
        </w:rPr>
        <w:t xml:space="preserve">” means any Indebtedness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Licenses</w:t>
      </w:r>
      <w:r>
        <w:rPr>
          <w:rFonts w:ascii="Times New Roman;Times;Serif" w:hAnsi="Times New Roman;Times;Serif"/>
          <w:b w:val="false"/>
          <w:i w:val="false"/>
          <w:caps w:val="false"/>
          <w:smallCaps w:val="false"/>
          <w:sz w:val="20"/>
        </w:rPr>
        <w:t xml:space="preserve">” means (A) outbound non-exclusive licenses for the use of the Intellectual Property of any Obligor or any of its Subsidiaries entered into in the Ordinary Course, </w:t>
      </w:r>
      <w:r>
        <w:rPr>
          <w:rFonts w:ascii="Times New Roman;Times;Serif" w:hAnsi="Times New Roman;Times;Serif"/>
          <w:b w:val="false"/>
          <w:i w:val="false"/>
          <w:caps w:val="false"/>
          <w:smallCaps w:val="false"/>
          <w:color w:val="0000FF"/>
          <w:sz w:val="20"/>
          <w:u w:val="single"/>
        </w:rPr>
        <w:t xml:space="preserve">and </w:t>
      </w: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trike/>
          <w:color w:val="FF0000"/>
          <w:sz w:val="20"/>
        </w:rPr>
        <w:t>) exclusive licenses limited in territory solely with respect to a specific geographic country or region outside of the United States, and (C</w:t>
      </w:r>
      <w:r>
        <w:rPr>
          <w:rFonts w:ascii="Times New Roman;Times;Serif" w:hAnsi="Times New Roman;Times;Serif"/>
          <w:b w:val="false"/>
          <w:i w:val="false"/>
          <w:caps w:val="false"/>
          <w:smallCaps w:val="false"/>
          <w:sz w:val="20"/>
        </w:rPr>
        <w:t xml:space="preserve">) promotion, manufacture or other collaborative arrangements with a third party in which an Obligor or any of its Subsidiaries grants a third party licenses under any of its Intellectual Property, but does not grant such third party the right to sell (unless the Administrative Agent shall otherwise consent, which consent shall not be unreasonably delayed, withheld or conditioned;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trike/>
          <w:color w:val="FF0000"/>
          <w:sz w:val="20"/>
        </w:rPr>
        <w:t xml:space="preserve">in the event Borrower requests such consent in writing to Administrative Agent, accompanied by a reasonably detailed description of the proposed arrangement, Administrative Agent shall respond to such request within ten (10) Business Days);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that </w:t>
      </w:r>
      <w:r>
        <w:rPr>
          <w:rFonts w:ascii="Times New Roman;Times;Serif" w:hAnsi="Times New Roman;Times;Serif"/>
          <w:b w:val="false"/>
          <w:i w:val="false"/>
          <w:caps w:val="false"/>
          <w:smallCaps w:val="false"/>
          <w:sz w:val="20"/>
        </w:rPr>
        <w:t>with respect to each license described in clauses (A) </w:t>
      </w:r>
      <w:r>
        <w:rPr>
          <w:rFonts w:ascii="Times New Roman;Times;Serif" w:hAnsi="Times New Roman;Times;Serif"/>
          <w:b w:val="false"/>
          <w:i w:val="false"/>
          <w:caps w:val="false"/>
          <w:smallCaps w:val="false"/>
          <w:strike/>
          <w:color w:val="FF0000"/>
          <w:sz w:val="20"/>
        </w:rPr>
        <w:t>through</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such license constitutes an Arm’s Length Transaction, the terms of which (x) do not provide for a sale or assignment of any Intellectual Property, (y) do not restrict the ability of Borrower or any of its Subsidiaries, as applicable, to pledge or grant a security interest in or Lien on any Intellectual Property, and (z) are commercially reasonable (as determined in good faith by Borrower) </w:t>
      </w:r>
      <w:r>
        <w:rPr>
          <w:rFonts w:ascii="Times New Roman;Times;Serif" w:hAnsi="Times New Roman;Times;Serif"/>
          <w:b w:val="false"/>
          <w:i w:val="false"/>
          <w:caps w:val="false"/>
          <w:smallCaps w:val="false"/>
          <w:color w:val="0000FF"/>
          <w:sz w:val="20"/>
          <w:u w:val="single"/>
        </w:rPr>
        <w:t>and (ii) the Administrative Agent shall have consented to such license in its sole discretion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xml:space="preserve">” means any Liens permitted under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Priority Liens</w:t>
      </w:r>
      <w:r>
        <w:rPr>
          <w:rFonts w:ascii="Times New Roman;Times;Serif" w:hAnsi="Times New Roman;Times;Serif"/>
          <w:b w:val="false"/>
          <w:i w:val="false"/>
          <w:caps w:val="false"/>
          <w:smallCaps w:val="false"/>
          <w:sz w:val="20"/>
        </w:rPr>
        <w:t xml:space="preserve">” means (a) Liens permitted under </w:t>
      </w:r>
      <w:r>
        <w:rPr>
          <w:rFonts w:ascii="Times New Roman;Times;Serif" w:hAnsi="Times New Roman;Times;Serif"/>
          <w:b/>
          <w:i w:val="false"/>
          <w:caps w:val="false"/>
          <w:smallCaps w:val="false"/>
          <w:sz w:val="20"/>
        </w:rPr>
        <w:t>Section 9.02 (c)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and (b) Liens permitted under </w:t>
      </w:r>
      <w:r>
        <w:rPr>
          <w:rFonts w:ascii="Times New Roman;Times;Serif" w:hAnsi="Times New Roman;Times;Serif"/>
          <w:b/>
          <w:i w:val="false"/>
          <w:caps w:val="false"/>
          <w:smallCaps w:val="false"/>
          <w:sz w:val="20"/>
        </w:rPr>
        <w:t>Section 9.02(b)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Liens are also of the type described in clause (a)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Permitted Refinancing</w:t>
      </w:r>
      <w:r>
        <w:rPr>
          <w:rFonts w:ascii="Times New Roman;Times;Serif" w:hAnsi="Times New Roman;Times;Serif"/>
          <w:b w:val="false"/>
          <w:i w:val="false"/>
          <w:caps w:val="false"/>
          <w:smallCaps w:val="false"/>
          <w:sz w:val="20"/>
        </w:rPr>
        <w:t xml:space="preserve">” means, with respect to any Indebtedness permitted to be refinanced, extended, renewed or replaced hereunder, any refinancings, extensions, renewals and replacements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refinancing, extension, renewal or replacement shall not (i) increase the outstanding principal amount of the Indebtedness being refinanced, extended, renewed or replaced, except by an amount equal to accrued interest, any required prepayment premium and customary fees and expenses reasonably incurred, in connection therewith, (ii) contain terms relating to outstanding principal amount, amortization, maturity, collateral security (if any) or subordination (if any), or other material terms that, taken as a whole, are less favorable in any material respect to the Obligors and their respective Subsidiaries or the Secured Parties than the terms of any agreement or instrument governing such existing Indebtedness (as determined in good faith by the Borrower), (iii) have an applicable interest rate which does not exceed the greater of (A) the rate of interest of the Indebtedness being replaced and (B) the then applicable market interest rate, (iv) contain any new requirement to grant any Lien or to give any Guarantee that was not an existing requirement of such Indebtedness and (v) after giving effect to such refinancing, extension, renewal or replacement, no Default shall have occurred (or would reasonably be expected to occur)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company, voluntary association, partnership, limited liability company, joint venture, trust, unincorporated organization or Governmental Authority or other entity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PIK Interest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Prepayment Fee</w:t>
      </w:r>
      <w:r>
        <w:rPr>
          <w:rFonts w:ascii="Times New Roman;Times;Serif" w:hAnsi="Times New Roman;Times;Serif"/>
          <w:b w:val="false"/>
          <w:i w:val="false"/>
          <w:caps w:val="false"/>
          <w:smallCaps w:val="false"/>
          <w:sz w:val="20"/>
        </w:rPr>
        <w:t xml:space="preserve">” means with respect to any prepayment of all or any portion of the Loans, whether by optional or mandatory prepayment, acceleration or otherwise (in each case, other than any scheduled amortization payment and other than any prepayment made pursuant to </w:t>
      </w:r>
      <w:r>
        <w:rPr>
          <w:rFonts w:ascii="Times New Roman;Times;Serif" w:hAnsi="Times New Roman;Times;Serif"/>
          <w:b/>
          <w:i w:val="false"/>
          <w:caps w:val="false"/>
          <w:smallCaps w:val="false"/>
          <w:sz w:val="20"/>
        </w:rPr>
        <w:t>Section 5.02</w:t>
      </w:r>
      <w:r>
        <w:rPr>
          <w:rFonts w:ascii="Times New Roman;Times;Serif" w:hAnsi="Times New Roman;Times;Serif"/>
          <w:b w:val="false"/>
          <w:i w:val="false"/>
          <w:caps w:val="false"/>
          <w:smallCaps w:val="false"/>
          <w:sz w:val="20"/>
        </w:rPr>
        <w:t xml:space="preserve">), occurring (i) on or prior to the second anniversary of the Closing Date, an amount equal to the amount of interest that would have been paid on the principal amount of the Loans being so repaid or prepaid for the period from and including the date of such repayment or prepayment to but excluding the date that is the two (2) year anniversary of the Closing Date,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four percent (4%) of the principal amount of the Loans being so repaid or prepaid and the Commitments being so terminated, provided that, with respect to any prepayment in connection with a Change of Control event, the Prepayment Fee shall be (A) twelve and one half percent (12.5%) of the aggregate outstanding principal amount of the Loans being so repaid or prepaid if such prepayment occurs on or prior to the first anniversary of the Closing Date, and (B) ten percent (10%) of the aggregate outstanding principal amount of the Loans being so repaid or prepaid if such prepayment occurs after the first anniversary of the Closing Date but on or prior to the second anniversary of the Closing Date, (ii) at any time after the second anniversary of the Closing Date but on or prior to the third anniversary of the Closing Date, an amount equal to four percent (4%) of the aggregate outstanding principal amount of the Loans being so repaid or prepaid, (iii) at any time after the third anniversary of the Closing Date but on or prior to the fourth anniversary of the Closing Date, an amount equal to two percent (2%) of the aggregate outstanding principal amount of the Loans being so repaid or prepaid and (iv) if the prepayment is made after the fourth anniversary of the Closing Date,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Prepayment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3.03(a)(i)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 Forma Basis</w:t>
      </w:r>
      <w:r>
        <w:rPr>
          <w:rFonts w:ascii="Times New Roman;Times;Serif" w:hAnsi="Times New Roman;Times;Serif"/>
          <w:b w:val="false"/>
          <w:i w:val="false"/>
          <w:caps w:val="false"/>
          <w:smallCaps w:val="false"/>
          <w:sz w:val="20"/>
        </w:rPr>
        <w:t xml:space="preserve">” means, with respect to the calculation of any financial ratio, as of any date, that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effect will be given to the Transactions, any issuance, incurrence, assumption or permanent repayment of Indebtedness (including Indebtedness issued, incurred or assumed as a result of, or to finance, any relevant transaction and for which any such financial ratio is being calculated) and all sales, transfers and other dispositions or discontinuance of any subsidiary, line of business or division, in each case that have occurred during the four consecutive fiscal quarter period of the Borrower being used to calculate such financial ratio (the “</w:t>
      </w:r>
      <w:r>
        <w:rPr>
          <w:rFonts w:ascii="Times New Roman;Times;Serif" w:hAnsi="Times New Roman;Times;Serif"/>
          <w:b w:val="false"/>
          <w:i w:val="false"/>
          <w:caps w:val="false"/>
          <w:smallCaps w:val="false"/>
          <w:sz w:val="20"/>
          <w:u w:val="single"/>
        </w:rPr>
        <w:t>Reference Period</w:t>
      </w:r>
      <w:r>
        <w:rPr>
          <w:rFonts w:ascii="Times New Roman;Times;Serif" w:hAnsi="Times New Roman;Times;Serif"/>
          <w:b w:val="false"/>
          <w:i w:val="false"/>
          <w:caps w:val="false"/>
          <w:smallCaps w:val="false"/>
          <w:sz w:val="20"/>
        </w:rPr>
        <w:t>”), or subsequent to the end of the Reference Period but prior to such date or prior to or simultaneously with the event for which a determination under this definition is made, as if each such event occurred on the first day of the Reference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Product</w:t>
      </w:r>
      <w:r>
        <w:rPr>
          <w:rFonts w:ascii="Times New Roman;Times;Serif" w:hAnsi="Times New Roman;Times;Serif"/>
          <w:b w:val="false"/>
          <w:i w:val="false"/>
          <w:caps w:val="false"/>
          <w:smallCaps w:val="false"/>
          <w:sz w:val="20"/>
        </w:rPr>
        <w:t xml:space="preserve">” means (i) those pharmaceutical or biological products (and described in reasonable detail) on </w:t>
      </w:r>
      <w:r>
        <w:rPr>
          <w:rFonts w:ascii="Times New Roman;Times;Serif" w:hAnsi="Times New Roman;Times;Serif"/>
          <w:b/>
          <w:i w:val="false"/>
          <w:caps w:val="false"/>
          <w:smallCaps w:val="false"/>
          <w:sz w:val="20"/>
        </w:rPr>
        <w:t xml:space="preserve">Schedule 2 </w:t>
      </w:r>
      <w:r>
        <w:rPr>
          <w:rFonts w:ascii="Times New Roman;Times;Serif" w:hAnsi="Times New Roman;Times;Serif"/>
          <w:b w:val="false"/>
          <w:i w:val="false"/>
          <w:caps w:val="false"/>
          <w:smallCaps w:val="false"/>
          <w:sz w:val="20"/>
        </w:rPr>
        <w:t>attached hereto, and (ii) any current or future pharmaceutical or biological product developed, distributed, dispensed, imported, exported, labeled, promoted, manufactured, licensed, marketed, sold or otherwise commercialized by any Obligor or any of its Subsidiaries, including any such product in development or which may be developed.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Product Authorizations</w:t>
      </w:r>
      <w:r>
        <w:rPr>
          <w:rFonts w:ascii="Times New Roman;Times;Serif" w:hAnsi="Times New Roman;Times;Serif"/>
          <w:b w:val="false"/>
          <w:i w:val="false"/>
          <w:caps w:val="false"/>
          <w:smallCaps w:val="false"/>
          <w:sz w:val="20"/>
        </w:rPr>
        <w:t>” means any and all Governmental Approvals, whether U.S. or non-U.S. (including all applicable ANDAs, NDAs, INDs, Product Standards, supplements, amendments, pre- and post- approvals, governmental price and reimbursement approvals and approvals of applications for regulatory exclusivity) of any Regulatory Authority, in each case, necessary to be held or maintained by, or for the benefit of, any Obligor or any of its Subsidiaries for the ownership, use or commercialization of any Product or for any Product Commercialization and Development Activities with respect thereto in any country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Product Commercialization and Development Activities</w:t>
      </w:r>
      <w:r>
        <w:rPr>
          <w:rFonts w:ascii="Times New Roman;Times;Serif" w:hAnsi="Times New Roman;Times;Serif"/>
          <w:b w:val="false"/>
          <w:i w:val="false"/>
          <w:caps w:val="false"/>
          <w:smallCaps w:val="false"/>
          <w:sz w:val="20"/>
        </w:rPr>
        <w:t>” means, with respect to any Product, any combination of research, development, manufacture, import, use, sale, licensing, importation, exportation, shipping, storage, handling, design, labeling, marketing, promotion, supply, distribution, testing, packaging, purchasing or other commercialization activities, receipt of payment in respect of any of the foregoing (including in respect of licensing, royalty or similar payments), or any similar or other activities the purpose of which is to commercially exploit such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Product Standards</w:t>
      </w:r>
      <w:r>
        <w:rPr>
          <w:rFonts w:ascii="Times New Roman;Times;Serif" w:hAnsi="Times New Roman;Times;Serif"/>
          <w:b w:val="false"/>
          <w:i w:val="false"/>
          <w:caps w:val="false"/>
          <w:smallCaps w:val="false"/>
          <w:sz w:val="20"/>
        </w:rPr>
        <w:t>” means all safety, quality and other specifications and standards applicable to any Product, including all pharmaceutical, biological and other standards promulgated by Standards Bodies.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Prohibited Payment</w:t>
      </w:r>
      <w:r>
        <w:rPr>
          <w:rFonts w:ascii="Times New Roman;Times;Serif" w:hAnsi="Times New Roman;Times;Serif"/>
          <w:b w:val="false"/>
          <w:i w:val="false"/>
          <w:caps w:val="false"/>
          <w:smallCaps w:val="false"/>
          <w:sz w:val="20"/>
        </w:rPr>
        <w: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Proportionate Share</w:t>
      </w:r>
      <w:r>
        <w:rPr>
          <w:rFonts w:ascii="Times New Roman;Times;Serif" w:hAnsi="Times New Roman;Times;Serif"/>
          <w:b w:val="false"/>
          <w:i w:val="false"/>
          <w:caps w:val="false"/>
          <w:smallCaps w:val="false"/>
          <w:sz w:val="20"/>
        </w:rPr>
        <w:t>” means, with respect to any Lender, the percentage obtained by dividing (i) the sum of the Commitments (or, if the Commitments are terminated, the outstanding principal amount of the Loans) of such Lender then in effect by (ii) the sum of the Commitments (or, if the Commitments are terminated, the outstanding principal amount of the Loans) of all Lenders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Qatari Business Day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QIA Lender</w:t>
      </w:r>
      <w:r>
        <w:rPr>
          <w:rFonts w:ascii="Times New Roman;Times;Serif" w:hAnsi="Times New Roman;Times;Serif"/>
          <w:b w:val="false"/>
          <w:i w:val="false"/>
          <w:caps w:val="false"/>
          <w:smallCaps w:val="false"/>
          <w:sz w:val="20"/>
        </w:rPr>
        <w:t>” means any Lender that is an Affiliate of Qatar Investment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QIA Lender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Qualified Equity Interest</w:t>
      </w:r>
      <w:r>
        <w:rPr>
          <w:rFonts w:ascii="Times New Roman;Times;Serif" w:hAnsi="Times New Roman;Times;Serif"/>
          <w:b w:val="false"/>
          <w:i w:val="false"/>
          <w:caps w:val="false"/>
          <w:smallCaps w:val="false"/>
          <w:sz w:val="20"/>
        </w:rPr>
        <w:t>” means, with respect to any Person, any Equity Interest of such Person that is not a Disqualified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Qualified Plan</w:t>
      </w:r>
      <w:r>
        <w:rPr>
          <w:rFonts w:ascii="Times New Roman;Times;Serif" w:hAnsi="Times New Roman;Times;Serif"/>
          <w:b w:val="false"/>
          <w:i w:val="false"/>
          <w:caps w:val="false"/>
          <w:smallCaps w:val="false"/>
          <w:sz w:val="20"/>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ever obligated to make, contributions, and (ii) that is intended to be tax qualified under Section 401(a)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Real Property Security Documents</w:t>
      </w:r>
      <w:r>
        <w:rPr>
          <w:rFonts w:ascii="Times New Roman;Times;Serif" w:hAnsi="Times New Roman;Times;Serif"/>
          <w:b w:val="false"/>
          <w:i w:val="false"/>
          <w:caps w:val="false"/>
          <w:smallCaps w:val="false"/>
          <w:sz w:val="20"/>
        </w:rPr>
        <w:t>” means any Mortgage Deliverables, Landlord Consents or Bailee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Recipient</w:t>
      </w:r>
      <w:r>
        <w:rPr>
          <w:rFonts w:ascii="Times New Roman;Times;Serif" w:hAnsi="Times New Roman;Times;Serif"/>
          <w:b w:val="false"/>
          <w:i w:val="false"/>
          <w:caps w:val="false"/>
          <w:smallCaps w:val="false"/>
          <w:sz w:val="20"/>
        </w:rPr>
        <w:t>” means any Lender or any other recipient of any payment to be made by or on account of any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Referral Source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7.07(b)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14.05(d)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means that certain Second Amended and Restated Registration Rights Agreement, dated March 20, 2024, by and among the Borrower and the purchasers identified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Regulation T</w:t>
      </w:r>
      <w:r>
        <w:rPr>
          <w:rFonts w:ascii="Times New Roman;Times;Serif" w:hAnsi="Times New Roman;Times;Serif"/>
          <w:b w:val="false"/>
          <w:i w:val="false"/>
          <w:caps w:val="false"/>
          <w:smallCaps w:val="false"/>
          <w:sz w:val="20"/>
        </w:rPr>
        <w:t>” means Regulation T of the Board of Governors of the Federal Reserve System,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Regulation U</w:t>
      </w:r>
      <w:r>
        <w:rPr>
          <w:rFonts w:ascii="Times New Roman;Times;Serif" w:hAnsi="Times New Roman;Times;Serif"/>
          <w:b w:val="false"/>
          <w:i w:val="false"/>
          <w:caps w:val="false"/>
          <w:smallCaps w:val="false"/>
          <w:sz w:val="20"/>
        </w:rPr>
        <w:t>” means Regulation U of the Board of Governors of the Federal Reserve System,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Regulation X</w:t>
      </w:r>
      <w:r>
        <w:rPr>
          <w:rFonts w:ascii="Times New Roman;Times;Serif" w:hAnsi="Times New Roman;Times;Serif"/>
          <w:b w:val="false"/>
          <w:i w:val="false"/>
          <w:caps w:val="false"/>
          <w:smallCaps w:val="false"/>
          <w:sz w:val="20"/>
        </w:rPr>
        <w:t>” means Regulation X of the Board of Governors of the Federal Reserve System,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Regulatory Approvals</w:t>
      </w:r>
      <w:r>
        <w:rPr>
          <w:rFonts w:ascii="Times New Roman;Times;Serif" w:hAnsi="Times New Roman;Times;Serif"/>
          <w:b w:val="false"/>
          <w:i w:val="false"/>
          <w:caps w:val="false"/>
          <w:smallCaps w:val="false"/>
          <w:sz w:val="20"/>
        </w:rPr>
        <w:t>” mean, with respect to a Product, the approval of the applicable Regulatory Authority necessary for the testing, manufacturing, use, storage, supply, promotion, marketing or sale of such Product for a particular indication in a particular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Regulatory Authority</w:t>
      </w:r>
      <w:r>
        <w:rPr>
          <w:rFonts w:ascii="Times New Roman;Times;Serif" w:hAnsi="Times New Roman;Times;Serif"/>
          <w:b w:val="false"/>
          <w:i w:val="false"/>
          <w:caps w:val="false"/>
          <w:smallCaps w:val="false"/>
          <w:sz w:val="20"/>
        </w:rPr>
        <w:t>” means any Governmental Authority, whether U.S. or non-U.S., that is concerned with or has regulatory or supervisory oversight with respect to any Product or any Product Commercialization and Development Activities relating to any Product, including the FDA and all equivalent Governmental Authorities, whether U.S. or non-U.S.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trik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Reinvestment Period</w:t>
      </w:r>
      <w:r>
        <w:rPr>
          <w:rFonts w:ascii="Times New Roman;Times;Serif" w:hAnsi="Times New Roman;Times;Serif"/>
          <w:b w:val="false"/>
          <w:i w:val="false"/>
          <w:caps w:val="false"/>
          <w:smallCaps w:val="false"/>
          <w:strike/>
          <w:color w:val="FF0000"/>
          <w:sz w:val="20"/>
        </w:rPr>
        <w:t xml:space="preserve">” has the meaning set forth in </w:t>
      </w:r>
      <w:r>
        <w:rPr>
          <w:rFonts w:ascii="Times New Roman;Times;Serif" w:hAnsi="Times New Roman;Times;Serif"/>
          <w:b/>
          <w:i w:val="false"/>
          <w:caps w:val="false"/>
          <w:smallCaps w:val="false"/>
          <w:strike/>
          <w:color w:val="FF0000"/>
          <w:sz w:val="20"/>
        </w:rPr>
        <w:t>Section 3.03(b)(i)</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14.16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of any Person means each of the president, chief executive officer, chief financial officer and similar officer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Restricted Payment</w:t>
      </w:r>
      <w:r>
        <w:rPr>
          <w:rFonts w:ascii="Times New Roman;Times;Serif" w:hAnsi="Times New Roman;Times;Serif"/>
          <w:b w:val="false"/>
          <w:i w:val="false"/>
          <w:caps w:val="false"/>
          <w:smallCaps w:val="false"/>
          <w:sz w:val="20"/>
        </w:rPr>
        <w:t xml:space="preserve">” means any dividend or other distribution (whether in cash, Equity Interests or other property) with respect to any Equity Interests of any Obligor or any of its Subsidiaries, or any payment (whether in cash, Equity Interests or other property), including any sinking fund or similar deposit, on account of the purchase, redemption, retirement, acquisition, cancellation or termination of any such Equity Interests of any Obligor or any of its Subsidiaries, or any option, warrant or other right to acquire any such Equity Interests of any Obligor or any of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payments on Indebtedness convertible or exchangeable into Equity Interests shall not be Restricted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Restrictive Agreement</w:t>
      </w:r>
      <w:r>
        <w:rPr>
          <w:rFonts w:ascii="Times New Roman;Times;Serif" w:hAnsi="Times New Roman;Times;Serif"/>
          <w:b w:val="false"/>
          <w:i w:val="false"/>
          <w:caps w:val="false"/>
          <w:smallCaps w:val="false"/>
          <w:sz w:val="20"/>
        </w:rPr>
        <w:t xml:space="preserve">” means any Contract or other arrangement that prohibits, restricts or imposes any condition upon (i) the ability of any Obligor or any of its Subsidiaries to create, incur or permit to exist any Lien in favor of the Administrative Agent or the Lenders upon any of its properties or assets (other than (x) customary provisions in Contracts (including leases and in-bound licenses of Intellectual Property) restricting the assignment thereof and (y) restrictions or conditions imposed by any Contract governing secured Permitted Indebtedness permitted under </w:t>
      </w:r>
      <w:r>
        <w:rPr>
          <w:rFonts w:ascii="Times New Roman;Times;Serif" w:hAnsi="Times New Roman;Times;Serif"/>
          <w:b/>
          <w:i w:val="false"/>
          <w:caps w:val="false"/>
          <w:smallCaps w:val="false"/>
          <w:sz w:val="20"/>
        </w:rPr>
        <w:t>Section 9.01(j)</w:t>
      </w:r>
      <w:r>
        <w:rPr>
          <w:rFonts w:ascii="Times New Roman;Times;Serif" w:hAnsi="Times New Roman;Times;Serif"/>
          <w:b w:val="false"/>
          <w:i w:val="false"/>
          <w:caps w:val="false"/>
          <w:smallCaps w:val="false"/>
          <w:sz w:val="20"/>
        </w:rPr>
        <w:t>, to the extent that such restrictions or conditions apply only to the property or assets securing such Indebtedness), or (ii) the ability of any Obligor or any of its Subsidiaries to make Restricted Payments with respect to any of their respective Equity Interests or to make or repay loans or advances to any other Obligor or any of its Subsidiaries or such other Obligor or to Guarantee Indebtedness of any other Obligor or any of its Subsidiaries thereof or such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Sanction</w:t>
      </w:r>
      <w:r>
        <w:rPr>
          <w:rFonts w:ascii="Times New Roman;Times;Serif" w:hAnsi="Times New Roman;Times;Serif"/>
          <w:b w:val="false"/>
          <w:i w:val="false"/>
          <w:caps w:val="false"/>
          <w:smallCaps w:val="false"/>
          <w:sz w:val="20"/>
        </w:rPr>
        <w:t>” means any international economic or financial sanction or trade embargo imposed, administered or enforced from time to time by the United States Government (including OFAC), the United Nations Security Council, the European Union or its Member States, His Majesty’s Treasury or other relevant sanctions authority where the Borrower is located or conducts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xml:space="preserve">” means, at any time, (i) any Person listed in any Sanctions-related list of designated Persons maintained by the United States Government (including OFAC), the United Nations Security Council, the European Union or its Member States, His Majesty’s Treasury, or other relevant sanctions authority, (ii) any Person organized or resident in a Designated Jurisdiction or (iii) any Person fifty percent (50%) or more owned or is controlled by any such Person or Persons described in the foregoing </w:t>
      </w:r>
      <w:r>
        <w:rPr>
          <w:rFonts w:ascii="Times New Roman;Times;Serif" w:hAnsi="Times New Roman;Times;Serif"/>
          <w:b/>
          <w:i w:val="false"/>
          <w:caps w:val="false"/>
          <w:smallCaps w:val="false"/>
          <w:sz w:val="20"/>
        </w:rPr>
        <w:t>clause (i) or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Second Amendment</w:t>
      </w:r>
      <w:r>
        <w:rPr>
          <w:rFonts w:ascii="Times New Roman;Times;Serif" w:hAnsi="Times New Roman;Times;Serif"/>
          <w:b w:val="false"/>
          <w:i w:val="false"/>
          <w:caps w:val="false"/>
          <w:smallCaps w:val="false"/>
          <w:sz w:val="20"/>
        </w:rPr>
        <w:t>” means the Second Amendment to this Agreement, dated as of December 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Second Amendment Effective Date</w:t>
      </w:r>
      <w:r>
        <w:rPr>
          <w:rFonts w:ascii="Times New Roman;Times;Serif" w:hAnsi="Times New Roman;Times;Serif"/>
          <w:b w:val="false"/>
          <w:i w:val="false"/>
          <w:caps w:val="false"/>
          <w:smallCaps w:val="false"/>
          <w:sz w:val="20"/>
        </w:rPr>
        <w:t>” has the meaning set forth in the Second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means the U.S. Securities and Exchange Commission and any successor agency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Secured Parties</w:t>
      </w:r>
      <w:r>
        <w:rPr>
          <w:rFonts w:ascii="Times New Roman;Times;Serif" w:hAnsi="Times New Roman;Times;Serif"/>
          <w:b w:val="false"/>
          <w:i w:val="false"/>
          <w:caps w:val="false"/>
          <w:smallCaps w:val="false"/>
          <w:sz w:val="20"/>
        </w:rPr>
        <w:t>” means the Lenders, the Administrative Agent and any of their respective permitted transferees or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Security Agreement</w:t>
      </w:r>
      <w:r>
        <w:rPr>
          <w:rFonts w:ascii="Times New Roman;Times;Serif" w:hAnsi="Times New Roman;Times;Serif"/>
          <w:b w:val="false"/>
          <w:i w:val="false"/>
          <w:caps w:val="false"/>
          <w:smallCaps w:val="false"/>
          <w:sz w:val="20"/>
        </w:rPr>
        <w:t xml:space="preserve">” means the Security Agreement, delivered pursuant to </w:t>
      </w:r>
      <w:r>
        <w:rPr>
          <w:rFonts w:ascii="Times New Roman;Times;Serif" w:hAnsi="Times New Roman;Times;Serif"/>
          <w:b/>
          <w:i w:val="false"/>
          <w:caps w:val="false"/>
          <w:smallCaps w:val="false"/>
          <w:sz w:val="20"/>
        </w:rPr>
        <w:t>Section 6.01(f)</w:t>
      </w:r>
      <w:r>
        <w:rPr>
          <w:rFonts w:ascii="Times New Roman;Times;Serif" w:hAnsi="Times New Roman;Times;Serif"/>
          <w:b w:val="false"/>
          <w:i w:val="false"/>
          <w:caps w:val="false"/>
          <w:smallCaps w:val="false"/>
          <w:sz w:val="20"/>
        </w:rPr>
        <w:t>, among the Obligors and the Administrative Agent, granting a security interest in the Obligors’ personal property in favor of the Administrative Agent,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Security Documents</w:t>
      </w:r>
      <w:r>
        <w:rPr>
          <w:rFonts w:ascii="Times New Roman;Times;Serif" w:hAnsi="Times New Roman;Times;Serif"/>
          <w:b w:val="false"/>
          <w:i w:val="false"/>
          <w:caps w:val="false"/>
          <w:smallCaps w:val="false"/>
          <w:sz w:val="20"/>
        </w:rPr>
        <w:t>” means, collectively, the Security Agreement, each Short-Form IP Security Agreement, each Real Property Security Document, and each other security document, control agreement or financing statement required or recommended to perfect Liens in favor of the Secured Parties for purposes of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Seventh Amendment</w:t>
      </w:r>
      <w:r>
        <w:rPr>
          <w:rFonts w:ascii="Times New Roman;Times;Serif" w:hAnsi="Times New Roman;Times;Serif"/>
          <w:b w:val="false"/>
          <w:i w:val="false"/>
          <w:caps w:val="false"/>
          <w:smallCaps w:val="false"/>
          <w:color w:val="0000FF"/>
          <w:sz w:val="20"/>
          <w:u w:val="single"/>
        </w:rPr>
        <w:t>” means the Seventh Amendment to this Agreement, dated as of March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Shared Services Agreement</w:t>
      </w:r>
      <w:r>
        <w:rPr>
          <w:rFonts w:ascii="Times New Roman;Times;Serif" w:hAnsi="Times New Roman;Times;Serif"/>
          <w:b w:val="false"/>
          <w:i w:val="false"/>
          <w:caps w:val="false"/>
          <w:smallCaps w:val="false"/>
          <w:sz w:val="20"/>
        </w:rPr>
        <w:t>” means the Second Amended and Restated Separation and Shared Services Agreement, dated as of March 6, 2020, by and between BioXcel LLC and the Borrower,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Short-Form IP Security Agreements</w:t>
      </w:r>
      <w:r>
        <w:rPr>
          <w:rFonts w:ascii="Times New Roman;Times;Serif" w:hAnsi="Times New Roman;Times;Serif"/>
          <w:b w:val="false"/>
          <w:i w:val="false"/>
          <w:caps w:val="false"/>
          <w:smallCaps w:val="false"/>
          <w:sz w:val="20"/>
        </w:rPr>
        <w:t>” means short-form copyright, patent or trademark (as the case may be) security agreements, dated as of the Closing Date and substantially in the form of Exhibit C, D and E to the Security Agreement, entered into by one or more Obligors in favor of the Secured Parties, each in form and substance satisfactory to the Administrative Agent (and as amended, modified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0000FF"/>
          <w:u w:val="single"/>
        </w:rPr>
      </w:pPr>
      <w:r>
        <w:rPr>
          <w:caps w:val="false"/>
          <w:smallCaps w:val="false"/>
          <w:color w:val="0000FF"/>
          <w:u w:val="single"/>
        </w:rPr>
        <w:t>“</w:t>
      </w:r>
      <w:r>
        <w:rPr>
          <w:rFonts w:ascii="Times New Roman;Times;Serif" w:hAnsi="Times New Roman;Times;Serif"/>
          <w:b/>
          <w:i/>
          <w:caps w:val="false"/>
          <w:smallCaps w:val="false"/>
          <w:color w:val="0000FF"/>
          <w:sz w:val="20"/>
          <w:u w:val="single"/>
        </w:rPr>
        <w:t>Sixth Amendment</w:t>
      </w:r>
      <w:r>
        <w:rPr>
          <w:rFonts w:ascii="Times New Roman;Times;Serif" w:hAnsi="Times New Roman;Times;Serif"/>
          <w:b w:val="false"/>
          <w:i w:val="false"/>
          <w:caps w:val="false"/>
          <w:smallCaps w:val="false"/>
          <w:color w:val="0000FF"/>
          <w:sz w:val="20"/>
          <w:u w:val="single"/>
        </w:rPr>
        <w:t>” means the Sixth Amendment to this Agreement, dated as of March 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Solvent</w:t>
      </w:r>
      <w:r>
        <w:rPr>
          <w:rFonts w:ascii="Times New Roman;Times;Serif" w:hAnsi="Times New Roman;Times;Serif"/>
          <w:b w:val="false"/>
          <w:i w:val="false"/>
          <w:caps w:val="false"/>
          <w:smallCaps w:val="false"/>
          <w:sz w:val="20"/>
        </w:rPr>
        <w:t>” means, as to any Person as of any date of determination, that on such date (i) the fair value of the property of such Person is greater than the total amount of liabilities, including contingent liabilities, of such Person, (ii) the present fair saleable value of such Person is not less than the amount that will be required to pay the probable liability of such Person on its debts as they become absolute and matured, (iii) such Person does not intend to, and does not believe that it will, incur debts or liabilities beyond such Person’s ability to pay such debts and liabilities as they mature and (iv) such Person is not engaged in a business or transaction, and is not about to engage in a business or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Standard Bodies</w:t>
      </w:r>
      <w:r>
        <w:rPr>
          <w:rFonts w:ascii="Times New Roman;Times;Serif" w:hAnsi="Times New Roman;Times;Serif"/>
          <w:b w:val="false"/>
          <w:i w:val="false"/>
          <w:caps w:val="false"/>
          <w:smallCaps w:val="false"/>
          <w:sz w:val="20"/>
        </w:rPr>
        <w:t>” means any of the organizations that create, sponsor or maintain safety, quality or other standards, including ISO, ANSI, CEN and SCC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at any date, any corporation, limited liability company, partnership, association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Unless otherwise specified, all references herein to a “Subsidiary” or to “Subsidiaries” shall refer to a Subsidiary or Subsidiaries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Subsidiary Guarantors</w:t>
      </w:r>
      <w:r>
        <w:rPr>
          <w:rFonts w:ascii="Times New Roman;Times;Serif" w:hAnsi="Times New Roman;Times;Serif"/>
          <w:b w:val="false"/>
          <w:i w:val="false"/>
          <w:caps w:val="false"/>
          <w:smallCaps w:val="false"/>
          <w:sz w:val="20"/>
        </w:rPr>
        <w:t xml:space="preserve">” means each Subsidiary of the Borrower identified under the caption “SUBSIDIARY GUARANTORS” on the signature pages hereto and each Subsidiary of the Borrower that becomes, or is required to become, a “Subsidiary Guarantor” after the Closing Date pursuant to </w:t>
      </w:r>
      <w:r>
        <w:rPr>
          <w:rFonts w:ascii="Times New Roman;Times;Serif" w:hAnsi="Times New Roman;Times;Serif"/>
          <w:b/>
          <w:i w:val="false"/>
          <w:caps w:val="false"/>
          <w:smallCaps w:val="false"/>
          <w:sz w:val="20"/>
        </w:rPr>
        <w:t>Section 8.11(a)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8.11(b)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Tenth Amendment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means the Tenth Amendment to this Agreement, dated as of July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Tenth Amendment Effective Date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means the date all of the conditions precedent set forth in Section 5 of the Tenth Amendment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Termination Conditions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13.03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Third Amendment</w:t>
      </w:r>
      <w:r>
        <w:rPr>
          <w:rFonts w:ascii="Times New Roman;Times;Serif" w:hAnsi="Times New Roman;Times;Serif"/>
          <w:b w:val="false"/>
          <w:i w:val="false"/>
          <w:caps w:val="false"/>
          <w:smallCaps w:val="false"/>
          <w:sz w:val="20"/>
        </w:rPr>
        <w:t>” means the Third Amendment to this Agreement, dated as of February 12,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Thirteenth Amendment</w:t>
      </w:r>
      <w:r>
        <w:rPr>
          <w:rFonts w:ascii="Times New Roman;Times;Serif" w:hAnsi="Times New Roman;Times;Serif"/>
          <w:b w:val="false"/>
          <w:i w:val="false"/>
          <w:caps w:val="false"/>
          <w:smallCaps w:val="false"/>
          <w:sz w:val="20"/>
        </w:rPr>
        <w:t>” means the Thirteenth Amendment to this Agreement, dated as of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Ticking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Title IV Plan</w:t>
      </w:r>
      <w:r>
        <w:rPr>
          <w:rFonts w:ascii="Times New Roman;Times;Serif" w:hAnsi="Times New Roman;Times;Serif"/>
          <w:b w:val="false"/>
          <w:i w:val="false"/>
          <w:caps w:val="false"/>
          <w:smallCaps w:val="false"/>
          <w:sz w:val="20"/>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obligated to make, contributions, and (ii) that is or was subject to Section 412 of the Code, Section 302 of ERISA or Title IV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Trade Secrets</w:t>
      </w:r>
      <w:r>
        <w:rPr>
          <w:rFonts w:ascii="Times New Roman;Times;Serif" w:hAnsi="Times New Roman;Times;Serif"/>
          <w:b w:val="false"/>
          <w:i w:val="false"/>
          <w:caps w:val="false"/>
          <w:smallCaps w:val="false"/>
          <w:sz w:val="20"/>
        </w:rPr>
        <w:t>” means all know-how, trade secrets and other proprietary or confidential information, any information of a scientific, technical, or business nature in any form or medium, Inventions and Invention disclosures, all documented research, developmental, demonstration or engineering work (including all novel manufacturing methods), and all other technical data, clinical data and information related thereto, including laboratory notebooks, chemical and biological materials (including any compounds, DNA, RNA, clones, vectors, cells and any expression product, progeny, derivatives or improvements thereto) and the results of experimentation and testing, including samples.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Trademarks</w:t>
      </w:r>
      <w:r>
        <w:rPr>
          <w:rFonts w:ascii="Times New Roman;Times;Serif" w:hAnsi="Times New Roman;Times;Serif"/>
          <w:b w:val="false"/>
          <w:i w:val="false"/>
          <w:caps w:val="false"/>
          <w:smallCaps w:val="false"/>
          <w:sz w:val="20"/>
        </w:rPr>
        <w:t>” means all trade names, trademarks and service marks, trade dress, corporate names, logos, Internet domain names, IP addresses, social media handles, uniform resource locators and other indicia of origin, trademark and service mark registrations, and applications for trademark and service mark registrations, whether or not registered, and any and all common law rights thereto, including (i) all renewals of trademark and service mark registrations and (ii) all rights whatsoever accruing thereunder or pertaining thereto throughout the world, together, in each case, with the goodwill of the business connected with the use thereof and symbolized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 day on which the Common Stock is traded on a Trading Market or, if the Common Stock is not traded on a Trading Market, then on the principal securities exchange or securities market on which the Common Stock is then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means any market or exchange of The Nasdaq Stock Market LLC or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A-1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A-2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B Term Loans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has the meaning assigned to such term in </w:t>
      </w:r>
      <w:r>
        <w:rPr>
          <w:rFonts w:ascii="Times New Roman;Times;Serif" w:hAnsi="Times New Roman;Times;Serif"/>
          <w:b/>
          <w:i w:val="false"/>
          <w:caps w:val="false"/>
          <w:smallCaps w:val="false"/>
          <w:sz w:val="20"/>
        </w:rPr>
        <w:t>Section 2.01(a)(iii)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C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Tranche D Term Loans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i w:val="false"/>
          <w:caps w:val="false"/>
          <w:smallCaps w:val="false"/>
          <w:sz w:val="20"/>
        </w:rPr>
        <w:t>Section 2.01(a)(v)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 means (a)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including the creation of the Liens pursuant to the Security Documents, and (b) the payment of all fees and expenses incurred or paid by the Obligors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Twelfth Amendment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means the Twelfth Amendment to this Agreement and First Amendment to Security Agreement, dated as of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caps w:val="false"/>
          <w:smallCaps w:val="false"/>
          <w:strike/>
          <w:color w:val="FF0000"/>
          <w:sz w:val="20"/>
        </w:rPr>
        <w:t>Twelfth Amendment Effective Date</w:t>
      </w:r>
      <w:r>
        <w:rPr>
          <w:rFonts w:ascii="Times New Roman;Times;Serif" w:hAnsi="Times New Roman;Times;Serif"/>
          <w:b w:val="false"/>
          <w:i w:val="false"/>
          <w:caps w:val="false"/>
          <w:smallCaps w:val="false"/>
          <w:strike/>
          <w:color w:val="FF0000"/>
          <w:sz w:val="20"/>
        </w:rPr>
        <w:t>” means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means, with respect to any applicable jurisdictions, the Uniform Commercial Code as in effect in such jurisdiction, as may be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means the United States of America, its fifty states and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means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5.03(f)(ii)(B)(3)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USPTO</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8.19(a)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(i)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4:00 p.m. (New York City time)), (ii) if the Common Stock is not then listed on a Trading Market or quoted for trading on the OTC Bulletin Board and if prices for the Common Stock are then reported in the “Pink Sheets” published by OTC Markets Group Inc. (or a similar organization or agency succeeding to its functions of reporting prices), the most recent bid price per share of the Common Stock so reported or (iii) in all other cases, the fair market value of a share of Common Stock as determined by an independent nationally recognized investment banking, accounting or valuation firm selected in good faith by the Borrower and reasonably acceptable to the Administrative Agent, the fees and expenses of which shall be paid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Warrant Obligations</w:t>
      </w:r>
      <w:r>
        <w:rPr>
          <w:rFonts w:ascii="Times New Roman;Times;Serif" w:hAnsi="Times New Roman;Times;Serif"/>
          <w:b w:val="false"/>
          <w:i w:val="false"/>
          <w:caps w:val="false"/>
          <w:smallCaps w:val="false"/>
          <w:sz w:val="20"/>
        </w:rPr>
        <w:t>” means all Obligations of Borrower arising out of, under or in connection with the Company Warrants or the 701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Withdrawal Liability</w:t>
      </w:r>
      <w:r>
        <w:rPr>
          <w:rFonts w:ascii="Times New Roman;Times;Serif" w:hAnsi="Times New Roman;Times;Serif"/>
          <w:b w:val="false"/>
          <w:i w:val="false"/>
          <w:caps w:val="false"/>
          <w:smallCaps w:val="false"/>
          <w:sz w:val="20"/>
        </w:rPr>
        <w:t>” means, at any time, any liability incurred (whether or not assessed) by any ERISA Affiliate and not yet satisfied or paid in full at such time with respect to any Multiemployer Plan pursuant to Section 4201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Withholding Agent</w:t>
      </w:r>
      <w:r>
        <w:rPr>
          <w:rFonts w:ascii="Times New Roman;Times;Serif" w:hAnsi="Times New Roman;Times;Serif"/>
          <w:b w:val="false"/>
          <w:i w:val="false"/>
          <w:caps w:val="false"/>
          <w:smallCaps w:val="false"/>
          <w:sz w:val="20"/>
        </w:rPr>
        <w:t>” means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Accounting Terms and Principles</w:t>
      </w:r>
      <w:r>
        <w:rPr>
          <w:rFonts w:ascii="Times New Roman;Times;Serif" w:hAnsi="Times New Roman;Times;Serif"/>
          <w:b w:val="false"/>
          <w:i w:val="false"/>
          <w:caps w:val="false"/>
          <w:smallCaps w:val="false"/>
          <w:sz w:val="20"/>
        </w:rPr>
        <w:t xml:space="preserve">. Unless otherwise specified, all accounting terms used in each Loan Document shall be interpreted, and all accounting determinations and computations thereunder (including under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and any definitions used in such calculations) shall be made, in accordance with GAAP. Unless otherwise expressly provided, all financial covenants and defined financial terms shall be computed on a consolidated basis for the Borrower and its Subsidiaries, in each case without duplication. If the Borrower requests an amendment to any provision hereof to eliminate the effect of (a) any change in GAAP or the application thereof or (b) the issuance of any new accounting rule or guidance or in the application thereof, in each case, occurring after the date of this Agreement, then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and, until any such amendments have been agreed upon, (i) the provisions in this Agreement shall be calculated as if no such change or issuance has occurred and (ii) the Borrower shall provide to the Lenders a written reconciliation in form and substance reasonably satisfactory to the Lenders, between calculations of any baskets and other requirements hereunder before and after giving effect to such change or issuance. Notwithstanding anything to the contrary in this Agreement, all obligations of any Person that would have been treated as operating leases pursuant to GAAP prior to the effectiveness of Accounting Standards Codification 842 shall continue to be treated as operating leases for purposes of the definitions of “Capital Lease Obligations”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Interpretation</w:t>
      </w:r>
      <w:r>
        <w:rPr>
          <w:rFonts w:ascii="Times New Roman;Times;Serif" w:hAnsi="Times New Roman;Times;Serif"/>
          <w:b w:val="false"/>
          <w:i w:val="false"/>
          <w:caps w:val="false"/>
          <w:smallCaps w:val="false"/>
          <w:sz w:val="20"/>
        </w:rPr>
        <w:t>. For all purposes of this Agreement, except as otherwise expressly provided herein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defined in this Agreement include the plural as well as the singular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importing gender include all genders;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reference to a Section, Annex, Schedule or Exhibit refers to a Section of, or Annex, Schedule or Exhibit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to days, months and years refer to calendar days, months and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herein to “include” or “including” shall be deemed to be followed by the words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word “from” when used in connection with a period of time means “from and including” and the word “until” means “to but not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accounting terms not specifically defined herein (other than “property” and “asset”) shall be construed in accordance with GAAP, subject to Section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word “will” shall have the same meaning as the word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references to any Lien granted or created hereunder or pursuant to any other Loan Document securing any Obligations shall deemed to be a Lien for the benefit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 Any definition or reference to any Law shall include all statutory and regulatory provisions consolidating, amending, replacing, supplementing or interpreting such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required to be made pursuant to the terms and conditions of any Loan Document falls due on a day which is not a Business Day, then such required payment date shall be extended to the immediately following Business Day. For purposes of determining compliance with any covenant (including the computation of any financial covenant) contained herein, Indebtedness of the Obligors and their Subsidiaries will be deemed to be equal to 100% of the outstanding principal amount thereof or payment obligations with respect thereto at the time of determination thereof, or with respect to any Hedging Agreements, the amount that would be payable if the agreement governing such Hedging Agreements were terminated on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Division</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w:t>
      </w:r>
      <w:r>
        <w:rPr>
          <w:rFonts w:ascii="Times New Roman;Times;Serif" w:hAnsi="Times New Roman;Times;Serif"/>
          <w:b/>
          <w:i w:val="false"/>
          <w:caps w:val="false"/>
          <w:smallCaps w:val="false"/>
          <w:sz w:val="20"/>
        </w:rPr>
        <w:t>Division</w:t>
      </w:r>
      <w:r>
        <w:rPr>
          <w:rFonts w:ascii="Times New Roman;Times;Serif" w:hAnsi="Times New Roman;Times;Serif"/>
          <w:b w:val="false"/>
          <w:i w:val="false"/>
          <w:caps w:val="false"/>
          <w:smallCaps w:val="false"/>
          <w:sz w:val="20"/>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w:t>
      </w:r>
      <w:r>
        <w:rPr>
          <w:rFonts w:ascii="Times New Roman;Times;Serif" w:hAnsi="Times New Roman;Times;Serif"/>
          <w:b/>
          <w:i w:val="false"/>
          <w:caps w:val="false"/>
          <w:smallCaps w:val="false"/>
          <w:sz w:val="20"/>
        </w:rPr>
        <w:br/>
        <w:t>THE COMMITMENT AND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terms and subject to the conditions of this Agreement, each Lender agrees: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left"/>
              <w:rPr/>
            </w:pPr>
            <w:r>
              <w:rPr/>
              <w:t>to make Loans to the Borrower in a principal amount equal to the amount of such Lender’s Tranche A-1 Commitment on the Applicable Funding Date for the Tranche A-1 Term Loans (“</w:t>
            </w:r>
            <w:r>
              <w:rPr>
                <w:b/>
                <w:i/>
              </w:rPr>
              <w:t>Tranche A-1 Term Loans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left"/>
              <w:rPr/>
            </w:pPr>
            <w:r>
              <w:rPr/>
              <w:t>to make Loans to the Borrower in a principal amount equal to the amount of such Lender’s Tranche A-2 Commitment on the Applicable Funding Date for the Tranche A-2 Term Loans (“</w:t>
            </w:r>
            <w:r>
              <w:rPr>
                <w:b/>
                <w:i/>
              </w:rPr>
              <w:t>Tranche A-2 Term Loans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9" w:type="dxa"/>
            <w:tcBorders/>
            <w:vAlign w:val="center"/>
          </w:tcPr>
          <w:p>
            <w:pPr>
              <w:pStyle w:val="TableContents"/>
              <w:bidi w:val="0"/>
              <w:spacing w:before="0" w:after="283"/>
              <w:jc w:val="left"/>
              <w:rPr/>
            </w:pPr>
            <w:r>
              <w:rPr/>
              <w:t>to make Loans to the Borrower in a principal amount equal to the amount of such Lender’s Tranche B Commitment on the Applicable Funding Date for the Tranche B Term Loans (“</w:t>
            </w:r>
            <w:r>
              <w:rPr>
                <w:b/>
                <w:i/>
              </w:rPr>
              <w:t>Tranche B Term Loans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(iv)</w:t>
            </w:r>
          </w:p>
        </w:tc>
        <w:tc>
          <w:tcPr>
            <w:tcW w:w="9860" w:type="dxa"/>
            <w:tcBorders/>
            <w:vAlign w:val="center"/>
          </w:tcPr>
          <w:p>
            <w:pPr>
              <w:pStyle w:val="TableContents"/>
              <w:bidi w:val="0"/>
              <w:spacing w:before="0" w:after="283"/>
              <w:jc w:val="left"/>
              <w:rPr/>
            </w:pPr>
            <w:r>
              <w:rPr/>
              <w:t>to make Loans to the Borrower in a principal amount equal to the amount of such Lender’s Tranche C Commitment on the Applicable Funding Date for the Tranche C Term Loans (“</w:t>
            </w:r>
            <w:r>
              <w:rPr>
                <w:b/>
                <w:i/>
              </w:rPr>
              <w:t>Tranche C Term Loans</w:t>
            </w:r>
            <w:r>
              <w:rPr/>
              <w:t xml:space="preserve">”); </w:t>
            </w:r>
            <w:r>
              <w:rPr>
                <w:strike/>
                <w:color w:val="FF0000"/>
              </w:rPr>
              <w:t>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(v)</w:t>
            </w:r>
          </w:p>
        </w:tc>
        <w:tc>
          <w:tcPr>
            <w:tcW w:w="9919" w:type="dxa"/>
            <w:tcBorders/>
            <w:vAlign w:val="center"/>
          </w:tcPr>
          <w:p>
            <w:pPr>
              <w:pStyle w:val="TableContents"/>
              <w:bidi w:val="0"/>
              <w:spacing w:before="0" w:after="283"/>
              <w:jc w:val="left"/>
              <w:rPr/>
            </w:pPr>
            <w:r>
              <w:rPr/>
              <w:t>to make Loans to the Borrower in a principal amount equal to the amount of such Lender’s Tranche D Commitment on the Applicable Funding Date for the Tranche D Term Loans (“</w:t>
            </w:r>
            <w:r>
              <w:rPr>
                <w:b/>
                <w:i/>
              </w:rPr>
              <w:t>Tranche D Term Loans</w:t>
            </w:r>
            <w:r>
              <w:rPr/>
              <w:t>”)</w:t>
            </w:r>
            <w:r>
              <w:rPr>
                <w:strike/>
                <w:color w:val="FF0000"/>
              </w:rPr>
              <w:t>.</w:t>
            </w:r>
            <w:r>
              <w:rPr>
                <w:color w:val="0000FF"/>
                <w:u w:val="single"/>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u w:val="single"/>
              </w:rPr>
            </w:pPr>
            <w:r>
              <w:rPr>
                <w:u w:val="single"/>
              </w:rPr>
              <w:t>(vi)</w:t>
            </w:r>
          </w:p>
        </w:tc>
        <w:tc>
          <w:tcPr>
            <w:tcW w:w="9863" w:type="dxa"/>
            <w:tcBorders/>
            <w:vAlign w:val="center"/>
          </w:tcPr>
          <w:p>
            <w:pPr>
              <w:pStyle w:val="TableContents"/>
              <w:bidi w:val="0"/>
              <w:spacing w:before="0" w:after="283"/>
              <w:jc w:val="left"/>
              <w:rPr>
                <w:u w:val="single"/>
              </w:rPr>
            </w:pPr>
            <w:r>
              <w:rPr>
                <w:u w:val="single"/>
              </w:rPr>
              <w:t>to make Loans to the Borrower in a principal amount equal to the amount of such Lender’s Amendment No. 14 Commitment on the Applicable Funding Date for the Amendment No. 14 Term Loans (“</w:t>
            </w:r>
            <w:r>
              <w:rPr>
                <w:b/>
                <w:i/>
                <w:u w:val="single"/>
              </w:rPr>
              <w:t>Amendment No. 14 Term Loans</w:t>
            </w:r>
            <w:r>
              <w:rPr>
                <w:u w:val="singl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amounts paid or prepaid with respect to any Loan may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term or provision hereof (or of any other Loan Document) to the contrary notwithstanding, Loans made to the Borrower will be denominated solely in Dollars and will be repayable solely in Dollars and no other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Borrowing Procedures</w:t>
      </w:r>
      <w:r>
        <w:rPr>
          <w:rFonts w:ascii="Times New Roman;Times;Serif" w:hAnsi="Times New Roman;Times;Serif"/>
          <w:b w:val="false"/>
          <w:i w:val="false"/>
          <w:caps w:val="false"/>
          <w:smallCaps w:val="false"/>
          <w:sz w:val="20"/>
        </w:rPr>
        <w:t xml:space="preserve">. At least five (5) Business Days prior to any Applicable Funding Date (other than </w:t>
      </w:r>
      <w:r>
        <w:rPr>
          <w:rFonts w:ascii="Times New Roman;Times;Serif" w:hAnsi="Times New Roman;Times;Serif"/>
          <w:b w:val="false"/>
          <w:i w:val="false"/>
          <w:caps w:val="false"/>
          <w:smallCaps w:val="false"/>
          <w:color w:val="0000FF"/>
          <w:sz w:val="20"/>
          <w:u w:val="single"/>
        </w:rPr>
        <w:t>(x) </w:t>
      </w:r>
      <w:r>
        <w:rPr>
          <w:rFonts w:ascii="Times New Roman;Times;Serif" w:hAnsi="Times New Roman;Times;Serif"/>
          <w:b w:val="false"/>
          <w:i w:val="false"/>
          <w:caps w:val="false"/>
          <w:smallCaps w:val="false"/>
          <w:sz w:val="20"/>
        </w:rPr>
        <w:t>with respect to Tranche A-2 Term Loans</w:t>
      </w:r>
      <w:r>
        <w:rPr>
          <w:rFonts w:ascii="Times New Roman;Times;Serif" w:hAnsi="Times New Roman;Times;Serif"/>
          <w:b w:val="false"/>
          <w:i w:val="false"/>
          <w:caps w:val="false"/>
          <w:smallCaps w:val="false"/>
          <w:strike/>
          <w:color w:val="FF0000"/>
          <w:sz w:val="20"/>
        </w:rPr>
        <w:t xml:space="preserve">) (or </w:t>
      </w:r>
      <w:r>
        <w:rPr>
          <w:rFonts w:ascii="Times New Roman;Times;Serif" w:hAnsi="Times New Roman;Times;Serif"/>
          <w:b w:val="false"/>
          <w:i w:val="false"/>
          <w:caps w:val="false"/>
          <w:smallCaps w:val="false"/>
          <w:color w:val="0000FF"/>
          <w:sz w:val="20"/>
          <w:u w:val="single"/>
        </w:rPr>
        <w:t>and (y) with respect to the Amendment No. 14 Term Loans, for which a Borrowing Notice may be delivered on the Fourteenth Amendment Effective Date) (or, in each case,</w:t>
      </w:r>
      <w:r>
        <w:rPr>
          <w:rFonts w:ascii="Times New Roman;Times;Serif" w:hAnsi="Times New Roman;Times;Serif"/>
          <w:b w:val="false"/>
          <w:i w:val="false"/>
          <w:caps w:val="false"/>
          <w:smallCaps w:val="false"/>
          <w:sz w:val="20"/>
        </w:rPr>
        <w:t xml:space="preserve"> such shorter period agreed by the Lenders), the Borrower shall deliver to the Administrative Agent an irrevocable Borrowing Notice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signed by a duly authorized representative of the Borrower (which notice, if received by the Administrative Agent on a day that is not a Business Day or after 10:00 A.M. (Eastern time) on a Business Day, shall be deemed to have been delivered on the next Business Day). Each Borrowing Notice shall be for the full amount of the applicable Commitments and no Borrowing Notice for less than such full amount shall be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Funding of Borrowings</w:t>
      </w:r>
      <w:r>
        <w:rPr>
          <w:rFonts w:ascii="Times New Roman;Times;Serif" w:hAnsi="Times New Roman;Times;Serif"/>
          <w:b w:val="false"/>
          <w:i w:val="false"/>
          <w:caps w:val="false"/>
          <w:smallCaps w:val="false"/>
          <w:sz w:val="20"/>
        </w:rPr>
        <w:t>. Promptly following receipt of any written Borrowing Notice the Administrative Agent shall advise each Lender of the details thereof and of the amount of such Lender’s Loan to be made as part of the requested Borrowing. Each Lender shall make each Loan to be made by it hereunder on the proposed date thereof solely by wire transfer of immediately available funds, by 2:00 p.m. New York City time, to the account of the Administrative Agent most recently designated by it for such purpose by notice to the Lenders. Upon receipt of all funds the Administrative Agent will make such Loans available to the Borrower promptly by wire transfer of the amounts so received, in like funds, to an account designated by the Borrower in the applicable Borrowing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If requested by any Lender, the Loan of such Lender shall be evidenced by one or more Notes. The Borrower shall prepare, execute and deliver to the Lender such promissory note(s) substantially in the form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The Borrower shall use the proceeds of the Loans (i) for U.S. commercial launch of BXCL 501, clinical development of expanded indications for BXCL 501, and clinical development of BXCL 701 and the Emerging 701 Pipeline, and (ii) for working capital and general corporate purposes, including the payment of fees and expenses associated with this Agreement and to support the Borrower’s research and development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Ticking Fees</w:t>
      </w:r>
      <w:r>
        <w:rPr>
          <w:rFonts w:ascii="Times New Roman;Times;Serif" w:hAnsi="Times New Roman;Times;Serif"/>
          <w:b w:val="false"/>
          <w:i w:val="false"/>
          <w:caps w:val="false"/>
          <w:smallCaps w:val="false"/>
          <w:sz w:val="20"/>
        </w:rPr>
        <w:t>. The Borrower shall pay to the Administrative Agent, for the account of the Lenders, a ticking fee (the “</w:t>
      </w:r>
      <w:r>
        <w:rPr>
          <w:rFonts w:ascii="Times New Roman;Times;Serif" w:hAnsi="Times New Roman;Times;Serif"/>
          <w:b/>
          <w:i/>
          <w:caps w:val="false"/>
          <w:smallCaps w:val="false"/>
          <w:sz w:val="20"/>
        </w:rPr>
        <w:t>Ticking Fee</w:t>
      </w:r>
      <w:r>
        <w:rPr>
          <w:rFonts w:ascii="Times New Roman;Times;Serif" w:hAnsi="Times New Roman;Times;Serif"/>
          <w:b w:val="false"/>
          <w:i w:val="false"/>
          <w:caps w:val="false"/>
          <w:smallCaps w:val="false"/>
          <w:sz w:val="20"/>
        </w:rPr>
        <w:t>”) equal to 0.750% per annum multiplied by the daily undrawn amount of the outstanding Commitments, on (i) each Payment Date prior to the latest Commitment Termination Date, commencing with the first Payment Date following the date that is 120 days after the funding of the Tranche A-1 Term Loans, (ii) each date on which a Tranche B Term Loan, Tranche C Term Loan or Tranche D Term Loan is funded, in each case solely with respect to such funded Loans for the period from the prior Payment Date through, and including, the date of such funding, (iii) each date on which any Commitments expire or are terminated, in each case solely with respect to such expired or terminated Commitments for the period from the prior Payment Date through, and including, the date of such expiration or termination and (iv) upon acceleration or maturity of the Loans hereunder, solely with respect to any then-outstanding and undrawn Commitments for the period from the prior Payment Date through, and including, the date of such acceleration or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2.07 Extension of Maturity Date</w:t>
      </w:r>
      <w:r>
        <w:rPr>
          <w:rFonts w:ascii="Times New Roman;Times;Serif" w:hAnsi="Times New Roman;Times;Serif"/>
          <w:b w:val="false"/>
          <w:i w:val="false"/>
          <w:caps w:val="false"/>
          <w:smallCaps w:val="false"/>
          <w:strike/>
          <w:color w:val="FF0000"/>
          <w:sz w:val="20"/>
        </w:rPr>
        <w:t>. The Borrower shall have the right to extend the Maturity Date to April 19, 2028 upon satisfaction of all of the following conditions precedent, which must be satisfied prior to the effectiveness of the extension of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(a) </w:t>
      </w:r>
      <w:r>
        <w:rPr>
          <w:rFonts w:ascii="Times New Roman;Times;Serif" w:hAnsi="Times New Roman;Times;Serif"/>
          <w:b/>
          <w:i w:val="false"/>
          <w:caps w:val="false"/>
          <w:smallCaps w:val="false"/>
          <w:strike/>
          <w:color w:val="FF0000"/>
          <w:sz w:val="20"/>
        </w:rPr>
        <w:t>Extension Request</w:t>
      </w:r>
      <w:r>
        <w:rPr>
          <w:rFonts w:ascii="Times New Roman;Times;Serif" w:hAnsi="Times New Roman;Times;Serif"/>
          <w:b w:val="false"/>
          <w:i w:val="false"/>
          <w:caps w:val="false"/>
          <w:smallCaps w:val="false"/>
          <w:strike/>
          <w:color w:val="FF0000"/>
          <w:sz w:val="20"/>
        </w:rPr>
        <w:t>. The Borrower shall deliver written notice of a request for extension to the Administrative Agent no earlier than September 21, 2026 and not later than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(b) </w:t>
      </w:r>
      <w:r>
        <w:rPr>
          <w:rFonts w:ascii="Times New Roman;Times;Serif" w:hAnsi="Times New Roman;Times;Serif"/>
          <w:b/>
          <w:i w:val="false"/>
          <w:caps w:val="false"/>
          <w:smallCaps w:val="false"/>
          <w:strike/>
          <w:color w:val="FF0000"/>
          <w:sz w:val="20"/>
        </w:rPr>
        <w:t>BXCL 501 FDA Alzheimer’s Approval</w:t>
      </w:r>
      <w:r>
        <w:rPr>
          <w:rFonts w:ascii="Times New Roman;Times;Serif" w:hAnsi="Times New Roman;Times;Serif"/>
          <w:b w:val="false"/>
          <w:i w:val="false"/>
          <w:caps w:val="false"/>
          <w:smallCaps w:val="false"/>
          <w:strike/>
          <w:color w:val="FF0000"/>
          <w:sz w:val="20"/>
        </w:rPr>
        <w:t xml:space="preserve">. The BXCL 501 FDA Alzheimer’s Approval shall have been received on or prior to December 31, 2024 and </w:t>
      </w:r>
      <w:r>
        <w:rPr>
          <w:rFonts w:ascii="Times New Roman;Times;Serif" w:hAnsi="Times New Roman;Times;Serif"/>
          <w:b w:val="false"/>
          <w:i w:val="false"/>
          <w:caps w:val="false"/>
          <w:smallCaps w:val="false"/>
          <w:strike/>
          <w:color w:val="008000"/>
          <w:sz w:val="20"/>
        </w:rPr>
        <w:t xml:space="preserve">the Administrative Agent shall have </w:t>
      </w:r>
      <w:r>
        <w:rPr>
          <w:rFonts w:ascii="Times New Roman;Times;Serif" w:hAnsi="Times New Roman;Times;Serif"/>
          <w:b w:val="false"/>
          <w:i w:val="false"/>
          <w:caps w:val="false"/>
          <w:smallCaps w:val="false"/>
          <w:strike/>
          <w:color w:val="FF0000"/>
          <w:sz w:val="20"/>
        </w:rPr>
        <w:t>received evidence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(c) </w:t>
      </w:r>
      <w:r>
        <w:rPr>
          <w:rFonts w:ascii="Times New Roman;Times;Serif" w:hAnsi="Times New Roman;Times;Serif"/>
          <w:b/>
          <w:i w:val="false"/>
          <w:caps w:val="false"/>
          <w:smallCaps w:val="false"/>
          <w:strike/>
          <w:color w:val="FF0000"/>
          <w:sz w:val="20"/>
        </w:rPr>
        <w:t>No Default</w:t>
      </w:r>
      <w:r>
        <w:rPr>
          <w:rFonts w:ascii="Times New Roman;Times;Serif" w:hAnsi="Times New Roman;Times;Serif"/>
          <w:b w:val="false"/>
          <w:i w:val="false"/>
          <w:caps w:val="false"/>
          <w:smallCaps w:val="false"/>
          <w:strike/>
          <w:color w:val="FF0000"/>
          <w:sz w:val="20"/>
        </w:rPr>
        <w:t>. At the time the Borrower delivers written notice of its request for extension to the Administrative Agent, there shall exist no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(d) </w:t>
      </w:r>
      <w:r>
        <w:rPr>
          <w:rFonts w:ascii="Times New Roman;Times;Serif" w:hAnsi="Times New Roman;Times;Serif"/>
          <w:b/>
          <w:i w:val="false"/>
          <w:caps w:val="false"/>
          <w:smallCaps w:val="false"/>
          <w:strike/>
          <w:color w:val="FF0000"/>
          <w:sz w:val="20"/>
        </w:rPr>
        <w:t xml:space="preserve">No Acceleration. </w:t>
      </w:r>
      <w:r>
        <w:rPr>
          <w:rFonts w:ascii="Times New Roman;Times;Serif" w:hAnsi="Times New Roman;Times;Serif"/>
          <w:b w:val="false"/>
          <w:i w:val="false"/>
          <w:caps w:val="false"/>
          <w:smallCaps w:val="false"/>
          <w:strike/>
          <w:color w:val="FF0000"/>
          <w:sz w:val="20"/>
        </w:rPr>
        <w:t xml:space="preserve">The Loans shall not have become due and payable for any reason in accordance with </w:t>
      </w:r>
      <w:r>
        <w:rPr>
          <w:rFonts w:ascii="Times New Roman;Times;Serif" w:hAnsi="Times New Roman;Times;Serif"/>
          <w:b/>
          <w:i w:val="false"/>
          <w:caps w:val="false"/>
          <w:smallCaps w:val="false"/>
          <w:strike/>
          <w:color w:val="FF0000"/>
          <w:sz w:val="20"/>
        </w:rPr>
        <w:t>Section 11.02</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 xml:space="preserve">(e)  </w:t>
      </w:r>
      <w:r>
        <w:rPr>
          <w:rFonts w:ascii="Times New Roman;Times;Serif" w:hAnsi="Times New Roman;Times;Serif"/>
          <w:b/>
          <w:i w:val="false"/>
          <w:caps w:val="false"/>
          <w:smallCaps w:val="false"/>
          <w:strike/>
          <w:color w:val="FF0000"/>
          <w:sz w:val="20"/>
        </w:rPr>
        <w:t xml:space="preserve">Representations and Warranties. </w:t>
      </w:r>
      <w:r>
        <w:rPr>
          <w:rFonts w:ascii="Times New Roman;Times;Serif" w:hAnsi="Times New Roman;Times;Serif"/>
          <w:b w:val="false"/>
          <w:i w:val="false"/>
          <w:caps w:val="false"/>
          <w:smallCaps w:val="false"/>
          <w:strike/>
          <w:color w:val="FF0000"/>
          <w:sz w:val="20"/>
        </w:rPr>
        <w:t xml:space="preserve">At the time the Borrower delivers written notice of its request for extension to the Administrative Agent, the representations and warranties contained in this Agreement and in the other Loan Documents delivered pursuant to </w:t>
      </w:r>
      <w:r>
        <w:rPr>
          <w:rFonts w:ascii="Times New Roman;Times;Serif" w:hAnsi="Times New Roman;Times;Serif"/>
          <w:b/>
          <w:i w:val="false"/>
          <w:caps w:val="false"/>
          <w:smallCaps w:val="false"/>
          <w:strike/>
          <w:color w:val="FF0000"/>
          <w:sz w:val="20"/>
        </w:rPr>
        <w:t>Section 6.01(a)</w:t>
      </w:r>
      <w:r>
        <w:rPr>
          <w:rFonts w:ascii="Times New Roman;Times;Serif" w:hAnsi="Times New Roman;Times;Serif"/>
          <w:b w:val="false"/>
          <w:i w:val="false"/>
          <w:caps w:val="false"/>
          <w:smallCaps w:val="false"/>
          <w:strike/>
          <w:color w:val="FF0000"/>
          <w:sz w:val="20"/>
        </w:rPr>
        <w:t>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date of such extension, except to the extent such representations and warranties specifically relate to an earlier date, in which case such representations and warranties shall have been true and correct in all respects on and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w:t>
      </w:r>
      <w:r>
        <w:rPr>
          <w:rFonts w:ascii="Times New Roman;Times;Serif" w:hAnsi="Times New Roman;Times;Serif"/>
          <w:b/>
          <w:i w:val="false"/>
          <w:caps w:val="false"/>
          <w:smallCaps w:val="false"/>
          <w:sz w:val="20"/>
        </w:rPr>
        <w:br/>
        <w:t>PAYMENTS OF PRINCIPAL AND INTEREST,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Scheduled Repayments and Prepayments Generally; Application</w:t>
      </w:r>
      <w:r>
        <w:rPr>
          <w:rFonts w:ascii="Times New Roman;Times;Serif" w:hAnsi="Times New Roman;Times;Serif"/>
          <w:b w:val="false"/>
          <w:i w:val="false"/>
          <w:caps w:val="false"/>
          <w:smallCaps w:val="false"/>
          <w:sz w:val="20"/>
        </w:rPr>
        <w:t xml:space="preserve">. The Borrower hereby promises to pay to the Administrative Agent for the account of each Lender (as such amounts may in each case be reduced from time to time in accordance with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(i) on each Payment Date occurring on or after March 31, 2026 through the Maturity Date, the Borrower shall repay the outstanding principal amount of the Loans in consecutive quarterly installments of 5.0% of the principal amount of funded Loans outstanding on March 31, 2026 (which installments shall, to the extent applicable, be reduced as a result of the application of prepayments), together with the applicable Prepayment Fee, unless sooner required to be repaid pursuant to the terms of this Agreement, and (ii) on the Maturity Date, all outstanding Obligations in full (together with the accrued and unpaid interest and any other accrued and unpaid charges thereon and all other obligations due and payable by the Borrower under this Agreement). Except as otherwise provided in this Agreement, each payment (including each repayment and prepayment) by the Borrower (other than fees payable pursuant to the Fee Letter) will be deemed to be made ratably in accordance with the Lenders’ Proportionate Shares. On any date occurring prior to the Maturity Date that payment or prepayment in full of the Loans hereunder occurs, the Borrower shall pay in full all outstanding Obligations, which shall include the Prepayment Fee,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Interest Generally</w:t>
      </w:r>
      <w:r>
        <w:rPr>
          <w:rFonts w:ascii="Times New Roman;Times;Serif" w:hAnsi="Times New Roman;Times;Serif"/>
          <w:b w:val="false"/>
          <w:i w:val="false"/>
          <w:caps w:val="false"/>
          <w:smallCaps w:val="false"/>
          <w:sz w:val="20"/>
        </w:rPr>
        <w:t>. The outstanding principal amount of the Loans shall accrue interest from the date made to repayment (whether by acceleration or otherwise and whether voluntary or mandatory) at the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Notwithstanding the foregoing, upon the occurrence and during the continuance of any Event of Default, the Interest Rate shall increase automatically by two percent (2.0%)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 xml:space="preserve">(the Interest Rate, as increased pursuant to this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 being the “</w:t>
      </w:r>
      <w:r>
        <w:rPr>
          <w:rFonts w:ascii="Times New Roman;Times;Serif" w:hAnsi="Times New Roman;Times;Serif"/>
          <w:b/>
          <w:i/>
          <w:caps w:val="false"/>
          <w:smallCaps w:val="false"/>
          <w:sz w:val="20"/>
        </w:rPr>
        <w:t>Default Rate</w:t>
      </w:r>
      <w:r>
        <w:rPr>
          <w:rFonts w:ascii="Times New Roman;Times;Serif" w:hAnsi="Times New Roman;Times;Serif"/>
          <w:b w:val="false"/>
          <w:i w:val="false"/>
          <w:caps w:val="false"/>
          <w:smallCaps w:val="false"/>
          <w:sz w:val="20"/>
        </w:rPr>
        <w:t>”). If any Obligation (including fees, costs and expenses payable hereunder) is not paid when due (giving effect to any applicable grace period) under any applicable Loan Document, the amount thereof shall accrue interest at the Default Rate and such Default Rate interest shall be due and payable in cash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Interest Payment Dates</w:t>
      </w:r>
      <w:r>
        <w:rPr>
          <w:rFonts w:ascii="Times New Roman;Times;Serif" w:hAnsi="Times New Roman;Times;Serif"/>
          <w:b w:val="false"/>
          <w:i w:val="false"/>
          <w:caps w:val="false"/>
          <w:smallCaps w:val="false"/>
          <w:sz w:val="20"/>
        </w:rPr>
        <w:t xml:space="preserve">. Accrued interest on the Loans shall be payable in arrears on each Payment Date in cash, and upon the payment or prepayment of the Loans (on the principal amount being so paid or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interest payable at the Default Rate shall also be payable in cash from time to time on demand by the Administrative Agent. Notwithstanding the foregoing, (I) commencing on the first Payment Date on which interest on the Loans is owed and continuing through, and including, September 30, 2024, any interest above 8.00% per annum for each applicable period shall be payable in kind by capitalizing and adding such interest to the outstanding principal amount of the Loans on such Payment Date (“</w:t>
      </w:r>
      <w:r>
        <w:rPr>
          <w:rFonts w:ascii="Times New Roman;Times;Serif" w:hAnsi="Times New Roman;Times;Serif"/>
          <w:b/>
          <w:i/>
          <w:caps w:val="false"/>
          <w:smallCaps w:val="false"/>
          <w:sz w:val="20"/>
        </w:rPr>
        <w:t>PIK Interest</w:t>
      </w:r>
      <w:r>
        <w:rPr>
          <w:rFonts w:ascii="Times New Roman;Times;Serif" w:hAnsi="Times New Roman;Times;Serif"/>
          <w:b w:val="false"/>
          <w:i w:val="false"/>
          <w:caps w:val="false"/>
          <w:smallCaps w:val="false"/>
          <w:sz w:val="20"/>
        </w:rPr>
        <w:t xml:space="preserve">”) and (II) commencing on the Payment Date occurring on December 31, 2024 and continuing through, and including, June 30, 2025, any interest above 3.00% per annum (other than Default Interest or following an Event of Default) for each applicable period shall be PIK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at its option, irrevocably elect, by written notice to the Administrative Agent, by 10:00 a.m. (Eastern time) three (3) Business Days prior to any Payment Date, to decrease the rate of interest per annum capitalized as PIK Interest for such Payment Date by paying such amount in cash, or that no PIK Interest will be capitalized for such Payment Date, and, in each case, Borrower will pay such amount of interest that is owing and not capitalized as PIK Interest in cash as regular interest on such Payment Date. For the avoidance of doubt, commencing on the Payment Date occurring on September 30, 2025, all interest shall be payable in cash. For purposes of this Agreement and the other Loan Documents, PIK Interest capitalized pursuant to this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shall constitute a portion of the principal amount outstanding of the Loans hereunder and shall bear interest in accordance with this </w:t>
      </w:r>
      <w:r>
        <w:rPr>
          <w:rFonts w:ascii="Times New Roman;Times;Serif" w:hAnsi="Times New Roman;Times;Serif"/>
          <w:b/>
          <w:i w:val="false"/>
          <w:caps w:val="false"/>
          <w:smallCaps w:val="false"/>
          <w:sz w:val="20"/>
        </w:rPr>
        <w:t xml:space="preserve">Section 3 </w:t>
      </w:r>
      <w:r>
        <w:rPr>
          <w:rFonts w:ascii="Times New Roman;Times;Serif" w:hAnsi="Times New Roman;Times;Serif"/>
          <w:b w:val="false"/>
          <w:i w:val="false"/>
          <w:caps w:val="false"/>
          <w:smallCaps w:val="false"/>
          <w:sz w:val="20"/>
        </w:rPr>
        <w:t>and all references herein or in any other Loan Document to the principal amount of the Loans shall include all interest accrued and capitalized as a result of any payment of PIK Interest. Any PIK Interest shall automatically be capitalized on the applicable Payment Date in accordance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Optional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prior written notice pursuant to </w:t>
      </w:r>
      <w:r>
        <w:rPr>
          <w:rFonts w:ascii="Times New Roman;Times;Serif" w:hAnsi="Times New Roman;Times;Serif"/>
          <w:b/>
          <w:i w:val="false"/>
          <w:caps w:val="false"/>
          <w:smallCaps w:val="false"/>
          <w:sz w:val="20"/>
        </w:rPr>
        <w:t>clause (ii) </w:t>
      </w:r>
      <w:r>
        <w:rPr>
          <w:rFonts w:ascii="Times New Roman;Times;Serif" w:hAnsi="Times New Roman;Times;Serif"/>
          <w:b w:val="false"/>
          <w:i w:val="false"/>
          <w:caps w:val="false"/>
          <w:smallCaps w:val="false"/>
          <w:sz w:val="20"/>
        </w:rPr>
        <w:t>below, the Borrower shall have the right to optionally prepay in whole or in part the outstanding principal amount of the Loans on any Business Day for an amount equal to the sum of (A) the aggregate principal amount of the Loans being prepaid, (B) any accrued but unpaid interest on the principal amount of the Loans being prepaid, (C) any applicable Prepayment Fee and (D) if applicable, other unpaid amounts then due and owing pursuant to this Agreement and the other Loan Documents (such aggregate amount, the “</w:t>
      </w:r>
      <w:r>
        <w:rPr>
          <w:rFonts w:ascii="Times New Roman;Times;Serif" w:hAnsi="Times New Roman;Times;Serif"/>
          <w:b/>
          <w:i/>
          <w:caps w:val="false"/>
          <w:smallCaps w:val="false"/>
          <w:sz w:val="20"/>
        </w:rPr>
        <w:t>Prepayment Price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partial prepayment of principal of Loans shall be in an aggregate amount at least equal to $5,000,000 and integral multiples of $1,000,000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notice of optional prepayment shall be effective only if received by the Administrative Agent not later than 2:00 p.m. (Eastern time) on a date not less than two (2) (nor more than five (5)) Business Days prior to the proposed prepayment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Each notice of optional prepayment shall specify the proposed prepayment date, the Prepayment Price, the principal amount to be prepaid and any conditions to prepayment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Mandatory Prepayments for Casualty Events or Asset Sales</w:t>
      </w:r>
      <w:r>
        <w:rPr>
          <w:rFonts w:ascii="Times New Roman;Times;Serif" w:hAnsi="Times New Roman;Times;Serif"/>
          <w:b w:val="false"/>
          <w:i w:val="false"/>
          <w:caps w:val="false"/>
          <w:smallCaps w:val="false"/>
          <w:sz w:val="20"/>
        </w:rPr>
        <w:t xml:space="preserve">. Within three (3) Business Days of the receipt of Net Cash Proceeds from the occurrence of any Casualty Event or Asset Sale (that is not otherwise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the Borrower shall make a mandatory prepayment of the Loans in an amount equal to the sum of (i) one hundred percent (100%) of the Net Cash Proceeds received by the Borrower or any of its Subsidiaries with respect to such Asset Sale or insurance proceeds or condemnation awards in respect of such Casualty Event, as the case may be, (ii) any accrued but unpaid interest on any principal amount of the Loans being prepaid and (iii) any applicable Prepayment Fee</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that, so long as no Default has occurred and is continuing or shall result therefrom, if, within ten (10) Business Days following the occurrence of any such Casualty Event or Asset Sale as a result of which the Borrower or any of its Subsidiaries receives Net Cash Proceeds in an aggregate amount less than $10,000,000, </w:t>
      </w:r>
      <w:r>
        <w:rPr>
          <w:rFonts w:ascii="Times New Roman;Times;Serif" w:hAnsi="Times New Roman;Times;Serif"/>
          <w:b w:val="false"/>
          <w:i w:val="false"/>
          <w:caps w:val="false"/>
          <w:smallCaps w:val="false"/>
          <w:strike/>
          <w:color w:val="008000"/>
          <w:sz w:val="20"/>
        </w:rPr>
        <w:t xml:space="preserve">a Responsible Officer of the Borrower </w:t>
      </w:r>
      <w:r>
        <w:rPr>
          <w:rFonts w:ascii="Times New Roman;Times;Serif" w:hAnsi="Times New Roman;Times;Serif"/>
          <w:b w:val="false"/>
          <w:i w:val="false"/>
          <w:caps w:val="false"/>
          <w:smallCaps w:val="false"/>
          <w:strike/>
          <w:color w:val="FF0000"/>
          <w:sz w:val="20"/>
        </w:rPr>
        <w:t>delivers to the Administrative Agent a notice to the effect that the Borrower or the applicable Subsidiary intends to apply the Net Cash Proceeds from such Asset Sale or insurance proceeds or condemnation awards in respect of such Casualty Event, to reinvest in the business of the Borrower or any of its Subsidiaries (a “</w:t>
      </w:r>
      <w:r>
        <w:rPr>
          <w:rFonts w:ascii="Times New Roman;Times;Serif" w:hAnsi="Times New Roman;Times;Serif"/>
          <w:b/>
          <w:i/>
          <w:caps w:val="false"/>
          <w:smallCaps w:val="false"/>
          <w:strike/>
          <w:color w:val="FF0000"/>
          <w:sz w:val="20"/>
        </w:rPr>
        <w:t>Reinvestment</w:t>
      </w:r>
      <w:r>
        <w:rPr>
          <w:rFonts w:ascii="Times New Roman;Times;Serif" w:hAnsi="Times New Roman;Times;Serif"/>
          <w:b w:val="false"/>
          <w:i w:val="false"/>
          <w:caps w:val="false"/>
          <w:smallCaps w:val="false"/>
          <w:strike/>
          <w:color w:val="FF0000"/>
          <w:sz w:val="20"/>
        </w:rPr>
        <w:t xml:space="preserve">”), then such Net Cash Proceeds of such Asset Sale or insurance proceeds or condemnation awards in respect of such Casualty Event may be applied for such purpose in lieu of such mandatory prepayment to the extent such Net Cash Proceeds of such Asset Sale or insurance proceeds or condemnation awards in respect of such Casualty Event are actually applied for such purpose;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further</w:t>
      </w:r>
      <w:r>
        <w:rPr>
          <w:rFonts w:ascii="Times New Roman;Times;Serif" w:hAnsi="Times New Roman;Times;Serif"/>
          <w:b w:val="false"/>
          <w:i w:val="false"/>
          <w:caps w:val="false"/>
          <w:smallCaps w:val="false"/>
          <w:strike/>
          <w:color w:val="FF0000"/>
          <w:sz w:val="20"/>
        </w:rPr>
        <w:t xml:space="preserve">, that, if such Casualty Event or Asset Sale occurs with respect to any Obligor, such Reinvestment shall be made in the business of an Obligor;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trike/>
          <w:color w:val="FF0000"/>
          <w:sz w:val="20"/>
          <w:u w:val="single"/>
        </w:rPr>
        <w:t>further</w:t>
      </w:r>
      <w:r>
        <w:rPr>
          <w:rFonts w:ascii="Times New Roman;Times;Serif" w:hAnsi="Times New Roman;Times;Serif"/>
          <w:b w:val="false"/>
          <w:i w:val="false"/>
          <w:caps w:val="false"/>
          <w:smallCaps w:val="false"/>
          <w:strike/>
          <w:color w:val="FF0000"/>
          <w:sz w:val="20"/>
        </w:rPr>
        <w:t>, that, in the event that Net Cash Proceeds have not been so applied within three hundred sixty-five (365) days (the “</w:t>
      </w:r>
      <w:r>
        <w:rPr>
          <w:rFonts w:ascii="Times New Roman;Times;Serif" w:hAnsi="Times New Roman;Times;Serif"/>
          <w:b/>
          <w:i/>
          <w:caps w:val="false"/>
          <w:smallCaps w:val="false"/>
          <w:strike/>
          <w:color w:val="FF0000"/>
          <w:sz w:val="20"/>
        </w:rPr>
        <w:t>Reinvestment Period</w:t>
      </w:r>
      <w:r>
        <w:rPr>
          <w:rFonts w:ascii="Times New Roman;Times;Serif" w:hAnsi="Times New Roman;Times;Serif"/>
          <w:b w:val="false"/>
          <w:i w:val="false"/>
          <w:caps w:val="false"/>
          <w:smallCaps w:val="false"/>
          <w:strike/>
          <w:color w:val="FF0000"/>
          <w:sz w:val="20"/>
        </w:rPr>
        <w:t xml:space="preserve">”) following the occurrence of such Casualty Event or Asset Sale, the Borrower shall no later than the end of such period make a mandatory prepayment of the Loans in an aggregate amount equal to the sum of (i) one hundred percent (100%) of the unused balance of such Net Cash Proceeds received by any Obligor or any of its Subsidiaries with respect to such Asset Sale or insurance proceeds or condemnation awards in respect of such Casualty Event, (ii) any accrued but unpaid interest on any </w:t>
      </w:r>
      <w:r>
        <w:rPr>
          <w:rFonts w:ascii="Times New Roman;Times;Serif" w:hAnsi="Times New Roman;Times;Serif"/>
          <w:b w:val="false"/>
          <w:i w:val="false"/>
          <w:caps w:val="false"/>
          <w:smallCaps w:val="false"/>
          <w:strike/>
          <w:color w:val="008000"/>
          <w:sz w:val="20"/>
        </w:rPr>
        <w:t xml:space="preserve">principal amount of the Loans </w:t>
      </w:r>
      <w:r>
        <w:rPr>
          <w:rFonts w:ascii="Times New Roman;Times;Serif" w:hAnsi="Times New Roman;Times;Serif"/>
          <w:b w:val="false"/>
          <w:i w:val="false"/>
          <w:caps w:val="false"/>
          <w:smallCaps w:val="false"/>
          <w:strike/>
          <w:color w:val="FF0000"/>
          <w:sz w:val="20"/>
        </w:rPr>
        <w:t>being prepaid and (iii) any applicable Prepayment Fee. Notwithstanding the foregoing, no mandatory prepayment shall be required pursuant to this Section 3.03(b)(i)(A) as a result of any Permitted License.</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Mandatory Prepayments for Debt Issuances</w:t>
      </w:r>
      <w:r>
        <w:rPr>
          <w:rFonts w:ascii="Times New Roman;Times;Serif" w:hAnsi="Times New Roman;Times;Serif"/>
          <w:b w:val="false"/>
          <w:i w:val="false"/>
          <w:caps w:val="false"/>
          <w:smallCaps w:val="false"/>
          <w:sz w:val="20"/>
        </w:rPr>
        <w:t xml:space="preserve">. Immediately upon receipt by any Obligor or any of its Subsidiaries of proceeds from any issuance, incurrence or assumption of Indebtedness other than Indebtedness permitted by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on or after the Closing Date, the Borrower shall prepay the Loans and other Obligations in an amount equal to 100% of the cash proceeds received,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Prepayment Fee,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The Borrower shall notify the Administrative Agent not later than 12:00 p.m. (Eastern time) on a date not less than two (2) Business Days prior to any mandatory prepayment. Each notice of mandatory prepayment shall specify the proposed prepayment date, the Prepayment Price, the principal amount to be prepaid and the subsection under which the prepayment is required. Notwithstanding anything in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xml:space="preserve"> to the contrary, any Lender may elect, by written notice to the Administrative Agent no later than 12:00 p.m. (Eastern time), one (1) Business Day prior to the prepayment date (or such later time as the Administrative Agent may agree), to decline all or any portion of any mandatory prepayment of its Loans pursuant to this </w:t>
      </w:r>
      <w:r>
        <w:rPr>
          <w:rFonts w:ascii="Times New Roman;Times;Serif" w:hAnsi="Times New Roman;Times;Serif"/>
          <w:b/>
          <w:i w:val="false"/>
          <w:caps w:val="false"/>
          <w:smallCaps w:val="false"/>
          <w:sz w:val="20"/>
        </w:rPr>
        <w:t>Section 3.03</w:t>
      </w:r>
      <w:r>
        <w:rPr>
          <w:rFonts w:ascii="Times New Roman;Times;Serif" w:hAnsi="Times New Roman;Times;Serif"/>
          <w:b w:val="false"/>
          <w:i w:val="false"/>
          <w:caps w:val="false"/>
          <w:smallCaps w:val="false"/>
          <w:sz w:val="20"/>
        </w:rPr>
        <w:t>. Any Lender that fails to deliver such notice to the Administrative Agent in the time frame set forth above shall be deemed to have accepted its share of any mandatory prepayment. The aggregate amount of the prepayment that would have been applied to prepay Loans but was so declined may be retained by the Borrower and used for any general corporate purpose not prohibited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All prepayments of the Loans shall be applied to principal installments on the Loans in the inverse order of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Prepayment Fee</w:t>
      </w:r>
      <w:r>
        <w:rPr>
          <w:rFonts w:ascii="Times New Roman;Times;Serif" w:hAnsi="Times New Roman;Times;Serif"/>
          <w:b w:val="false"/>
          <w:i w:val="false"/>
          <w:caps w:val="false"/>
          <w:smallCaps w:val="false"/>
          <w:sz w:val="20"/>
        </w:rPr>
        <w:t xml:space="preserve">. Without limiting the foregoing, whenever the Prepayment Fee is in effect and payable pursuant to the terms hereof or any other Loan Document, such Prepayment Fee shall be payable on each prepayment of all or any portion of the Loans, whether by optional or mandatory prepayment, acceleration or otherwise (other than any prepayment pursuant to </w:t>
      </w:r>
      <w:r>
        <w:rPr>
          <w:rFonts w:ascii="Times New Roman;Times;Serif" w:hAnsi="Times New Roman;Times;Serif"/>
          <w:b/>
          <w:i w:val="false"/>
          <w:caps w:val="false"/>
          <w:smallCaps w:val="false"/>
          <w:sz w:val="20"/>
        </w:rPr>
        <w:t>Section 5.02</w:t>
      </w:r>
      <w:r>
        <w:rPr>
          <w:rFonts w:ascii="Times New Roman;Times;Serif" w:hAnsi="Times New Roman;Times;Serif"/>
          <w:b w:val="false"/>
          <w:i w:val="false"/>
          <w:caps w:val="false"/>
          <w:smallCaps w:val="false"/>
          <w:sz w:val="20"/>
        </w:rPr>
        <w:t xml:space="preserve"> or any scheduled amortization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Partial Prepayments</w:t>
      </w:r>
      <w:r>
        <w:rPr>
          <w:rFonts w:ascii="Times New Roman;Times;Serif" w:hAnsi="Times New Roman;Times;Serif"/>
          <w:b w:val="false"/>
          <w:i w:val="false"/>
          <w:caps w:val="false"/>
          <w:smallCaps w:val="false"/>
          <w:sz w:val="20"/>
        </w:rPr>
        <w:t xml:space="preserve">. Prepayments shall be accompanied by accrued interest to the extent required by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Commitment Termination</w:t>
      </w:r>
      <w:r>
        <w:rPr>
          <w:rFonts w:ascii="Times New Roman;Times;Serif" w:hAnsi="Times New Roman;Times;Serif"/>
          <w:b w:val="false"/>
          <w:i w:val="false"/>
          <w:caps w:val="false"/>
          <w:smallCaps w:val="false"/>
          <w:sz w:val="20"/>
        </w:rPr>
        <w:t xml:space="preserve">. Each Applicable Commitment shall terminate automatically without further action upon the earliest of (i) the making by the Lenders of the Loans to which such Applicable Commitment relates on the Applicable Funding Date, (ii) the last day of the Applicable Availability Period and (iii) the acceleration of the Loans hereunder. The Borrower shall have the right at any time or from time to time to terminate in full (but not in part) all the then outstanding Applicable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give the Lender at least five (5) Business Days’ notice of each such termination. The termination of any Applicable Commitment shall be permanent.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w:t>
      </w:r>
      <w:r>
        <w:rPr>
          <w:rFonts w:ascii="Times New Roman;Times;Serif" w:hAnsi="Times New Roman;Times;Serif"/>
          <w:b/>
          <w:i w:val="false"/>
          <w:caps w:val="false"/>
          <w:smallCaps w:val="false"/>
          <w:sz w:val="20"/>
        </w:rPr>
        <w:br/>
        <w:t>PAYMENTS,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Payments Generally</w:t>
      </w:r>
      <w:r>
        <w:rPr>
          <w:rFonts w:ascii="Times New Roman;Times;Serif" w:hAnsi="Times New Roman;Times;Serif"/>
          <w:b w:val="false"/>
          <w:i w:val="false"/>
          <w:caps w:val="false"/>
          <w:smallCaps w:val="false"/>
          <w:sz w:val="20"/>
        </w:rPr>
        <w:t>. Each payment of principal, interest and other amounts to be made by the Obligors under this Agreement or any other Loan Document shall be made (i) in Dollars, in immediately available funds, without deduction, set off or counterclaim, to the Administrative Agent, for the account of the respective Lenders to which such payment is owed, to the deposit account of the Administrative Agent designated by the Administrative Agent by notice to the Borrower, and (ii) not later than 2:00 p.m. (Eastern time) on the date on which such payment is due (each such payment made after such time on such due date may, in the Administrative Agent’s discretion, be deemed to have been made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Application of Payments</w:t>
      </w:r>
      <w:r>
        <w:rPr>
          <w:rFonts w:ascii="Times New Roman;Times;Serif" w:hAnsi="Times New Roman;Times;Serif"/>
          <w:b w:val="false"/>
          <w:i w:val="false"/>
          <w:caps w:val="false"/>
          <w:smallCaps w:val="false"/>
          <w:sz w:val="20"/>
        </w:rPr>
        <w:t>. Notwithstanding anything herein to the contrary, following the occurrence and continuance of an Event of Default, all payments shall be applied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the payment of that portion of the Obligations constituting unpaid fees, indemnities, expenses or other amounts (including fees and disbursements and other charges of counsel payable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the payment of that portion of the Obligations constituting unpaid fees, indemnities, costs, expenses and other amounts (other than principal and interest, but including fees and disbursements and other charges of counsel payable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xml:space="preserve">, any Ticking Fees and Prepayment Fees) payable to the Lenders arising under the Loan Documents, ratably among them in proportion to the respective amounts described in this </w:t>
      </w:r>
      <w:r>
        <w:rPr>
          <w:rFonts w:ascii="Times New Roman;Times;Serif" w:hAnsi="Times New Roman;Times;Serif"/>
          <w:b/>
          <w:i w:val="false"/>
          <w:caps w:val="false"/>
          <w:smallCaps w:val="false"/>
          <w:sz w:val="20"/>
        </w:rPr>
        <w:t>clause (B) </w:t>
      </w:r>
      <w:r>
        <w:rPr>
          <w:rFonts w:ascii="Times New Roman;Times;Serif" w:hAnsi="Times New Roman;Times;Serif"/>
          <w:b w:val="false"/>
          <w:i w:val="false"/>
          <w:caps w:val="false"/>
          <w:smallCaps w:val="false"/>
          <w:sz w:val="20"/>
        </w:rPr>
        <w:t>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the payment of that portion of the Obligations constituting accrued and unpaid interest on the Loans, ratably among the Lenders in proportion to the respective amounts described in this </w:t>
      </w:r>
      <w:r>
        <w:rPr>
          <w:rFonts w:ascii="Times New Roman;Times;Serif" w:hAnsi="Times New Roman;Times;Serif"/>
          <w:b/>
          <w:i w:val="false"/>
          <w:caps w:val="false"/>
          <w:smallCaps w:val="false"/>
          <w:sz w:val="20"/>
        </w:rPr>
        <w:t>clause (C) </w:t>
      </w:r>
      <w:r>
        <w:rPr>
          <w:rFonts w:ascii="Times New Roman;Times;Serif" w:hAnsi="Times New Roman;Times;Serif"/>
          <w:b w:val="false"/>
          <w:i w:val="false"/>
          <w:caps w:val="false"/>
          <w:smallCaps w:val="false"/>
          <w:sz w:val="20"/>
        </w:rPr>
        <w:t>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the payment of that portion of the Obligations constituting unpaid principal of the Loans, ratably among the Lenders in proportion to the respective amounts described in this </w:t>
      </w:r>
      <w:r>
        <w:rPr>
          <w:rFonts w:ascii="Times New Roman;Times;Serif" w:hAnsi="Times New Roman;Times;Serif"/>
          <w:b/>
          <w:i w:val="false"/>
          <w:caps w:val="false"/>
          <w:smallCaps w:val="false"/>
          <w:sz w:val="20"/>
        </w:rPr>
        <w:t>clause (D) </w:t>
      </w:r>
      <w:r>
        <w:rPr>
          <w:rFonts w:ascii="Times New Roman;Times;Serif" w:hAnsi="Times New Roman;Times;Serif"/>
          <w:b w:val="false"/>
          <w:i w:val="false"/>
          <w:caps w:val="false"/>
          <w:smallCaps w:val="false"/>
          <w:sz w:val="20"/>
        </w:rPr>
        <w:t>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in reduction of any other Obligation then due and owing, ratably among the Administrative Agent and the Lenders based upon the respective aggregate amount of all such Obligations owing to them in accordance with the respective amounts thereof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the balance, if any, after all Obligations have been indefeasibly paid in full, to the Borrower or such other Person as may be lawfully entitled to or directed by the Borrower to receive the remainder.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Non-Business Days</w:t>
      </w:r>
      <w:r>
        <w:rPr>
          <w:rFonts w:ascii="Times New Roman;Times;Serif" w:hAnsi="Times New Roman;Times;Serif"/>
          <w:b w:val="false"/>
          <w:i w:val="false"/>
          <w:caps w:val="false"/>
          <w:smallCaps w:val="false"/>
          <w:sz w:val="20"/>
        </w:rPr>
        <w:t xml:space="preserve">. 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continue to accrue and be payable for the period of such extension;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next succeeding Business Day would fall after the Maturity Date, payment shall be made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Computations</w:t>
      </w:r>
      <w:r>
        <w:rPr>
          <w:rFonts w:ascii="Times New Roman;Times;Serif" w:hAnsi="Times New Roman;Times;Serif"/>
          <w:b w:val="false"/>
          <w:i w:val="false"/>
          <w:caps w:val="false"/>
          <w:smallCaps w:val="false"/>
          <w:sz w:val="20"/>
        </w:rPr>
        <w:t>. All computations of interest and fees hereunder shall be computed on the basis of a year of three hundred and sixty (360) days and actual days elapsed during the period for which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Set-Off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Set-Off Generally</w:t>
      </w:r>
      <w:r>
        <w:rPr>
          <w:rFonts w:ascii="Times New Roman;Times;Serif" w:hAnsi="Times New Roman;Times;Serif"/>
          <w:b w:val="false"/>
          <w:i w:val="false"/>
          <w:caps w:val="false"/>
          <w:smallCaps w:val="false"/>
          <w:sz w:val="20"/>
        </w:rPr>
        <w:t xml:space="preserve">. Upon the occurrence and during the continuance of any Event of Default, the Administrative Agent, each of the Lenders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Administrative Agent, any Lender and any of their Affiliates to or for the credit or the account of any Obligor against any and all of the Obligations, whether or not such Person shall have made any demand and although such obligations may be unmatured. Any Person exercising rights of set off hereunder agrees promptly to notify the Borrower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 The rights of the Administrative Agent, the Lenders and each of their Affiliates under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are in addition to other rights and remedies (including other rights of set-off) that such Persons may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Exercise of Rights Not Required</w:t>
      </w:r>
      <w:r>
        <w:rPr>
          <w:rFonts w:ascii="Times New Roman;Times;Serif" w:hAnsi="Times New Roman;Times;Serif"/>
          <w:b w:val="false"/>
          <w:i w:val="false"/>
          <w:caps w:val="false"/>
          <w:smallCaps w:val="false"/>
          <w:sz w:val="20"/>
        </w:rPr>
        <w:t xml:space="preserve">. Nothing contained in </w:t>
      </w:r>
      <w:r>
        <w:rPr>
          <w:rFonts w:ascii="Times New Roman;Times;Serif" w:hAnsi="Times New Roman;Times;Serif"/>
          <w:b/>
          <w:i w:val="false"/>
          <w:caps w:val="false"/>
          <w:smallCaps w:val="false"/>
          <w:sz w:val="20"/>
        </w:rPr>
        <w:t>Section 4.03(a) </w:t>
      </w:r>
      <w:r>
        <w:rPr>
          <w:rFonts w:ascii="Times New Roman;Times;Serif" w:hAnsi="Times New Roman;Times;Serif"/>
          <w:b w:val="false"/>
          <w:i w:val="false"/>
          <w:caps w:val="false"/>
          <w:smallCaps w:val="false"/>
          <w:sz w:val="20"/>
        </w:rPr>
        <w:t>shall require the Administrative Agent, any Lender or any of their Affiliates to exercise any such right or shall affect the right of such Persons to exercise, and retain the benefits of exercising, any such right with respect to any other indebtedness or obligation of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Payments Set Aside. </w:t>
      </w:r>
      <w:r>
        <w:rPr>
          <w:rFonts w:ascii="Times New Roman;Times;Serif" w:hAnsi="Times New Roman;Times;Serif"/>
          <w:b w:val="false"/>
          <w:i w:val="false"/>
          <w:caps w:val="false"/>
          <w:smallCaps w:val="false"/>
          <w:sz w:val="20"/>
        </w:rPr>
        <w:t xml:space="preserve">To the extent that any payment by or on behalf of any Obligor is made to the Administrative Agent or any Lender, or the Administrative Agent, any Lender or any Affiliate of the foregoing exercises its right of setoff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such payment or the proceeds of such setoff or any part thereof is subsequently invalidated, declared to be fraudulent or preferential, set aside or required (including pursuant to any settlement entered into by the Administrative Agent, such Lender or such Affiliate in its discretion) to be repaid to a trustee, receiver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w:t>
      </w:r>
      <w:r>
        <w:rPr>
          <w:rFonts w:ascii="Times New Roman;Times;Serif" w:hAnsi="Times New Roman;Times;Serif"/>
          <w:b/>
          <w:i w:val="false"/>
          <w:caps w:val="false"/>
          <w:smallCaps w:val="false"/>
          <w:sz w:val="20"/>
        </w:rPr>
        <w:br/>
        <w:t>YIELD PROTECTION, TAXES,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Change in Law Generally</w:t>
      </w:r>
      <w:r>
        <w:rPr>
          <w:rFonts w:ascii="Times New Roman;Times;Serif" w:hAnsi="Times New Roman;Times;Serif"/>
          <w:b w:val="false"/>
          <w:i w:val="false"/>
          <w:caps w:val="false"/>
          <w:smallCaps w:val="false"/>
          <w:sz w:val="20"/>
        </w:rPr>
        <w:t xml:space="preserve">. If, on or after the Closing Date (or, with respect to any Lender, such later date on which such Lender becomes a party to this Agreement), the adoption of any Law, or any change in any Law, or any change in the interpretation or administration thereof by any court or other Governmental Authority charged with the interpretation or administration thereof, or compliance by the Administrative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Closing Date (or, with respect to any Lender, such later date on which such Lender becomes a party to this Agreement), against assets of, deposits with or for the account of, or credit extended by, a Lender (or its lending office) or shall impose on a Lender (or its lending office) any other condition affecting the Loans or the Commitment, and the result of any of the foregoing is to increase the cost to such Lender of making or maintaining the Loans, or to reduce the amount of any sum received or receivable by such Lender under this Agreement or any other Loan Document, or subject any Lender to any Taxes on its Loan, Commitment or other obligations, or its deposits, reserves, other liabilities or capital (if any) attributable thereto by an amount reasonably deemed by such Lender in good faith to be material (other than (i) Indemnified Taxes, (ii) Taxes described in </w:t>
      </w:r>
      <w:r>
        <w:rPr>
          <w:rFonts w:ascii="Times New Roman;Times;Serif" w:hAnsi="Times New Roman;Times;Serif"/>
          <w:b/>
          <w:i w:val="false"/>
          <w:caps w:val="false"/>
          <w:smallCaps w:val="false"/>
          <w:sz w:val="20"/>
        </w:rPr>
        <w:t>clauses (ii)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of the definition of Excluded Taxes and (iii) Connection Income Taxes), then the Borrower shall pay to such Lender on demand such additional amount or amounts as will compensate such Lender for such increased cost or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Change in Capital Requirements</w:t>
      </w:r>
      <w:r>
        <w:rPr>
          <w:rFonts w:ascii="Times New Roman;Times;Serif" w:hAnsi="Times New Roman;Times;Serif"/>
          <w:b w:val="false"/>
          <w:i w:val="false"/>
          <w:caps w:val="false"/>
          <w:smallCaps w:val="false"/>
          <w:sz w:val="20"/>
        </w:rPr>
        <w:t>. If a Lender shall have determined that, on or after the Closing Date (or, with respect to any Lender, such later date on which such Lender becomes a party to this Agreement), the adoption of any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Closing Date (or, with respect to any Lender, such later date on which such Lender becomes a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on demand such additional amount or amounts as will compensate such Lender (or its parent) for such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Notification by Lender</w:t>
      </w:r>
      <w:r>
        <w:rPr>
          <w:rFonts w:ascii="Times New Roman;Times;Serif" w:hAnsi="Times New Roman;Times;Serif"/>
          <w:b w:val="false"/>
          <w:i w:val="false"/>
          <w:caps w:val="false"/>
          <w:smallCaps w:val="false"/>
          <w:sz w:val="20"/>
        </w:rPr>
        <w:t xml:space="preserve">. Each Lender promptly will notify the Borrower of any event of which it has knowledge, occurring after the Closing Date (or, with respect to any Lender, such later date on which such Lender becomes a party to this Agreement), which will entitle such Lender to compensation pursuant to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Before giving any such notice pursuant to this </w:t>
      </w:r>
      <w:r>
        <w:rPr>
          <w:rFonts w:ascii="Times New Roman;Times;Serif" w:hAnsi="Times New Roman;Times;Serif"/>
          <w:b/>
          <w:i w:val="false"/>
          <w:caps w:val="false"/>
          <w:smallCaps w:val="false"/>
          <w:sz w:val="20"/>
        </w:rPr>
        <w:t>Section 5.01(c) </w:t>
      </w:r>
      <w:r>
        <w:rPr>
          <w:rFonts w:ascii="Times New Roman;Times;Serif" w:hAnsi="Times New Roman;Times;Serif"/>
          <w:b w:val="false"/>
          <w:i w:val="false"/>
          <w:caps w:val="false"/>
          <w:smallCaps w:val="false"/>
          <w:sz w:val="20"/>
        </w:rPr>
        <w:t xml:space="preserve">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such Lender claiming compensation under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setting forth the additional amount or amounts to be paid to it hereunder, shall be conclusive and binding on the Borrower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Illegality</w:t>
      </w:r>
      <w:r>
        <w:rPr>
          <w:rFonts w:ascii="Times New Roman;Times;Serif" w:hAnsi="Times New Roman;Times;Serif"/>
          <w:b w:val="false"/>
          <w:i w:val="false"/>
          <w:caps w:val="false"/>
          <w:smallCaps w:val="false"/>
          <w:sz w:val="20"/>
        </w:rPr>
        <w:t xml:space="preserve">. Notwithstanding any other provision of this Agreement, in the event that on or after the Closing Date (or, with respect to any Lender, such later date on which such Lender becomes a party to this Agreement) the adoption of or any change in any Law or in the interpretation or application thereof by any competent Governmental Authority shall make it unlawful for a Lender or its lending office to make or maintain the Loans (and, in the opinion of such Lender, the designation of a different lending office would either not avoid such unlawfulness or would be disadvantageous to such Lender), then such Lender shall promptly notify the Borrower thereof, following which if such Law shall so mandate, the Loans shall be prepaid by the Borrower on or before such date as shall be mandated by such Law in an amount equal to the Prepayment Price (notwithstanding anything herein to the contrary, without any Prepayment Fee) applicable on such prepayment date in accordance with </w:t>
      </w:r>
      <w:r>
        <w:rPr>
          <w:rFonts w:ascii="Times New Roman;Times;Serif" w:hAnsi="Times New Roman;Times;Serif"/>
          <w:b/>
          <w:i w:val="false"/>
          <w:caps w:val="false"/>
          <w:smallCaps w:val="false"/>
          <w:sz w:val="20"/>
        </w:rPr>
        <w:t>Section 3.03(a)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Payments Free of Taxes</w:t>
      </w:r>
      <w:r>
        <w:rPr>
          <w:rFonts w:ascii="Times New Roman;Times;Serif" w:hAnsi="Times New Roman;Times;Serif"/>
          <w:b w:val="false"/>
          <w:i w:val="false"/>
          <w:caps w:val="false"/>
          <w:smallCaps w:val="false"/>
          <w:sz w:val="20"/>
        </w:rPr>
        <w:t xml:space="preserve">. Any and all payments by or on account of any Obligation shall be made without deduction or withholding for any Taxes, except as required by any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the applicable Recipient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Payment of Other Taxes by the Obligors</w:t>
      </w:r>
      <w:r>
        <w:rPr>
          <w:rFonts w:ascii="Times New Roman;Times;Serif" w:hAnsi="Times New Roman;Times;Serif"/>
          <w:b w:val="false"/>
          <w:i w:val="false"/>
          <w:caps w:val="false"/>
          <w:smallCaps w:val="false"/>
          <w:sz w:val="20"/>
        </w:rPr>
        <w:t>. The Obligors shall timely pay to the relevant Governmental Authority in accordance with applicable Laws, or at the option of the Administrative Agent or each Lender,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Evidence of Payments</w:t>
      </w:r>
      <w:r>
        <w:rPr>
          <w:rFonts w:ascii="Times New Roman;Times;Serif" w:hAnsi="Times New Roman;Times;Serif"/>
          <w:b w:val="false"/>
          <w:i w:val="false"/>
          <w:caps w:val="false"/>
          <w:smallCaps w:val="false"/>
          <w:sz w:val="20"/>
        </w:rPr>
        <w:t xml:space="preserve">. As soon as practicable after any payment of Taxes by an Obligor to a Governmental Authority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such Obligor shall deliver to the Administrative Agent the original, a certified copy of a receipt issued by such Governmental Authority evidencing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Indemnification by the Obligors</w:t>
      </w:r>
      <w:r>
        <w:rPr>
          <w:rFonts w:ascii="Times New Roman;Times;Serif" w:hAnsi="Times New Roman;Times;Serif"/>
          <w:b w:val="false"/>
          <w:i w:val="false"/>
          <w:caps w:val="false"/>
          <w:smallCaps w:val="false"/>
          <w:sz w:val="20"/>
        </w:rPr>
        <w:t xml:space="preserve">. The Obligors shall reimburse and indemnify each Recipient, within ten (10) days after demand therefor, for the full amount of any Indemnified Taxes (including Indemnified Taxes imposed or asserted on or attributable to amounts payable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Obligors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Indemnification by the Lender</w:t>
      </w:r>
      <w:r>
        <w:rPr>
          <w:rFonts w:ascii="Times New Roman;Times;Serif" w:hAnsi="Times New Roman;Times;Serif"/>
          <w:b w:val="false"/>
          <w:i w:val="false"/>
          <w:caps w:val="false"/>
          <w:smallCaps w:val="false"/>
          <w:sz w:val="20"/>
        </w:rPr>
        <w:t xml:space="preserve">. Each Lender shall severally indemnify the Administrative Agent, within ten (10) days after demand therefor, for (i) any Indemnified Taxes attributable to such Lender (but only to the extent that the Obligors have not already indemnified the Administrative Agent for such Indemnified Taxes and without limiting the obligation of the Obligors to do so), and (ii)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b/>
          <w:i w:val="false"/>
          <w:caps w:val="false"/>
          <w:smallCaps w:val="false"/>
          <w:sz w:val="20"/>
        </w:rPr>
        <w:t>Section 5.03(e)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Law as reasonably requested by the Borrower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Times;Serif" w:hAnsi="Times New Roman;Times;Serif"/>
          <w:b/>
          <w:i w:val="false"/>
          <w:caps w:val="false"/>
          <w:smallCaps w:val="false"/>
          <w:sz w:val="20"/>
        </w:rPr>
        <w:t xml:space="preserve">Section 5.03(f)(ii)(A), (ii)(B),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(ii)(D)</w:t>
      </w:r>
      <w:r>
        <w:rPr>
          <w:rFonts w:ascii="Times New Roman;Times;Serif" w:hAnsi="Times New Roman;Times;Serif"/>
          <w:b w:val="false"/>
          <w:i w:val="false"/>
          <w:caps w:val="false"/>
          <w:smallCaps w:val="false"/>
          <w:sz w:val="20"/>
        </w:rPr>
        <w:t>)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the event that the Borrower is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in the case of a Foreign Lender claiming the benefits of an income tax treaty to which the United States is a party (x) with respect to payments of interest under any Loan Document, executed copies of IRS Form W-8BEN or IRS Form W-8BEN-E as applicable (or successor forms) establishing an exemption from, or reduction of, U.S. federal withholding Tax pursuant to the “interest” article of such tax treaty and (y) with respect to any other applicable payments under any Loan Document, IRS Form W-8BEN or IRS Form W-8BEN-E as applicable (or successor forms)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executed copies of IRS Form W-8ECI (or successor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 xml:space="preserve">in the case of a Foreign Lender claiming the benefits of the exemption for portfolio interest under Section 881(c) of the Code, (x) a certificate substantially in the form of </w:t>
      </w:r>
      <w:r>
        <w:rPr>
          <w:rFonts w:ascii="Times New Roman;Times;Serif" w:hAnsi="Times New Roman;Times;Serif"/>
          <w:b/>
          <w:i w:val="false"/>
          <w:caps w:val="false"/>
          <w:smallCaps w:val="false"/>
          <w:sz w:val="20"/>
        </w:rPr>
        <w:t xml:space="preserve">Exhibit D-1 </w:t>
      </w:r>
      <w:r>
        <w:rPr>
          <w:rFonts w:ascii="Times New Roman;Times;Serif" w:hAnsi="Times New Roman;Times;Serif"/>
          <w:b w:val="false"/>
          <w:i w:val="false"/>
          <w:caps w:val="false"/>
          <w:smallCaps w:val="false"/>
          <w:sz w:val="20"/>
        </w:rPr>
        <w:t>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Times;Serif" w:hAnsi="Times New Roman;Times;Serif"/>
          <w:b/>
          <w:i/>
          <w:caps w:val="false"/>
          <w:smallCaps w:val="false"/>
          <w:sz w:val="20"/>
        </w:rPr>
        <w:t>U.S. Tax Compliance Certificate</w:t>
      </w:r>
      <w:r>
        <w:rPr>
          <w:rFonts w:ascii="Times New Roman;Times;Serif" w:hAnsi="Times New Roman;Times;Serif"/>
          <w:b w:val="false"/>
          <w:i w:val="false"/>
          <w:caps w:val="false"/>
          <w:smallCaps w:val="false"/>
          <w:sz w:val="20"/>
        </w:rPr>
        <w:t>”) and (y) executed copies of IRS Form W-8BEN or IRS Form W-8BEN-E as applicable (or successor forms);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 xml:space="preserve">to the extent a Foreign Lender is not the beneficial owner, executed copies of IRS Form W-8IMY (or successor form), accompanied by IRS Form W-8ECI (or successor form), IRS Form W-8BEN or IRS Form W-8BEN-E (or successor form), a U.S. Tax Compliance Certificate, substantially in the form of </w:t>
      </w:r>
      <w:r>
        <w:rPr>
          <w:rFonts w:ascii="Times New Roman;Times;Serif" w:hAnsi="Times New Roman;Times;Serif"/>
          <w:b/>
          <w:i w:val="false"/>
          <w:caps w:val="false"/>
          <w:smallCaps w:val="false"/>
          <w:sz w:val="20"/>
        </w:rPr>
        <w:t xml:space="preserve">Exhibit D-2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D-3</w:t>
      </w:r>
      <w:r>
        <w:rPr>
          <w:rFonts w:ascii="Times New Roman;Times;Serif" w:hAnsi="Times New Roman;Times;Serif"/>
          <w:b w:val="false"/>
          <w:i w:val="false"/>
          <w:caps w:val="false"/>
          <w:smallCaps w:val="false"/>
          <w:sz w:val="20"/>
        </w:rPr>
        <w:t xml:space="preserve">, IRS Form W-9 (or successor form),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i w:val="false"/>
          <w:caps w:val="false"/>
          <w:smallCaps w:val="false"/>
          <w:sz w:val="20"/>
        </w:rPr>
        <w:t xml:space="preserve">Exhibit D-4 </w:t>
      </w:r>
      <w:r>
        <w:rPr>
          <w:rFonts w:ascii="Times New Roman;Times;Serif" w:hAnsi="Times New Roman;Times;Serif"/>
          <w:b w:val="false"/>
          <w:i w:val="false"/>
          <w:caps w:val="false"/>
          <w:smallCaps w:val="false"/>
          <w:sz w:val="20"/>
        </w:rPr>
        <w:t>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Times;Serif" w:hAnsi="Times New Roman;Times;Serif"/>
          <w:b/>
          <w:i w:val="false"/>
          <w:caps w:val="false"/>
          <w:smallCaps w:val="false"/>
          <w:sz w:val="20"/>
        </w:rPr>
        <w:t>clause (D)</w:t>
      </w:r>
      <w:r>
        <w:rPr>
          <w:rFonts w:ascii="Times New Roman;Times;Serif" w:hAnsi="Times New Roman;Times;Serif"/>
          <w:b w:val="false"/>
          <w:i w:val="false"/>
          <w:caps w:val="false"/>
          <w:smallCaps w:val="false"/>
          <w:sz w:val="20"/>
        </w:rPr>
        <w:t>,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Treatment of Certain Tax Benefits</w:t>
      </w:r>
      <w:r>
        <w:rPr>
          <w:rFonts w:ascii="Times New Roman;Times;Serif" w:hAnsi="Times New Roman;Times;Serif"/>
          <w:b w:val="false"/>
          <w:i w:val="false"/>
          <w:caps w:val="false"/>
          <w:smallCaps w:val="false"/>
          <w:sz w:val="20"/>
        </w:rPr>
        <w:t xml:space="preserve">. If any party to this Agreement determines, in its sole discretion exercised in good faith, that it has received a refund of any Taxes as to which it has been indemnified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it shall pay to the indemnifying party an amount equal to such refund (but only to the extent of indemnity payments made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Times;Serif" w:hAnsi="Times New Roman;Times;Serif"/>
          <w:b/>
          <w:i w:val="false"/>
          <w:caps w:val="false"/>
          <w:smallCaps w:val="false"/>
          <w:sz w:val="20"/>
        </w:rPr>
        <w:t>Section 5.03(g) </w:t>
      </w:r>
      <w:r>
        <w:rPr>
          <w:rFonts w:ascii="Times New Roman;Times;Serif" w:hAnsi="Times New Roman;Times;Serif"/>
          <w:b w:val="false"/>
          <w:i w:val="false"/>
          <w:caps w:val="false"/>
          <w:smallCaps w:val="false"/>
          <w:sz w:val="20"/>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Times;Serif" w:hAnsi="Times New Roman;Times;Serif"/>
          <w:b/>
          <w:i w:val="false"/>
          <w:caps w:val="false"/>
          <w:smallCaps w:val="false"/>
          <w:sz w:val="20"/>
        </w:rPr>
        <w:t>Section 5.03(g)</w:t>
      </w:r>
      <w:r>
        <w:rPr>
          <w:rFonts w:ascii="Times New Roman;Times;Serif" w:hAnsi="Times New Roman;Times;Serif"/>
          <w:b w:val="false"/>
          <w:i w:val="false"/>
          <w:caps w:val="false"/>
          <w:smallCaps w:val="false"/>
          <w:sz w:val="20"/>
        </w:rPr>
        <w:t xml:space="preserve">, in no event will the indemnified party be required to pay any amount to an indemnifying party pursuant to this </w:t>
      </w:r>
      <w:r>
        <w:rPr>
          <w:rFonts w:ascii="Times New Roman;Times;Serif" w:hAnsi="Times New Roman;Times;Serif"/>
          <w:b/>
          <w:i w:val="false"/>
          <w:caps w:val="false"/>
          <w:smallCaps w:val="false"/>
          <w:sz w:val="20"/>
        </w:rPr>
        <w:t>Section 5.03(g) </w:t>
      </w:r>
      <w:r>
        <w:rPr>
          <w:rFonts w:ascii="Times New Roman;Times;Serif" w:hAnsi="Times New Roman;Times;Serif"/>
          <w:b w:val="false"/>
          <w:i w:val="false"/>
          <w:caps w:val="false"/>
          <w:smallCaps w:val="false"/>
          <w:sz w:val="20"/>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Times;Serif" w:hAnsi="Times New Roman;Times;Serif"/>
          <w:b/>
          <w:i w:val="false"/>
          <w:caps w:val="false"/>
          <w:smallCaps w:val="false"/>
          <w:sz w:val="20"/>
        </w:rPr>
        <w:t>Section 5.03(g) </w:t>
      </w:r>
      <w:r>
        <w:rPr>
          <w:rFonts w:ascii="Times New Roman;Times;Serif" w:hAnsi="Times New Roman;Times;Serif"/>
          <w:b w:val="false"/>
          <w:i w:val="false"/>
          <w:caps w:val="false"/>
          <w:smallCaps w:val="false"/>
          <w:sz w:val="20"/>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party hereto hereby acknowledges and agrees that the Tranche A-1 Term Loans are part of an investment unit within the meaning of Section 1273(c)(2) of the Code, which includes the Company Warrants issued on the Closing Date. For federal income tax purposes, pursuant to Treasury Regulations § 1.1273-2(h), the Borrower, the Administrative Agent and the Lenders acknowledge that the “issue price” of the Tranche A-1 Term Loans is 98% of the stated principal amount of the Tranche A-1 Term Loans minus the Final Valuation (as that term is defined in Section 16 of the Company Warrant) of the Company Warrants issued on the Closing Date. Each of the Borrower, the Administrative Agent and the Lenders agree (i) to use the foregoing issue price and Final Valuation for U.S. federal income tax purposes with respect to the transactions contemplated hereby, and (ii) to prepare and file all Tax returns in a manner consistent with such allocation, and shall not to take any position that is inconsistent with the provision of this </w:t>
      </w:r>
      <w:r>
        <w:rPr>
          <w:rFonts w:ascii="Times New Roman;Times;Serif" w:hAnsi="Times New Roman;Times;Serif"/>
          <w:b/>
          <w:i w:val="false"/>
          <w:caps w:val="false"/>
          <w:smallCaps w:val="false"/>
          <w:sz w:val="20"/>
        </w:rPr>
        <w:t>Section 5.03(h)</w:t>
      </w:r>
      <w:r>
        <w:rPr>
          <w:rFonts w:ascii="Times New Roman;Times;Serif" w:hAnsi="Times New Roman;Times;Serif"/>
          <w:b w:val="false"/>
          <w:i w:val="false"/>
          <w:caps w:val="false"/>
          <w:smallCaps w:val="false"/>
          <w:sz w:val="20"/>
        </w:rPr>
        <w:t> on any Tax return or in any audit (unless otherwise required by a final determination by the IRS or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Mitigation Obligations</w:t>
      </w:r>
      <w:r>
        <w:rPr>
          <w:rFonts w:ascii="Times New Roman;Times;Serif" w:hAnsi="Times New Roman;Times;Serif"/>
          <w:b w:val="false"/>
          <w:i w:val="false"/>
          <w:caps w:val="false"/>
          <w:smallCaps w:val="false"/>
          <w:sz w:val="20"/>
        </w:rPr>
        <w:t xml:space="preserve">. If the Borrower is required to pay any Indemnified Taxes or additional amounts to any Lender or to any Governmental Authority for the account of any Lender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xml:space="preserve">,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5.03</w:t>
      </w:r>
      <w:r>
        <w:rPr>
          <w:rFonts w:ascii="Times New Roman;Times;Serif" w:hAnsi="Times New Roman;Times;Serif"/>
          <w:b w:val="false"/>
          <w:i w:val="false"/>
          <w:caps w:val="false"/>
          <w:smallCaps w:val="false"/>
          <w:sz w:val="20"/>
        </w:rPr>
        <w:t>,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w:t>
      </w:r>
      <w:r>
        <w:rPr>
          <w:rFonts w:ascii="Times New Roman;Times;Serif" w:hAnsi="Times New Roman;Times;Serif"/>
          <w:b/>
          <w:i w:val="false"/>
          <w:caps w:val="false"/>
          <w:smallCaps w:val="false"/>
          <w:sz w:val="20"/>
        </w:rPr>
        <w:b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Conditions to Closing</w:t>
      </w:r>
      <w:r>
        <w:rPr>
          <w:rFonts w:ascii="Times New Roman;Times;Serif" w:hAnsi="Times New Roman;Times;Serif"/>
          <w:b w:val="false"/>
          <w:i w:val="false"/>
          <w:caps w:val="false"/>
          <w:smallCaps w:val="false"/>
          <w:sz w:val="20"/>
        </w:rPr>
        <w:t xml:space="preserve">. The effectiveness of this Agreement shall be subject to the satisfaction (or waiver by the Lenders in accordance with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 xml:space="preserve">) of each of the conditions precedent set forth below in this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The Administrative Agent shall have received each Loan Document required to be executed by the appropriate Obligor on the Closing Date and delivered by each applicable Obligor in such number as reasonably requested by the Administrative Agent (which may be delivered by facsimile or other electronic means for the purposes of satisfying this clause (a) on the Closing Date) and such Loan Documents shall be in form and substance satisfactory to the Administrative Agent and the Lenders and their respective counsels.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 xml:space="preserve">Secretary’s Certificate, Etc. </w:t>
      </w:r>
      <w:r>
        <w:rPr>
          <w:rFonts w:ascii="Times New Roman;Times;Serif" w:hAnsi="Times New Roman;Times;Serif"/>
          <w:b w:val="false"/>
          <w:i w:val="false"/>
          <w:caps w:val="false"/>
          <w:smallCaps w:val="false"/>
          <w:sz w:val="20"/>
        </w:rPr>
        <w:t>The Administrative Agent shall have received from each Obligor (x) a copy of a good standing certificate, dated a date reasonably close to the Closing Date, for each such Person and (y) a certificate, dated as of the Closing Date, duly executed and delivered by such Person’s Responsible Officer, as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resolutions of each such Person’s Board then in full force and effect authorizing the execution, delivery and performance of each Loan Document to be executed by such Person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incumbency and signatures of Responsible Officers authorized to execute and deliver each Loan Document to be executed by such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full force and validity of each Organic Document of such Person and copies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which certificates shall be in form and substance reasonably satisfactory to the Administrative Agent and upon which the Administrative Agent and the Lenders may conclusively rely until they shall have received a further certificate of the Responsible Officer of any such Person cancelling or amending the prior certificate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Information Certificate</w:t>
      </w:r>
      <w:r>
        <w:rPr>
          <w:rFonts w:ascii="Times New Roman;Times;Serif" w:hAnsi="Times New Roman;Times;Serif"/>
          <w:b w:val="false"/>
          <w:i w:val="false"/>
          <w:caps w:val="false"/>
          <w:smallCaps w:val="false"/>
          <w:sz w:val="20"/>
        </w:rPr>
        <w:t>. The Administrative Agent shall have received a fully completed Information Certificate in form and substance reasonably satisfactory to the Administrative Agent, dated as of the Closing Date, duly executed and delivered by a Responsible Officer of the Borrower. All documents and agreements required to be appended to the Information Certificate, shall be in form and substance reasonably satisfactory to the Administrative Agent, shall have been executed and delivered by the requisite parties and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 xml:space="preserve">Financial Information, Etc. </w:t>
      </w:r>
      <w:r>
        <w:rPr>
          <w:rFonts w:ascii="Times New Roman;Times;Serif" w:hAnsi="Times New Roman;Times;Serif"/>
          <w:b w:val="false"/>
          <w:i w:val="false"/>
          <w:caps w:val="false"/>
          <w:smallCaps w:val="false"/>
          <w:sz w:val="20"/>
        </w:rPr>
        <w:t>The Administrative Agent shall have received, or such information shall be publicly available on “EDGAR”, audited consolidated financial statements of the Borrower and its Subsidiaries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duly executed and delivered by the chief financial officer of the Borrower, dated as of the Closing Date,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The Administrative Agent shall have received executed counterparts of a Security Agreement, in form and substance reasonably acceptable to the Administrative Agent, dated as of the Closing Date, duly executed and delivered by each Obligor, together with all documents (including share certificates, transfers and stock transfer forms, notices or any other instruments) required to be delivered or filed under the Security Documents and evidence satisfactory to it that arrangements have been made with respect to all registrations, notices or actions required under the Security Documents to be effected, given or made in order to establish a valid and perfected first priority (subject to Permitted Priority Liens) security interest in the Collateral in accordance with the terms of the Security Documents,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of all certificates (in the case of Equity Interests that are certificated securities (as defined in the UCC)) evidencing the issued and outstanding capital securities owned by each Obligor that are required to be pledged and so delivered under the Security Agreement, which certificates in each case shall be accompanied by undated instruments of transfer duly executed in blank, or, in the case of Equity Interests that are uncertificated securities (as defined in the UCC), confirmation and evidence reasonably satisfactory to the Administrative Agent and the Lenders that the security interest required to be pledged therein under the Security Agreement has been transferred to and perfected by the Administrative Agent and the Lenders in accordance with Articles 8 and 9 of the NY UCC and all laws otherwise applicable to the perfection of the pledge of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financing statements naming each Obligor as a debtor and the Administrative Agent as the secured party, or other similar instruments or documents, in each case suitable for filing, filed under the UCC (or equivalent law) of all jurisdictions as may be necessary or, in the opinion of the Administrative Agent, desirable to perfect the Liens of the Secured Parties pursuant to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UCC-3 termination statements, if any, necessary to release all Liens and other rights of any Person in any collateral described in the Security Agreement previously granted by any Person;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applicable Short-Form IP Agreements required to be provided under the Security Agreement, each dated as of the Closing Date, duly executed and delivered by each applicable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Lien Searches</w:t>
      </w:r>
      <w:r>
        <w:rPr>
          <w:rFonts w:ascii="Times New Roman;Times;Serif" w:hAnsi="Times New Roman;Times;Serif"/>
          <w:b w:val="false"/>
          <w:i w:val="false"/>
          <w:caps w:val="false"/>
          <w:smallCaps w:val="false"/>
          <w:sz w:val="20"/>
        </w:rPr>
        <w:t>. The Administrative Agent shall be satisfied with Lien searches regarding the Borrower made as of a date reasonably close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The Lenders shall have received executed counterparts of the Company Warrants and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The Administrative Agent shall have received a duly executed legal opinion of counsel to the Obligors dated as of the Closing Date, in form and substance reasonably acceptable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The Administrative Agent shall have received an executed counterpart of the Fee Letter, duly executed and delivered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Closing 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(i) the upfront fee as set forth in the Fee Letter, which shall be paid by way of the Administrative Agent retaining such amount from the proceeds of the Loan and (ii) all fees, costs and expenses due and payable to it pursuant to the Fee Letter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xml:space="preserve">, including all reasonable closing costs and fees and all unpaid reasonable expenses of the Administrative Agent and the Lenders incurred in connection with the Transactions (including the Administrative Agent’s and the Lenders’ legal fees and expenses), subject to the cap set forth in </w:t>
      </w:r>
      <w:r>
        <w:rPr>
          <w:rFonts w:ascii="Times New Roman;Times;Serif" w:hAnsi="Times New Roman;Times;Serif"/>
          <w:b/>
          <w:i w:val="false"/>
          <w:caps w:val="false"/>
          <w:smallCaps w:val="false"/>
          <w:sz w:val="20"/>
        </w:rPr>
        <w:t>Section 14.03(a)</w:t>
      </w:r>
      <w:r>
        <w:rPr>
          <w:rFonts w:ascii="Times New Roman;Times;Serif" w:hAnsi="Times New Roman;Times;Serif"/>
          <w:b w:val="false"/>
          <w:i w:val="false"/>
          <w:caps w:val="false"/>
          <w:smallCaps w:val="false"/>
          <w:sz w:val="20"/>
        </w:rPr>
        <w:t>, to the extent invoiced (or as to which a good faith estimate has been provided to the Borrower) at least two (2)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Since December 31, 2021, no Material Adverse Change shall have occurred, both before and after giving effect to the Loans to be made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Know Your Customer</w:t>
      </w:r>
      <w:r>
        <w:rPr>
          <w:rFonts w:ascii="Times New Roman;Times;Serif" w:hAnsi="Times New Roman;Times;Serif"/>
          <w:b w:val="false"/>
          <w:i w:val="false"/>
          <w:caps w:val="false"/>
          <w:smallCaps w:val="false"/>
          <w:sz w:val="20"/>
        </w:rPr>
        <w:t>. The Administrative Agent shall have received, as applicable, all documentation and other information required by bank regulatory authorities under applicable “know your customer” and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No Default</w:t>
      </w:r>
      <w:r>
        <w:rPr>
          <w:rFonts w:ascii="Times New Roman;Times;Serif" w:hAnsi="Times New Roman;Times;Serif"/>
          <w:b w:val="false"/>
          <w:i w:val="false"/>
          <w:caps w:val="false"/>
          <w:smallCaps w:val="false"/>
          <w:sz w:val="20"/>
        </w:rPr>
        <w:t>. No event shall have occurred or be continuing that would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contained in this Agreement and in the other Loan Documents delivered pursuant to </w:t>
      </w:r>
      <w:r>
        <w:rPr>
          <w:rFonts w:ascii="Times New Roman;Times;Serif" w:hAnsi="Times New Roman;Times;Serif"/>
          <w:b/>
          <w:i w:val="false"/>
          <w:caps w:val="false"/>
          <w:smallCaps w:val="false"/>
          <w:sz w:val="20"/>
        </w:rPr>
        <w:t>Section 6.01</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Closing Date, except to the extent such representations and warranties specifically relate to an earlier date, in which case such representations and warranties shall have been true and correct in all respects on and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Beneficial Ownership Certificate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To the extent requested by any Lender or the Administrative Agent, the Borrower shall have provided to such Lender and the Administrative Agent all documentation and other information so requested, including a duly executed W-9 of the Borrower (or such other applicable tax form), in connection with applicable “know your customer” and anti-money laundering rules and regulations, including the Patriot Act, and if the Borrower qualifies as a “legal entity customer” under the Beneficial Ownership Regulation, a Beneficial Ownership Certification, in each case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Conditions to the Borrowing of All Loans </w:t>
      </w:r>
      <w:r>
        <w:rPr>
          <w:rFonts w:ascii="Times New Roman;Times;Serif" w:hAnsi="Times New Roman;Times;Serif"/>
          <w:b/>
          <w:i w:val="false"/>
          <w:caps w:val="false"/>
          <w:smallCaps w:val="false"/>
          <w:color w:val="0000FF"/>
          <w:sz w:val="20"/>
          <w:u w:val="single"/>
        </w:rPr>
        <w:t>(other than the Amendment No. 14 Term Loans)</w:t>
      </w:r>
      <w:r>
        <w:rPr>
          <w:rFonts w:ascii="Times New Roman;Times;Serif" w:hAnsi="Times New Roman;Times;Serif"/>
          <w:b w:val="false"/>
          <w:i w:val="false"/>
          <w:caps w:val="false"/>
          <w:smallCaps w:val="false"/>
          <w:sz w:val="20"/>
        </w:rPr>
        <w:t xml:space="preserve">. The obligation of each Lender to make each tranche of Loans </w:t>
      </w:r>
      <w:r>
        <w:rPr>
          <w:rFonts w:ascii="Times New Roman;Times;Serif" w:hAnsi="Times New Roman;Times;Serif"/>
          <w:b w:val="false"/>
          <w:i w:val="false"/>
          <w:caps w:val="false"/>
          <w:smallCaps w:val="false"/>
          <w:color w:val="0000FF"/>
          <w:sz w:val="20"/>
          <w:u w:val="single"/>
        </w:rPr>
        <w:t xml:space="preserve">other than the Amendment No. 14 Term Loans </w:t>
      </w:r>
      <w:r>
        <w:rPr>
          <w:rFonts w:ascii="Times New Roman;Times;Serif" w:hAnsi="Times New Roman;Times;Serif"/>
          <w:b w:val="false"/>
          <w:i w:val="false"/>
          <w:caps w:val="false"/>
          <w:smallCaps w:val="false"/>
          <w:sz w:val="20"/>
        </w:rPr>
        <w:t>shall be subject to the delivery of a Borrowing Notice as required pursuant to Section 2.02, and the prior or concurrent satisfaction (or waiver by the Lenders in accordance with Section 14.04) of each of the conditions precedent set forth below in this Section 6.02: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The Closing Date shall have occurred and the conditions set forth in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shall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Applicable Funding Date Certificate</w:t>
      </w:r>
      <w:r>
        <w:rPr>
          <w:rFonts w:ascii="Times New Roman;Times;Serif" w:hAnsi="Times New Roman;Times;Serif"/>
          <w:b w:val="false"/>
          <w:i w:val="false"/>
          <w:caps w:val="false"/>
          <w:smallCaps w:val="false"/>
          <w:sz w:val="20"/>
        </w:rPr>
        <w:t>. The Administrative Agent shall have received a Funding Date Certificate dated as of the Applicable Funding Date, duly executed and delivered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Delivery of Notes</w:t>
      </w:r>
      <w:r>
        <w:rPr>
          <w:rFonts w:ascii="Times New Roman;Times;Serif" w:hAnsi="Times New Roman;Times;Serif"/>
          <w:b w:val="false"/>
          <w:i w:val="false"/>
          <w:caps w:val="false"/>
          <w:smallCaps w:val="false"/>
          <w:sz w:val="20"/>
        </w:rPr>
        <w:t xml:space="preserve">. The Administrative Agent shall have received a Note to the extent requested by any Lender pursuant to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for the Loans made on such Applicable Funding Date duly executed and delivered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xml:space="preserve">. The Administrative Agent shall have received a solvency certificate, substantially in the form of </w:t>
      </w:r>
      <w:r>
        <w:rPr>
          <w:rFonts w:ascii="Times New Roman;Times;Serif" w:hAnsi="Times New Roman;Times;Serif"/>
          <w:b/>
          <w:i w:val="false"/>
          <w:caps w:val="false"/>
          <w:smallCaps w:val="false"/>
          <w:sz w:val="20"/>
        </w:rPr>
        <w:t>Exhibit K</w:t>
      </w:r>
      <w:r>
        <w:rPr>
          <w:rFonts w:ascii="Times New Roman;Times;Serif" w:hAnsi="Times New Roman;Times;Serif"/>
          <w:b w:val="false"/>
          <w:i w:val="false"/>
          <w:caps w:val="false"/>
          <w:smallCaps w:val="false"/>
          <w:sz w:val="20"/>
        </w:rPr>
        <w:t>, duly executed and delivered by the chief accounting officer of the Borrower, dated as of the Applicable Funding Date,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Fees, Expenses, Etc.</w:t>
      </w:r>
      <w:r>
        <w:rPr>
          <w:rFonts w:ascii="Times New Roman;Times;Serif" w:hAnsi="Times New Roman;Times;Serif"/>
          <w:b w:val="false"/>
          <w:i w:val="false"/>
          <w:caps w:val="false"/>
          <w:smallCaps w:val="false"/>
          <w:sz w:val="20"/>
        </w:rPr>
        <w:t xml:space="preserve"> Each of the Administrative Agent and each Lender shall have received for its own account all Ticking Fees and other fees, costs and expenses due and payable to it on or prior to the Applicable Funding Date pursuant to the Fee Letter, </w:t>
      </w:r>
      <w:r>
        <w:rPr>
          <w:rFonts w:ascii="Times New Roman;Times;Serif" w:hAnsi="Times New Roman;Times;Serif"/>
          <w:b/>
          <w:i w:val="false"/>
          <w:caps w:val="false"/>
          <w:smallCaps w:val="false"/>
          <w:sz w:val="20"/>
        </w:rPr>
        <w:t xml:space="preserve">Section 2.06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including all reasonable closing costs and fees and all unpaid reasonable expenses of the Administrative Agent and the Lenders incurred in connection with the Transactions (including the Administrative Agent’s and the Lenders’ legal fees and expenses) in each case, to the extent invoiced (or as to which a good faith estimate has been provided to the Borrower) at least two (2) Business Days prior to the Applicable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No Default</w:t>
      </w:r>
      <w:r>
        <w:rPr>
          <w:rFonts w:ascii="Times New Roman;Times;Serif" w:hAnsi="Times New Roman;Times;Serif"/>
          <w:b w:val="false"/>
          <w:i w:val="false"/>
          <w:caps w:val="false"/>
          <w:smallCaps w:val="false"/>
          <w:sz w:val="20"/>
        </w:rPr>
        <w:t>. No event shall have occurred or be continuing or would result from the making of the Loans on the Applicable Funding Date that would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contained in this Agreement and in the other Loan Documents delivered pursuant to </w:t>
      </w:r>
      <w:r>
        <w:rPr>
          <w:rFonts w:ascii="Times New Roman;Times;Serif" w:hAnsi="Times New Roman;Times;Serif"/>
          <w:b/>
          <w:i w:val="false"/>
          <w:caps w:val="false"/>
          <w:smallCaps w:val="false"/>
          <w:sz w:val="20"/>
        </w:rPr>
        <w:t>Section 6.01(a)</w:t>
      </w:r>
      <w:r>
        <w:rPr>
          <w:rFonts w:ascii="Times New Roman;Times;Serif" w:hAnsi="Times New Roman;Times;Serif"/>
          <w:b w:val="false"/>
          <w:i w:val="false"/>
          <w:caps w:val="false"/>
          <w:smallCaps w:val="false"/>
          <w:sz w:val="20"/>
        </w:rPr>
        <w:t>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Applicable Funding Date, except to the extent such representations and warranties specifically relate to an earlier date, in which case such representations and warranties shall have been true and correct in all respects on and as of such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 xml:space="preserve">701 Warrant. </w:t>
      </w:r>
      <w:r>
        <w:rPr>
          <w:rFonts w:ascii="Times New Roman;Times;Serif" w:hAnsi="Times New Roman;Times;Serif"/>
          <w:b w:val="false"/>
          <w:i w:val="false"/>
          <w:caps w:val="false"/>
          <w:smallCaps w:val="false"/>
          <w:sz w:val="20"/>
        </w:rPr>
        <w:t>The Lenders shall have received executed counterparts of (i) in the case of the Tranche A-1 Term Loans, 701 Warrants in an aggregate amount equal to 0.875% of the Fully-Diluted Capitalization (as defined therein) of OnkosXcel Therapeutics, LLC, (ii) in the case of the Tranche B Term Loans, 701 Warrants in an aggregate amount equal to 0.4375% of the Fully-Diluted Capitalization (as defined therein) of OnkosXcel Therapeutics, LLC and (iii) in the case of the Tranche C Term Loans, 701 Warrants in an aggregate amount equal to 0.4375% of the Fully-Diluted Capitalization (as defined therein) of OnkosXcel Therapeutics,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shall have entered into an amendment to the Shared Services Agreement with BioXcel LLC pursuant to which the Collaboration Agreement Option shall be extended through at least December 31, 2024; </w:t>
      </w:r>
      <w:r>
        <w:rPr>
          <w:rFonts w:ascii="Times New Roman;Times;Serif" w:hAnsi="Times New Roman;Times;Serif"/>
          <w:b w:val="false"/>
          <w:i w:val="false"/>
          <w:caps w:val="false"/>
          <w:smallCaps w:val="false"/>
          <w:color w:val="0000FF"/>
          <w:sz w:val="20"/>
          <w:u w:val="single"/>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and BioXcel LLC shall have entered into an agreement, in form and substance reasonably acceptable to the Administrative Agent, licensing BioXcel LLC’s rights, title and interest in the BIOXCEL trademark 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license shall (x) be (A), during the Initial Period, exclusive (including as to BioXcel LLC) within the field of neuroscience, (B) irrevocable (except as set forth in the termination provisions thereof), (C) freely sublicensable during the Initial Period within the scope of the license, (D) royalty-free, and (E) freely transferable during the Initial Period to any Affiliates of the Borrower, and to any Person who becomes the owner of the portion of Borrower’s business with which the BIOXCEL trademark has been associated (or in connection with such Person’s acquisition of such portion of such business) following the occurrence and during the continuance of an Event of Default, (y) provide that during the Initial Period BioXcel LLC shall not, and shall cause its controlled Affiliates not to, (A) license or grant other permissions to use the BIOXCEL trademark to any other entity other than its or their Affiliates or (B) use the BIOXCEL trademark in the field of neuroscience, and (z) provide Borrower with sufficient rights to bring, take, control and conduct any enforcement action to halt any infringement, dilution, or other conflicting use of the BIOXCEL trademark in the field of neuroscience, (such agreement, the “</w:t>
      </w:r>
      <w:r>
        <w:rPr>
          <w:rFonts w:ascii="Times New Roman;Times;Serif" w:hAnsi="Times New Roman;Times;Serif"/>
          <w:b/>
          <w:i/>
          <w:caps w:val="false"/>
          <w:smallCaps w:val="false"/>
          <w:sz w:val="20"/>
        </w:rPr>
        <w:t>BioXcel Trademark Agreement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 xml:space="preserve">; and </w:t>
      </w:r>
      <w:r>
        <w:rPr>
          <w:rFonts w:ascii="Times New Roman;Times;Serif" w:hAnsi="Times New Roman;Times;Serif"/>
          <w:b w:val="false"/>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Applicable Funding Condition</w:t>
      </w:r>
      <w:r>
        <w:rPr>
          <w:rFonts w:ascii="Times New Roman;Times;Serif" w:hAnsi="Times New Roman;Times;Serif"/>
          <w:b w:val="false"/>
          <w:i w:val="false"/>
          <w:caps w:val="false"/>
          <w:smallCaps w:val="false"/>
          <w:sz w:val="20"/>
        </w:rPr>
        <w:t>. The Applicable Funding Condition shall have been satisfied in form and substance reasonably satisfactory to the Administrative Agent and the Oaktree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Applicable Availability Period</w:t>
      </w:r>
      <w:r>
        <w:rPr>
          <w:rFonts w:ascii="Times New Roman;Times;Serif" w:hAnsi="Times New Roman;Times;Serif"/>
          <w:b w:val="false"/>
          <w:i w:val="false"/>
          <w:caps w:val="false"/>
          <w:smallCaps w:val="false"/>
          <w:sz w:val="20"/>
        </w:rPr>
        <w:t>. The Loans shall be borrowed on or prior to the last day of the Applicable Availability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6.03</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Conditions to the Borrowing of the Amendment No. 14 Term Loans</w:t>
      </w:r>
      <w:r>
        <w:rPr>
          <w:rFonts w:ascii="Times New Roman;Times;Serif" w:hAnsi="Times New Roman;Times;Serif"/>
          <w:b w:val="false"/>
          <w:i w:val="false"/>
          <w:caps w:val="false"/>
          <w:smallCaps w:val="false"/>
          <w:color w:val="0000FF"/>
          <w:sz w:val="20"/>
          <w:u w:val="single"/>
        </w:rPr>
        <w:t>. The obligation of each Lender to make the Amendment No. 14 Term Loans on the Fourteenth Amendment Effective Date shall be subject to the delivery of a Borrowing Notice as required pursuant to Section 2.02, and the prior or concurrent satisfaction (or waiver by the Lenders in accordance with Section 14.04) of each of the conditions precedent set forth in the Fourteenth Amendment and each of the conditions precedent set forth below in this Section 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(a)</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Upfront Fee</w:t>
      </w:r>
      <w:r>
        <w:rPr>
          <w:rFonts w:ascii="Times New Roman;Times;Serif" w:hAnsi="Times New Roman;Times;Serif"/>
          <w:b w:val="false"/>
          <w:i w:val="false"/>
          <w:caps w:val="false"/>
          <w:smallCaps w:val="false"/>
          <w:color w:val="0000FF"/>
          <w:sz w:val="20"/>
          <w:u w:val="single"/>
        </w:rPr>
        <w:t>. The Borrower shall have paid for the account of each Lender, an upfront fee (the “</w:t>
      </w:r>
      <w:r>
        <w:rPr>
          <w:rFonts w:ascii="Times New Roman;Times;Serif" w:hAnsi="Times New Roman;Times;Serif"/>
          <w:b/>
          <w:i/>
          <w:caps w:val="false"/>
          <w:smallCaps w:val="false"/>
          <w:color w:val="0000FF"/>
          <w:sz w:val="20"/>
          <w:u w:val="single"/>
        </w:rPr>
        <w:t>Upfront Fee</w:t>
      </w:r>
      <w:r>
        <w:rPr>
          <w:rFonts w:ascii="Times New Roman;Times;Serif" w:hAnsi="Times New Roman;Times;Serif"/>
          <w:b w:val="false"/>
          <w:i w:val="false"/>
          <w:caps w:val="false"/>
          <w:smallCaps w:val="false"/>
          <w:color w:val="0000FF"/>
          <w:sz w:val="20"/>
          <w:u w:val="single"/>
        </w:rPr>
        <w:t>”) in an amount equal to 20.00% of such Lender’s applicable commitment in respect of the Amendment No. 14 Term Loan. At the option of each Lender, all or a portion of such Lender’s portion of the Upfront Fee in respect of the Amendment No. 14 Term Loan may be in the form of original issue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(b)</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Applicable Funding Date Certificate</w:t>
      </w:r>
      <w:r>
        <w:rPr>
          <w:rFonts w:ascii="Times New Roman;Times;Serif" w:hAnsi="Times New Roman;Times;Serif"/>
          <w:b w:val="false"/>
          <w:i w:val="false"/>
          <w:caps w:val="false"/>
          <w:smallCaps w:val="false"/>
          <w:color w:val="0000FF"/>
          <w:sz w:val="20"/>
          <w:u w:val="single"/>
        </w:rPr>
        <w:t>. The Administrative Agent shall have received a Funding Date Certificate dated as of the Applicable Funding Date, duly executed and delivered by</w:t>
      </w:r>
      <w:r>
        <w:rPr>
          <w:rFonts w:ascii="Times New Roman;Times;Serif" w:hAnsi="Times New Roman;Times;Serif"/>
          <w:b w:val="false"/>
          <w:i w:val="false"/>
          <w:caps w:val="false"/>
          <w:smallCaps w:val="false"/>
          <w:color w:val="0000FF"/>
          <w:sz w:val="20"/>
        </w:rPr>
        <w:t xml:space="preserve"> </w:t>
      </w:r>
      <w:r>
        <w:rPr>
          <w:rFonts w:ascii="Times New Roman;Times;Serif" w:hAnsi="Times New Roman;Times;Serif"/>
          <w:b w:val="false"/>
          <w:i w:val="false"/>
          <w:caps w:val="false"/>
          <w:smallCaps w:val="false"/>
          <w:color w:val="008000"/>
          <w:sz w:val="20"/>
          <w:u w:val="single"/>
        </w:rPr>
        <w:t>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(c)</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Delivery of Notes</w:t>
      </w:r>
      <w:r>
        <w:rPr>
          <w:rFonts w:ascii="Times New Roman;Times;Serif" w:hAnsi="Times New Roman;Times;Serif"/>
          <w:b w:val="false"/>
          <w:i w:val="false"/>
          <w:caps w:val="false"/>
          <w:smallCaps w:val="false"/>
          <w:color w:val="0000FF"/>
          <w:sz w:val="20"/>
          <w:u w:val="single"/>
        </w:rPr>
        <w:t xml:space="preserve">. The Administrative Agent shall have received a Note to the extent requested by any Lender pursuant to </w:t>
      </w:r>
      <w:r>
        <w:rPr>
          <w:rFonts w:ascii="Times New Roman;Times;Serif" w:hAnsi="Times New Roman;Times;Serif"/>
          <w:b/>
          <w:i w:val="false"/>
          <w:caps w:val="false"/>
          <w:smallCaps w:val="false"/>
          <w:color w:val="0000FF"/>
          <w:sz w:val="20"/>
          <w:u w:val="single"/>
        </w:rPr>
        <w:t xml:space="preserve">Section 2.04 </w:t>
      </w:r>
      <w:r>
        <w:rPr>
          <w:rFonts w:ascii="Times New Roman;Times;Serif" w:hAnsi="Times New Roman;Times;Serif"/>
          <w:b w:val="false"/>
          <w:i w:val="false"/>
          <w:caps w:val="false"/>
          <w:smallCaps w:val="false"/>
          <w:color w:val="0000FF"/>
          <w:sz w:val="20"/>
          <w:u w:val="single"/>
        </w:rPr>
        <w:t>for the Loans made on such Applicable Funding Date duly executed and delivered by a Responsible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(d)</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Fees, Expenses, Etc.</w:t>
      </w:r>
      <w:r>
        <w:rPr>
          <w:rFonts w:ascii="Times New Roman;Times;Serif" w:hAnsi="Times New Roman;Times;Serif"/>
          <w:b w:val="false"/>
          <w:i w:val="false"/>
          <w:caps w:val="false"/>
          <w:smallCaps w:val="false"/>
          <w:color w:val="0000FF"/>
          <w:sz w:val="20"/>
          <w:u w:val="single"/>
        </w:rPr>
        <w:t xml:space="preserve"> Each of the Administrative Agent and each Lender shall have received for its own account all Ticking Fees and other fees, costs and expenses due and payable to it on or prior to the Applicable Funding Date pursuant to the Fee Letter, </w:t>
      </w:r>
      <w:r>
        <w:rPr>
          <w:rFonts w:ascii="Times New Roman;Times;Serif" w:hAnsi="Times New Roman;Times;Serif"/>
          <w:b/>
          <w:i w:val="false"/>
          <w:caps w:val="false"/>
          <w:smallCaps w:val="false"/>
          <w:color w:val="0000FF"/>
          <w:sz w:val="20"/>
          <w:u w:val="single"/>
        </w:rPr>
        <w:t xml:space="preserve">Section 2.06 </w:t>
      </w:r>
      <w:r>
        <w:rPr>
          <w:rFonts w:ascii="Times New Roman;Times;Serif" w:hAnsi="Times New Roman;Times;Serif"/>
          <w:b w:val="false"/>
          <w:i w:val="false"/>
          <w:caps w:val="false"/>
          <w:smallCaps w:val="false"/>
          <w:color w:val="0000FF"/>
          <w:sz w:val="20"/>
          <w:u w:val="single"/>
        </w:rPr>
        <w:t xml:space="preserve">and </w:t>
      </w:r>
      <w:r>
        <w:rPr>
          <w:rFonts w:ascii="Times New Roman;Times;Serif" w:hAnsi="Times New Roman;Times;Serif"/>
          <w:b/>
          <w:i w:val="false"/>
          <w:caps w:val="false"/>
          <w:smallCaps w:val="false"/>
          <w:color w:val="0000FF"/>
          <w:sz w:val="20"/>
          <w:u w:val="single"/>
        </w:rPr>
        <w:t>Section 14.03</w:t>
      </w:r>
      <w:r>
        <w:rPr>
          <w:rFonts w:ascii="Times New Roman;Times;Serif" w:hAnsi="Times New Roman;Times;Serif"/>
          <w:b w:val="false"/>
          <w:i w:val="false"/>
          <w:caps w:val="false"/>
          <w:smallCaps w:val="false"/>
          <w:color w:val="0000FF"/>
          <w:sz w:val="20"/>
          <w:u w:val="single"/>
        </w:rPr>
        <w:t>, including all reasonable fees and all unpaid reasonable expenses of the Administrative Agent and the Lenders incurred in connection with the Fourteenth Amendment (including the Administrative Agent’s and the Lenders’ legal fees and expenses) in each case, to the extent invoiced at least one Business Day prior to the Applicable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0000FF"/>
          <w:sz w:val="20"/>
        </w:rPr>
      </w:pPr>
      <w:r>
        <w:rPr>
          <w:rFonts w:ascii="Times New Roman;Times;Serif" w:hAnsi="Times New Roman;Times;Serif"/>
          <w:b w:val="false"/>
          <w:i w:val="false"/>
          <w:caps w:val="false"/>
          <w:smallCaps w:val="false"/>
          <w:color w:val="0000FF"/>
          <w:sz w:val="20"/>
          <w:u w:val="single"/>
        </w:rPr>
        <w:t>(e)</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Fourteenth Amendment Effective Date</w:t>
      </w:r>
      <w:r>
        <w:rPr>
          <w:rFonts w:ascii="Times New Roman;Times;Serif" w:hAnsi="Times New Roman;Times;Serif"/>
          <w:b w:val="false"/>
          <w:i w:val="false"/>
          <w:caps w:val="false"/>
          <w:smallCaps w:val="false"/>
          <w:color w:val="0000FF"/>
          <w:sz w:val="20"/>
          <w:u w:val="single"/>
        </w:rPr>
        <w:t>. The Fourteenth Amendment Effective Date shall have occurred on terms and conditions satisfactory to the Lenders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7.</w:t>
      </w:r>
      <w:r>
        <w:rPr>
          <w:rFonts w:ascii="Times New Roman;Times;Serif" w:hAnsi="Times New Roman;Times;Serif"/>
          <w:b/>
          <w:i w:val="false"/>
          <w:caps w:val="false"/>
          <w:smallCaps w:val="false"/>
          <w:sz w:val="20"/>
        </w:rPr>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and each other Obligor hereby jointly and severally represents and warrants to the Administrative Agent and each Lender on the Closing Date, on the Second Amendment Effective Date and each date on which a Loan is advanced pursuant to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(other than advances of Amendment No. 14 Term Loans)</w:t>
      </w:r>
      <w:r>
        <w:rPr>
          <w:rFonts w:ascii="Times New Roman;Times;Serif" w:hAnsi="Times New Roman;Times;Serif"/>
          <w:b w:val="false"/>
          <w:i w:val="false"/>
          <w:caps w:val="false"/>
          <w:smallCaps w:val="false"/>
          <w:sz w:val="20"/>
        </w:rPr>
        <w:t>, and any other date such representation and warranty is required to be made under the Loan Documents,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Power and Authority</w:t>
      </w:r>
      <w:r>
        <w:rPr>
          <w:rFonts w:ascii="Times New Roman;Times;Serif" w:hAnsi="Times New Roman;Times;Serif"/>
          <w:b w:val="false"/>
          <w:i w:val="false"/>
          <w:caps w:val="false"/>
          <w:smallCaps w:val="false"/>
          <w:sz w:val="20"/>
        </w:rPr>
        <w:t>. Each Obligor and each of its Subsidiaries (i) is duly organized and validly existing under the laws of its jurisdiction of organization, (ii) has all requisite corporate or other power, and has all Governmental Approvals necessary to own its assets and carry on its business as now being or as proposed to be conducted, except to the extent that failure to have the same would not, individually or in the aggregate, reasonably be expected to result in a Material Adverse Effect, (iii) is qualified to do business and is in good standing in all jurisdictions in which the nature of the business conducted by it makes such qualification necessary except where failure so to qualify would not, individually or in the aggregate, reasonably be expected to result in a Material Adverse Effect, and (iv) has full power, authority and legal right to enter into and perform its obligations under each of the Loan Documents to which it is a party and, in the case of the Borrower, to borrow the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Authorization; Enforceability</w:t>
      </w:r>
      <w:r>
        <w:rPr>
          <w:rFonts w:ascii="Times New Roman;Times;Serif" w:hAnsi="Times New Roman;Times;Serif"/>
          <w:b w:val="false"/>
          <w:i w:val="false"/>
          <w:caps w:val="false"/>
          <w:smallCaps w:val="false"/>
          <w:sz w:val="20"/>
        </w:rPr>
        <w:t>. Each Transaction to which an Obligor is a party (or to which it or any of its assets or properties is subject) is within such Obligor’s corporate or other organizational powers and has been duly authorized by all necessary corporate or other organizational action including, if required, approval by all necessary holders of Equity Interests. This Agreement has been duly executed and delivered by each Obligor and constitutes, and each of the other Loan 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Governmental and Other Approvals; No Conflicts</w:t>
      </w:r>
      <w:r>
        <w:rPr>
          <w:rFonts w:ascii="Times New Roman;Times;Serif" w:hAnsi="Times New Roman;Times;Serif"/>
          <w:b w:val="false"/>
          <w:i w:val="false"/>
          <w:caps w:val="false"/>
          <w:smallCaps w:val="false"/>
          <w:sz w:val="20"/>
        </w:rPr>
        <w:t xml:space="preserve">. None of the execution, delivery and performance by each Obligor of the Loan Documents to which it is a party or the consummation by each Obligor of the Transactions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any Obligor or any of its Subsidiaries or (3) any order of any Governmental Authority, that in the case of </w:t>
      </w:r>
      <w:r>
        <w:rPr>
          <w:rFonts w:ascii="Times New Roman;Times;Serif" w:hAnsi="Times New Roman;Times;Serif"/>
          <w:b/>
          <w:i w:val="false"/>
          <w:caps w:val="false"/>
          <w:smallCaps w:val="false"/>
          <w:sz w:val="20"/>
        </w:rPr>
        <w:t>clause (ii)(1)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clause (ii)(3)</w:t>
      </w:r>
      <w:r>
        <w:rPr>
          <w:rFonts w:ascii="Times New Roman;Times;Serif" w:hAnsi="Times New Roman;Times;Serif"/>
          <w:b w:val="false"/>
          <w:i w:val="false"/>
          <w:caps w:val="false"/>
          <w:smallCaps w:val="false"/>
          <w:sz w:val="20"/>
        </w:rPr>
        <w:t>,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xml:space="preserve">. The Borrower has heretofore furnished to the Administrative Agent (who shall forward to the Lenders) consolidated financial statements required to be delivered pursuant to this Agreement. Such financial statements present fairly, in all material respects, the consolidated financial position and results of operations and cash flows of the Borrower and its Subsidiaries as of such dates and for such periods in accordance with GAAP, subject to year-end audit adjustments and the absence of footnotes in the case of the statements of the type described in </w:t>
      </w:r>
      <w:r>
        <w:rPr>
          <w:rFonts w:ascii="Times New Roman;Times;Serif" w:hAnsi="Times New Roman;Times;Serif"/>
          <w:b/>
          <w:i w:val="false"/>
          <w:caps w:val="false"/>
          <w:smallCaps w:val="false"/>
          <w:sz w:val="20"/>
        </w:rPr>
        <w:t>Section 8.01(a)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No Material Adverse Change</w:t>
      </w:r>
      <w:r>
        <w:rPr>
          <w:rFonts w:ascii="Times New Roman;Times;Serif" w:hAnsi="Times New Roman;Times;Serif"/>
          <w:b w:val="false"/>
          <w:i w:val="false"/>
          <w:caps w:val="false"/>
          <w:smallCaps w:val="false"/>
          <w:sz w:val="20"/>
        </w:rPr>
        <w:t>. Since December 31, 2021, there has been no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Property Generally</w:t>
      </w:r>
      <w:r>
        <w:rPr>
          <w:rFonts w:ascii="Times New Roman;Times;Serif" w:hAnsi="Times New Roman;Times;Serif"/>
          <w:b w:val="false"/>
          <w:i w:val="false"/>
          <w:caps w:val="false"/>
          <w:smallCaps w:val="false"/>
          <w:sz w:val="20"/>
        </w:rPr>
        <w:t>. Each Obligor and each of its Subsidiaries has good and marketable fee simple title to, or valid leasehold interests in, all its real and personal property material to its business, including all properties and assets, whether tangible or intangible, relating to its Products or Product Commercialization and Development Activities and all Material Intellectual Property, subject only to Permitted Liens and except for minor defects in title that (i) do not interfere with its ability to conduct its business as currently conducted or to utilize such properties for their intended purposes and (ii) would not reasonably be expected to prevent or interfere with the ability of any Obligor or any of its Subsidiaries to conduct any Product Commercialization and Development Activities with respect to any of its Products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Obligors are the sole and exclusive legal and beneficial (and to the extent applicable, record) owners of all right, title and interest in and to all Material Intellectual Property and all other Intellectual Property that is, in each case, owned or purported to be owned by the Obligors, free and clear of any Liens or Claims other than Permitted Liens. The Obligors own or have sufficient and valid, written rights to use all Material Intellectual Property. The Collateral includes all Material Intellectual Property owned by the Obligors. Without limiting the foregoing, and except as set forth in </w:t>
      </w:r>
      <w:r>
        <w:rPr>
          <w:rFonts w:ascii="Times New Roman;Times;Serif" w:hAnsi="Times New Roman;Times;Serif"/>
          <w:b/>
          <w:i w:val="false"/>
          <w:caps w:val="false"/>
          <w:smallCaps w:val="false"/>
          <w:sz w:val="20"/>
        </w:rPr>
        <w:t>Schedule 7.05(b)(i)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other than (1) customary restrictions in in-bound licenses of Intellectual Property and non-disclosure Contracts, or (2) as would have been or is permitted by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there are no judgments, covenants not to sue, grants, Liens (other than Permitted Liens), or other Claims, agreements or arrangements relating to any Material Intellectual Property, which materially restrict any Obligor or any of its Subsidiaries with respect to its use, enforcement, or other exploitation of any Material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operation and conduct of the business of the Borrower or any of its Subsidiaries, including their use of their respective Material Intellectual Property, does not violate, infringe or constitute a misappropriation of Intellectual Property rights of any other Person, except as would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(1) there are no pending Claims, or Claims threatened in writing, against any Obligor or any of their Subsidiaries asserted by any other Person relating to Intellectual Property, including any material Claims alleging ownership, invalidity or unenforceability of any Material Intellectual Property, or infringement, misappropriation, or violation of such Person’s Intellectual Property rights in any material respect; and (2) neither any Obligor nor any of their Subsidiaries has received any notice from, or Claim by, any Person that the operation and conduct of the businesses of the Borrower or any of its Subsidiaries (including their use of Material Intellectual Property), infringes upon, violates or constitutes a misappropriation of, any Intellectual Property of any other Person in each case of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that would reasonably be expected to result in material liability to any Obligor or any of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to the knowledge of any Borrower and their Subsidiaries, no Material Intellectual Property is being infringed, violated, or misappropriated by any other Person in any material respect; and neither such Obligor nor any of its Subsidiaries has put any other Person on notice of such actual or potential infringement, violation or misappropriation of any such Material Intellectual Property, and neither any Obligor nor any of their Subsidiaries has initiated any Claim with respect to any such Material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all current and former employees and contractors that have developed Material Intellectual Property for or on behalf of any Obligor or any of their Subsidiaries have executed written confidentiality and invention assignment Contracts with such Obligor or Subsidiary, as applicable, that irrevocably and presently assign to such Obligor or Subsidiary, as applicable, all rights of such employees and contractors to any such Material Intellectual Property;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each Obligor and each of its Subsidiaries has taken reasonable precautions to protect the secrecy, confidentiality and value of its Material Intellectual Property consisting of Trade Secrets, and no such Trade Secret constituting Material Intellectual Property has been used or discovered by, or disclosed to, any Person except pursuant to written, valid and enforceable non-disclosure agreements protecting the confidentiality thereof, which agreements, to the knowledge of each Obligor and their Subsidiaries, have not been breached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except as would not, individually or in the aggregate, be reasonably expected to be material to the Borrower or any of its Subsidiaries or to the value of any of their material software constituting Collateral (“</w:t>
      </w:r>
      <w:r>
        <w:rPr>
          <w:rFonts w:ascii="Times New Roman;Times;Serif" w:hAnsi="Times New Roman;Times;Serif"/>
          <w:b/>
          <w:i/>
          <w:caps w:val="false"/>
          <w:smallCaps w:val="false"/>
          <w:sz w:val="20"/>
        </w:rPr>
        <w:t>Material Software</w:t>
      </w:r>
      <w:r>
        <w:rPr>
          <w:rFonts w:ascii="Times New Roman;Times;Serif" w:hAnsi="Times New Roman;Times;Serif"/>
          <w:b w:val="false"/>
          <w:i w:val="false"/>
          <w:caps w:val="false"/>
          <w:smallCaps w:val="false"/>
          <w:sz w:val="20"/>
        </w:rPr>
        <w:t>”), neither the Borrower nor any of its Subsidiaries has embedded, used, linked to, distributed or made available any open source or copyleft source code, in each case in a manner that requires (i) any such Material Software owned or purported to be owed by the Borrower or any of its Subsidiaries (other than the open source software itself) be disclosed or distributed in source code form or be licensed for the purpose of making derivative works; (ii) any restriction on the consideration to be charged for the distribution of such Material Software; or (iii) the grant to any third Person of any rights or immunities under such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 respect to Material Intellectual Property consisting of Patents, except as set forth in </w:t>
      </w:r>
      <w:r>
        <w:rPr>
          <w:rFonts w:ascii="Times New Roman;Times;Serif" w:hAnsi="Times New Roman;Times;Serif"/>
          <w:b/>
          <w:i w:val="false"/>
          <w:caps w:val="false"/>
          <w:smallCaps w:val="false"/>
          <w:sz w:val="20"/>
        </w:rPr>
        <w:t>Schedule 7.05(b)(ii)</w:t>
      </w:r>
      <w:r>
        <w:rPr>
          <w:rFonts w:ascii="Times New Roman;Times;Serif" w:hAnsi="Times New Roman;Times;Serif"/>
          <w:b w:val="false"/>
          <w:i w:val="false"/>
          <w:caps w:val="false"/>
          <w:smallCaps w:val="false"/>
          <w:sz w:val="20"/>
        </w:rPr>
        <w:t xml:space="preserve">, and without limiting the representations and warranties in </w:t>
      </w:r>
      <w:r>
        <w:rPr>
          <w:rFonts w:ascii="Times New Roman;Times;Serif" w:hAnsi="Times New Roman;Times;Serif"/>
          <w:b/>
          <w:i w:val="false"/>
          <w:caps w:val="false"/>
          <w:smallCaps w:val="false"/>
          <w:sz w:val="20"/>
        </w:rPr>
        <w:t>Section 7.05(b)(i)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of the issued claims in such Patents is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subsequent to the issuance of such Patents, no Obligor nor any of its Subsidiaries or predecessors-in-interest, has filed any disclaimer or made or permitted any other voluntary reduction in the scope of the Inventions claimed in such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to the knowledge of any Obligor, no allowable or allowed subject matter of such Patents is subject to any competing conception claims of allowable or allowed subject matter of any patent applications or patents of any third party and have not been the subject of any interference, and are not and have not been the subject of any re-examination, opposition or any other post-grant proceedings, nor is any Obligor or its Subsidiaries aware of any basis for any such interference, re-examination, opposition,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post grant review, or any other post-grant proceedings;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no such Patents have ever been finally adjudicated to be invalid, unpatentable or unenforceable for any reason in any administrative, arbitration, judicial or other proceeding, and, with the exception of publicly available documents with respect to any such Material Intellectual Property, no Obligor nor any of its Subsidiaries has received any written notice asserting that such Patents are invalid, unpatentable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All maintenance fees, registration fees, renewal fees, annuities, and the like due or payable on or with respect to any Material Intellectual Property consisting of Patents or Trademarks owned, not licensed, by Borrower have been timely paid or the failure to so pay would not reasonably be expected to result in a Material Adverse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Administrative Agent and the Lenders hereby acknowledge that Borrower is not responsible for the maintenance of trademark filings owned by BioXcel LLC or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 Actions or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There is no litigation, investigation or proceeding pending or, to the knowledge of any Obligor or any of its Subsidiaries threatened in writing, with respect to such Obligor or any such Subsidiaries by or before any Governmental Authority or arbitrator that, (i) if adversely determined, individually or in the aggregate, would reasonably be expected to have a Material Adverse Effect or (ii) involves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Environmental Matters</w:t>
      </w:r>
      <w:r>
        <w:rPr>
          <w:rFonts w:ascii="Times New Roman;Times;Serif" w:hAnsi="Times New Roman;Times;Serif"/>
          <w:b w:val="false"/>
          <w:i w:val="false"/>
          <w:caps w:val="false"/>
          <w:smallCaps w:val="false"/>
          <w:sz w:val="20"/>
        </w:rPr>
        <w:t xml:space="preserve">. No Obligor nor any of its Subsidiaries (i) has failed to comply with any Environmental Law or to obtain, maintain or comply with any permit, license or other approval required under any Environmental Law, except for any such failure to comply with such Environmental Law or failure to obtain, maintain or comply with a permit that would not reasonably be expected to have a Material Adverse Effect, (ii) has become subject to any Environmental Liability that would reasonably be expected to have a Material Adverse Effect, (iii) except as disclosed on </w:t>
      </w:r>
      <w:r>
        <w:rPr>
          <w:rFonts w:ascii="Times New Roman;Times;Serif" w:hAnsi="Times New Roman;Times;Serif"/>
          <w:b/>
          <w:i w:val="false"/>
          <w:caps w:val="false"/>
          <w:smallCaps w:val="false"/>
          <w:sz w:val="20"/>
        </w:rPr>
        <w:t>Schedule 7.06(b)</w:t>
      </w:r>
      <w:r>
        <w:rPr>
          <w:rFonts w:ascii="Times New Roman;Times;Serif" w:hAnsi="Times New Roman;Times;Serif"/>
          <w:b w:val="false"/>
          <w:i w:val="false"/>
          <w:caps w:val="false"/>
          <w:smallCaps w:val="false"/>
          <w:sz w:val="20"/>
        </w:rPr>
        <w:t>, has received any Environmental Claim, or has knowledge that any is threatened, (iv) has entered into any agreement in which such Obligor or any Subsidiary has assumed or undertaken material responsibility or obligations of any other person with respect to any Environmental Liability or (v) has knowledge of any basis for any other material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Labor Matters</w:t>
      </w:r>
      <w:r>
        <w:rPr>
          <w:rFonts w:ascii="Times New Roman;Times;Serif" w:hAnsi="Times New Roman;Times;Serif"/>
          <w:b w:val="false"/>
          <w:i w:val="false"/>
          <w:caps w:val="false"/>
          <w:smallCaps w:val="false"/>
          <w:sz w:val="20"/>
        </w:rPr>
        <w:t>. No Obligor or any of its Subsidiaries has engaged in unfair labor practices as defined in 29 U.S.C. § §152(8) and 158 of the National Labor Relations Act and there are no pending or threatened in writing labor actions, disputes, grievances, arbitration proceedings, or similar Claims or actions involving the employees of any Obligor or any of its Subsidiaries, in each case that would reasonably be expected to have a Material Adverse Effect. There are no strike or work stoppages in existence or threatened in writing against any Obligor and to the knowledge of such Obligor, no union organizing activity is taking place. There are no collective bargaining agreements covering employees of any Obligor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Compliance with Laws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Obligor is in compliance with all Laws binding on it and all Contracts binding upon it or its property, except, in each case, where the failure to do so would not, individually or in the aggregate, reasonably be expected to result in a Material Adverse Effect. No Default has occurred and is continuing. The Obligors and their Subsidiaries are, and all Product Commercialization and Development Activities of such Persons are being conducted, in material compliance with all applicable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the Obligors and their respective Subsidiaries, any physician, other licensed healthcare professional, or any other Person who is in a position to refer patients or other business to the Borrower, any other Obligor or any Subsidiaries (collectively, a “</w:t>
      </w:r>
      <w:r>
        <w:rPr>
          <w:rFonts w:ascii="Times New Roman;Times;Serif" w:hAnsi="Times New Roman;Times;Serif"/>
          <w:b/>
          <w:i/>
          <w:caps w:val="false"/>
          <w:smallCaps w:val="false"/>
          <w:sz w:val="20"/>
        </w:rPr>
        <w:t>Referral Source</w:t>
      </w:r>
      <w:r>
        <w:rPr>
          <w:rFonts w:ascii="Times New Roman;Times;Serif" w:hAnsi="Times New Roman;Times;Serif"/>
          <w:b w:val="false"/>
          <w:i w:val="false"/>
          <w:caps w:val="false"/>
          <w:smallCaps w:val="false"/>
          <w:sz w:val="20"/>
        </w:rPr>
        <w:t>”) who has a direct ownership, investment, or financial interest in the Borrower, any other Obligor or any such Subsidiary paid fair market value for such ownership, investment or financial interest; any ownership or investment returns distributed to any Referral Source is in proportion to such Referral Source’s ownership, investment or financial interest; and no preferential treatment or more favorable terms were or are offered to such Referral Source compared to investors or owners who are not in a position to refer patients or other business. No Obligor, nor any of its Subsidiaries, directly or indirectly, has or will guarantee a loan, make a payment toward a loan or otherwise subsidize a loan for any Referral Source including any loans related to financing the Referral Source’s ownership, investment or financial interest in the Borrower, any other Obligor or any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knowledge of the Obligors and their respective Subsidiaries (after due inquiry), on the one hand, and any Referral Source, on the other hand (a) comply, in all material respects, with all applicable Healthcare Laws including the Federal Anti-Kickback Statute, the Stark Law and other applicable anti-kickback and self-referral laws, whether U.S. or non-U.S.; (b) reflect fair market value, have commercially reasonable terms, and were negotiated at arm’s length; and (c) do not obligate the Referral Source to purchase, use, recommend or arrange for the use of any products or services of any Obligor or any of its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Obligor and each of its Subsidiaries have implemented policies and procedures to monitor, collect, and report any payments or transfers of value to certain healthcare providers and teaching hospitals, in accordance, in all material respects, with industry standards and the Affordable Care Act of 2010 and the Physician Payments Sunshine Act and their implementing regulations and state disclosure and transparency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7.08</w:t>
      </w:r>
      <w:r>
        <w:rPr>
          <w:rFonts w:ascii="Times New Roman;Times;Serif" w:hAnsi="Times New Roman;Times;Serif"/>
          <w:b w:val="false"/>
          <w:i w:val="false"/>
          <w:caps w:val="false"/>
          <w:smallCaps w:val="false"/>
          <w:sz w:val="20"/>
        </w:rPr>
        <w:t>, each Obligor and its Subsidiaries has timely filed or caused to be filed all income and other Tax returns and reports required to have been filed and has paid or caused to be paid all Taxes required to have been paid by it, except (a) Taxes that are being contested in good faith by appropriate proceedings and for which such Obligor or such Subsidiary, as applicable, has set aside on its books adequate reserves with respect thereto in accordance with GAAP or (b) to the extent that the failure to do so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Full Disclosure</w:t>
      </w:r>
      <w:r>
        <w:rPr>
          <w:rFonts w:ascii="Times New Roman;Times;Serif" w:hAnsi="Times New Roman;Times;Serif"/>
          <w:b w:val="false"/>
          <w:i w:val="false"/>
          <w:caps w:val="false"/>
          <w:smallCaps w:val="false"/>
          <w:sz w:val="20"/>
        </w:rPr>
        <w:t xml:space="preserve">. None of the reports, financial statements, certificates or other written information concerning the Obligors and their Subsidiaries furnished by or on behalf of the Obligors or any of their Subsidiaries to the Administrative Agent (on behalf of itself and the Lenders) in connection with the negotiation of this Agreement and the other Loan Documents or delivered hereunder or thereunder (as modified or supplemented by other information so furnished, including the Borrower’s filings publicly available on “EDGAR”) contains any material misstatement of material fact or omits to state any material fact necessary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projected financial information, the Borrower represents only that such information was prepared in good faith based upon assumptions believed to be reasonable at the time, and it being understood that such projected financial information and all other forward looking information are not to be viewed as facts and that actual results during the period or periods covered thereby may differ from such projected results and that the differences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Investment Company Act and Margin Stock Regulation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No Obligor is an “investment company” as defined in, or subject to regulation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No Obligor is engaged principally, or as one of its important activities, in the business of extending credit for the purpose, whether immediate, incidental or ultimate, of buying or carrying Margin Stock, and no part of the proceeds of the Loans will be used to buy or carry any Margin Stock in violation of Regulation T, U or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 Obligors, on a consolidated basis, are and, immediately after giving effect to the making of the Loans, the use of proceeds thereof, and the consummation of the Transactions, will be,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 xml:space="preserve"> is a complete and correct list of all direct and indirect Subsidiaries of the Borrower. Each such Subsidiary is duly organized and validly existing under the jurisdiction of its organization shown in said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 xml:space="preserve">, and the percentage ownership by each Obligor of each such Subsidiary thereof is as shown in said </w:t>
      </w:r>
      <w:r>
        <w:rPr>
          <w:rFonts w:ascii="Times New Roman;Times;Serif" w:hAnsi="Times New Roman;Times;Serif"/>
          <w:b/>
          <w:i w:val="false"/>
          <w:caps w:val="false"/>
          <w:smallCaps w:val="false"/>
          <w:sz w:val="20"/>
        </w:rPr>
        <w:t>Schedule 7.12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Indebtedness and Liens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i w:val="false"/>
          <w:caps w:val="false"/>
          <w:smallCaps w:val="false"/>
          <w:sz w:val="20"/>
        </w:rPr>
        <w:t>Schedule 7.13(a) </w:t>
      </w:r>
      <w:r>
        <w:rPr>
          <w:rFonts w:ascii="Times New Roman;Times;Serif" w:hAnsi="Times New Roman;Times;Serif"/>
          <w:b w:val="false"/>
          <w:i w:val="false"/>
          <w:caps w:val="false"/>
          <w:smallCaps w:val="false"/>
          <w:sz w:val="20"/>
        </w:rPr>
        <w:t xml:space="preserve">is a complete and correct list of all Indebtedness of each Obligor and each of its Subsidiaries outstanding as of the Closing Date. Set forth on </w:t>
      </w:r>
      <w:r>
        <w:rPr>
          <w:rFonts w:ascii="Times New Roman;Times;Serif" w:hAnsi="Times New Roman;Times;Serif"/>
          <w:b/>
          <w:i w:val="false"/>
          <w:caps w:val="false"/>
          <w:smallCaps w:val="false"/>
          <w:sz w:val="20"/>
        </w:rPr>
        <w:t>Schedule 7.13(b) </w:t>
      </w:r>
      <w:r>
        <w:rPr>
          <w:rFonts w:ascii="Times New Roman;Times;Serif" w:hAnsi="Times New Roman;Times;Serif"/>
          <w:b w:val="false"/>
          <w:i w:val="false"/>
          <w:caps w:val="false"/>
          <w:smallCaps w:val="false"/>
          <w:sz w:val="20"/>
        </w:rPr>
        <w:t>is a complete and correct list of all Liens granted by the Obligors and each of their respective Subsidiaries with respect to their respective property and outstanding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Material Agreements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7.14</w:t>
      </w:r>
      <w:r>
        <w:rPr>
          <w:rFonts w:ascii="Times New Roman;Times;Serif" w:hAnsi="Times New Roman;Times;Serif"/>
          <w:b w:val="false"/>
          <w:i w:val="false"/>
          <w:caps w:val="false"/>
          <w:smallCaps w:val="false"/>
          <w:sz w:val="20"/>
        </w:rPr>
        <w:t>, no Obligor or any of its Subsidiaries is in material default under any Material Agreement, nor does any Obligor have knowledge of (i) any Claim against it or any of its Subsidiaries for any material breach of any such Material Agreement or (ii) as of the Closing Date, any material default by any party to any such Material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Restrictive Agreements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Schedule 7.15</w:t>
      </w:r>
      <w:r>
        <w:rPr>
          <w:rFonts w:ascii="Times New Roman;Times;Serif" w:hAnsi="Times New Roman;Times;Serif"/>
          <w:b w:val="false"/>
          <w:i w:val="false"/>
          <w:caps w:val="false"/>
          <w:smallCaps w:val="false"/>
          <w:sz w:val="20"/>
        </w:rPr>
        <w:t xml:space="preserve">, as of the Closing Date, no Obligor or any of its Subsidiaries is subject to any Restrictive Agreement, except (i) those permitted under </w:t>
      </w:r>
      <w:r>
        <w:rPr>
          <w:rFonts w:ascii="Times New Roman;Times;Serif" w:hAnsi="Times New Roman;Times;Serif"/>
          <w:b/>
          <w:i w:val="false"/>
          <w:caps w:val="false"/>
          <w:smallCaps w:val="false"/>
          <w:sz w:val="20"/>
        </w:rPr>
        <w:t>Section 9.11</w:t>
      </w:r>
      <w:r>
        <w:rPr>
          <w:rFonts w:ascii="Times New Roman;Times;Serif" w:hAnsi="Times New Roman;Times;Serif"/>
          <w:b w:val="false"/>
          <w:i w:val="false"/>
          <w:caps w:val="false"/>
          <w:smallCaps w:val="false"/>
          <w:sz w:val="20"/>
        </w:rPr>
        <w:t>, (ii) restrictions and conditions imposed by Law or by this Agreement, (iii) any stockholder agreement, charter, by-laws, or other organizational documents of an Obligor or any of its Subsidiaries as in effect on the Closing Date and (iv) limitations associated with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Schedule 7.16</w:t>
      </w:r>
      <w:r>
        <w:rPr>
          <w:rFonts w:ascii="Times New Roman;Times;Serif" w:hAnsi="Times New Roman;Times;Serif"/>
          <w:b w:val="false"/>
          <w:i w:val="false"/>
          <w:caps w:val="false"/>
          <w:smallCaps w:val="false"/>
          <w:sz w:val="20"/>
        </w:rPr>
        <w:t xml:space="preserve"> correctly sets forth all real property that is owned or leased by the Obligors, indicating in each case whether the respective property is owned or leased, the identity of the owner and lessee (if applicable) and the location of the respective property. Except as set forth in </w:t>
      </w:r>
      <w:r>
        <w:rPr>
          <w:rFonts w:ascii="Times New Roman;Times;Serif" w:hAnsi="Times New Roman;Times;Serif"/>
          <w:b/>
          <w:i w:val="false"/>
          <w:caps w:val="false"/>
          <w:smallCaps w:val="false"/>
          <w:sz w:val="20"/>
        </w:rPr>
        <w:t>Schedule 7.16</w:t>
      </w:r>
      <w:r>
        <w:rPr>
          <w:rFonts w:ascii="Times New Roman;Times;Serif" w:hAnsi="Times New Roman;Times;Serif"/>
          <w:b w:val="false"/>
          <w:i w:val="false"/>
          <w:caps w:val="false"/>
          <w:smallCaps w:val="false"/>
          <w:sz w:val="20"/>
        </w:rPr>
        <w:t>, no Obligor owns or leases (as tenant thereof) any real property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Pension Matters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Schedule 7.17 </w:t>
      </w:r>
      <w:r>
        <w:rPr>
          <w:rFonts w:ascii="Times New Roman;Times;Serif" w:hAnsi="Times New Roman;Times;Serif"/>
          <w:b w:val="false"/>
          <w:i w:val="false"/>
          <w:caps w:val="false"/>
          <w:smallCaps w:val="false"/>
          <w:sz w:val="20"/>
        </w:rPr>
        <w:t>sets forth, as of the Closing Date, a complete and correct list of, and that separately identifies, (i) all Title IV Plans, (ii) all Multiemployer Plans and (iii) all material Benefit Plans. Each Benefit Plan, and each trust thereunder, intended to qualify for tax exempt status under Section 401 or 501 of the Code or other Laws so qualifies. Except for those that would not, in the aggregate, reasonably be expected to result in a Material Adverse Effect, (x) each Benefit Plan is in compliance with applicable provisions of ERISA, the Code and other Laws, (y) there are no existing or pending (or to the knowledge of any Obligor or any of its Subsidiaries, threatened) claims (other than routine claims for benefits in the normal course), sanctions, actions, lawsuits or other proceedings or investigation involving any Benefit Plan to which any Obligor or Subsidiary thereof incurs or otherwise has or could have an obligation or any liability or Claim and (z) no ERISA Event is reasonably expected to occur. The Borrower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sixty percent (60%), and neither any Obligor nor any of its ERISA Affiliates knows of any facts or circumstances that could reasonably be expected to cause the funding target attainment percentage to fall below sixty percent (60%) as of the most recent valuation date. As of the Closing Date, no ERISA Event has occurred in connection with which obligations and liabilities (contingent or otherwise) remain outstanding. No ERISA Affiliate would have any Withdrawal Liability as a result of a complete withdrawal from any Multiemployer Plan on the date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Regulatory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Obligor and each of its Subsidiaries holds, and will continue to hold, either directly or through licensees and agents, all Product Authorizations necessary or required for the Borrower and each of its Subsidiaries to conduct, in all material respects, their respective operations and businesses in the manner currently conducted and to conduct its Product Commercialization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Obligor or its Subsidiaries has received any written notice from the FDA or any Governmental Authority that (i) it is considering suspending, revoking or materially limiting any Product Authorization or (ii) it is not likely to approve any applications made to such Governmental Authority with respect to any of the Products or any Material Agreement. The Obligors and their Subsidiaries have made all material required notices, registrations and reports (including field alerts or other reports of adverse experiences) and other filings with respect to each such Person’s Products and Product Commercialization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i w:val="false"/>
          <w:caps w:val="false"/>
          <w:smallCaps w:val="false"/>
          <w:sz w:val="20"/>
        </w:rPr>
        <w:t>Schedule 7.18(c)</w:t>
      </w:r>
      <w:r>
        <w:rPr>
          <w:rFonts w:ascii="Times New Roman;Times;Serif" w:hAnsi="Times New Roman;Times;Serif"/>
          <w:b w:val="false"/>
          <w:i w:val="false"/>
          <w:caps w:val="false"/>
          <w:smallCaps w:val="false"/>
          <w:sz w:val="20"/>
        </w:rPr>
        <w:t>, and without limiting the generality of any other representation or warranty made by any Obligor hereunder or under any other Loan Document: (i) no Obligor, nor any of its Subsidiaries nor, to the knowledge of any Obligor, any of their respective agents, suppliers, licensors or licensees have received any inspection reports, warning letters or notices or similar documents with respect to any Product or any Product Commercialization and Development Activities from any Regulatory Authority within the last two (2) years that asserts material lack of compliance with any applicable Healthcare Laws or Product Authorizations; (ii) no Obligor, nor any of its Subsidiaries nor, to the knowledge of any Obligor, any of their respective agents, suppliers, licensors or licensees have received any material notification from any Regulatory Authority within the last two (2) years, asserting that any Product or any Product Commercialization and Development Activities lacks a required Product Authorization; (iii) there is no pending regulatory action, investigation or inquiry (other than non-material routine or periodic inspections or reviews) against any Obligor, any of its Subsidiaries or, to the knowledge of any Obligor, any of their respective suppliers, licensors or licensees with respect to any Product or any Product Commercialization and Development Activities, and, to the knowledge of any Obligor, there is no basis in fact for any material adverse regulatory action against such Obligor or any of its Subsidiaries or, to the knowledge of any Obligor, any of their respective suppliers agents, licensors or licensees with respect to any Product or any Product Commercialization and Development Activities; and (iv) without limiting the foregoing, (A) (1) there have been no material product recalls, safety alerts, corrections, withdrawals, marketing suspensions, removals or the like conducted, undertaken or issued by any Obligor or any of its Subsidiaries, whether voluntary, at the request, demand or order of any Regulatory Authority or otherwise, with respect to any Product, any Product Commercialization and Development Activities or any Product Authorization within the last two (2) years, (2) no such product recall, safety alert, correction, withdrawal, marketing suspension, removal or the like has been requested, demanded or ordered by any Regulatory Authority within the last two (2) years, and, to the knowledge of any Obligor, there is no basis in fact for the issuance of any such product recall, safety alert, correction, withdrawal, marketing suspension, removal or the like with respect to any Product or any Product Commercialization and Development Activities, and (B) no criminal, injunctive, seizure, detention or civil penalty action has been commenced or threatened in writing by any Regulatory Authority within the last two (2) years with respect to or in connection with any Product or any Product Commercialization and Development Activities, and there are no consent decrees (including plea agreements) that relate to any Product or any Product Commercialization and Development Activities, and, to the knowledge of each Obligor, there is no basis in fact for the commencement of any criminal injunctive, seizure, detention or civil penalty action by any Regulatory Authority relating to any Product or any Product Commercialization and Development Activities or for the issuance of any consent decree. No Obligor nor any of its Subsidiaries, nor, to the knowledge of any Obligor, any of their respective agents, suppliers, licensees or licensors, is employing or utilizing the services of any individual, in connection with Product Commercialization and Development Activities, who has been debarred from any federal healthcare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Transactions with Affiliates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7.19</w:t>
      </w:r>
      <w:r>
        <w:rPr>
          <w:rFonts w:ascii="Times New Roman;Times;Serif" w:hAnsi="Times New Roman;Times;Serif"/>
          <w:b w:val="false"/>
          <w:i w:val="false"/>
          <w:caps w:val="false"/>
          <w:smallCaps w:val="false"/>
          <w:sz w:val="20"/>
        </w:rPr>
        <w:t>, no Obligor nor any of its Subsidiaries has entered into, renewed, extended or been a party to, any transaction (including the purchase, sale, lease, transfer or exchange of property or assets of any kind or the rendering of services of any kind) with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OFAC; Anti-Terrorism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Borrower nor any of its Subsidiaries is in violation of any Anti-Terrorism Law or engages in or conspires to engage in any transaction that evades or avoids, or has the purpose of evading or avoiding, or attempts to violate, any of the Anti-Terrorism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Borrower nor any of its Subsidiaries, nor, to the knowledge of the Borrower, any of their respective directors, officers, or employees (i) is 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Loan, nor the proceeds from any Loan, has been or will be used, directly or, to the knowledge of the Borrower,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manner that will result in any violation by any party to this Agreement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Anti-Corruption</w:t>
      </w:r>
      <w:r>
        <w:rPr>
          <w:rFonts w:ascii="Times New Roman;Times;Serif" w:hAnsi="Times New Roman;Times;Serif"/>
          <w:b w:val="false"/>
          <w:i w:val="false"/>
          <w:caps w:val="false"/>
          <w:smallCaps w:val="false"/>
          <w:sz w:val="20"/>
        </w:rPr>
        <w:t>. Neither the Borrower nor any of its Subsidiaries, nor, to the knowledge of the Borrower, any of their respective directors, officers or employees, directly or, to the knowledge of the Borrower, indirectly, has (i) materially violated or is in material violation of any applicable anti-corruption Law, or (ii) made, offered to make, promised to make or authorized the payment or giving of, directly or, to the knowledge of the Borrower, indirectly, any Prohibited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Priority of Obligations</w:t>
      </w:r>
      <w:r>
        <w:rPr>
          <w:rFonts w:ascii="Times New Roman;Times;Serif" w:hAnsi="Times New Roman;Times;Serif"/>
          <w:b w:val="false"/>
          <w:i w:val="false"/>
          <w:caps w:val="false"/>
          <w:smallCaps w:val="false"/>
          <w:sz w:val="20"/>
        </w:rPr>
        <w:t>. The Obligations constitute unsubordinated obligations of the Obligors, and except for any obligations which have priority under applicable Law, rank at least pari passu in right of payment with all other unsubordinated Indebtedness of the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Royalty and Other Payments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i w:val="false"/>
          <w:caps w:val="false"/>
          <w:smallCaps w:val="false"/>
          <w:sz w:val="20"/>
        </w:rPr>
        <w:t>Schedule 7.24</w:t>
      </w:r>
      <w:r>
        <w:rPr>
          <w:rFonts w:ascii="Times New Roman;Times;Serif" w:hAnsi="Times New Roman;Times;Serif"/>
          <w:b w:val="false"/>
          <w:i w:val="false"/>
          <w:caps w:val="false"/>
          <w:smallCaps w:val="false"/>
          <w:sz w:val="20"/>
        </w:rPr>
        <w:t>, no Obligor, nor any of its Subsidiaries, is obligated to pay any royalty, milestone payment, deferred payment or any other contingent payment in respect of 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Non-Competes</w:t>
      </w:r>
      <w:r>
        <w:rPr>
          <w:rFonts w:ascii="Times New Roman;Times;Serif" w:hAnsi="Times New Roman;Times;Serif"/>
          <w:b w:val="false"/>
          <w:i w:val="false"/>
          <w:caps w:val="false"/>
          <w:smallCaps w:val="false"/>
          <w:sz w:val="20"/>
        </w:rPr>
        <w:t>. Neither the Borrower, any other Obligor, nor any of their respective Subsidiaries, nor any of their respective directors, officers or employees, is subject to a non-compete agreement that prohibits or will interfere with any of the Product Commercialization and Development Activities, including the development, commercialization or marketing of any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Security Interest</w:t>
      </w:r>
      <w:r>
        <w:rPr>
          <w:rFonts w:ascii="Times New Roman;Times;Serif" w:hAnsi="Times New Roman;Times;Serif"/>
          <w:b w:val="false"/>
          <w:i w:val="false"/>
          <w:caps w:val="false"/>
          <w:smallCaps w:val="false"/>
          <w:sz w:val="20"/>
        </w:rPr>
        <w:t>. Each Security Document is effective to create in favor of Administrative Agent for the benefit of the Secured Parties a legal, valid and enforceable security interest in the Collateral subject thereto and, upon satisfaction of the Perfection Requirements, each such security interest is perfected to the extent required by (and has the priority required by) the applicable Security Document. The Security Documents collectively are effective to create in favor of Administrative Agent for the benefit of the Secured Parties a legal, valid and enforceable security interest in the Collateral, which security interests are first-priority (subject only to Permitted Priority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Data Privacy</w:t>
      </w:r>
      <w:r>
        <w:rPr>
          <w:rFonts w:ascii="Times New Roman;Times;Serif" w:hAnsi="Times New Roman;Times;Serif"/>
          <w:b w:val="false"/>
          <w:i w:val="false"/>
          <w:caps w:val="false"/>
          <w:smallCaps w:val="false"/>
          <w:sz w:val="20"/>
        </w:rPr>
        <w:t>. Neither any Obligor nor any of their Subsidiaries has experienced any breach of security or unauthorized access by third parties of any personally identifiable information from any individuals, including, without limitation, any customers, prospective customers, employees or other third parties that is in its possession, custody, or control, in each case, except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8.</w:t>
      </w:r>
      <w:r>
        <w:rPr>
          <w:rFonts w:ascii="Times New Roman;Times;Serif" w:hAnsi="Times New Roman;Times;Serif"/>
          <w:b/>
          <w:i w:val="false"/>
          <w:caps w:val="false"/>
          <w:smallCaps w:val="false"/>
          <w:sz w:val="20"/>
        </w:rPr>
        <w:b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covenants and agrees with the Administrative Agent and the Lenders that, until the Commitments have expired or been terminated and all Obligations (other than inchoate indemnification and expense reimbursement obligations for which no claim has been made) have been indefeasibly paid in full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and Other Information</w:t>
      </w:r>
      <w:r>
        <w:rPr>
          <w:rFonts w:ascii="Times New Roman;Times;Serif" w:hAnsi="Times New Roman;Times;Serif"/>
          <w:b w:val="false"/>
          <w:i w:val="false"/>
          <w:caps w:val="false"/>
          <w:smallCaps w:val="false"/>
          <w:sz w:val="20"/>
        </w:rPr>
        <w:t>. The Borrower will furnish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available and in any event within forty-five (45) days after the end of the first three (3) fiscal quarters of each fiscal year (i) the consolidated balance sheets of the Borrower and its Subsidiaries as of the end of such fiscal quarter and (ii) the related consolidated statements of income and cash flows of the Borrower and its Subsidiaries for such quarter and the portion of the fiscal year through the end of such fiscal quarter, in each case prepared in all material respects in accordance with GAAP consistently applied, all in reasonable detail and setting forth in comparative form the figures for the corresponding period in the preceding fiscal year, together with (iii) a certificate of a Responsible Officer of the Borrower stating that (x) such financial statements fairly present in all material respects the financial condition of the Borrower and its Subsidiaries as at such date and (y) the results of operations of the Borrower and its Subsidiaries for the period ended on such date have been prepared in all material respects in accordance with GAAP consistently applied, subject to changes resulting from normal, year-end audit adjustments and except for the absence of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Section </w:t>
      </w:r>
      <w:r>
        <w:rPr>
          <w:rFonts w:ascii="Times New Roman;Times;Serif" w:hAnsi="Times New Roman;Times;Serif"/>
          <w:b/>
          <w:i w:val="false"/>
          <w:caps w:val="false"/>
          <w:smallCaps w:val="false"/>
          <w:sz w:val="20"/>
        </w:rPr>
        <w:t>8.01(a) </w:t>
      </w:r>
      <w:r>
        <w:rPr>
          <w:rFonts w:ascii="Times New Roman;Times;Serif" w:hAnsi="Times New Roman;Times;Serif"/>
          <w:b w:val="false"/>
          <w:i w:val="false"/>
          <w:caps w:val="false"/>
          <w:smallCaps w:val="false"/>
          <w:sz w:val="20"/>
        </w:rPr>
        <w:t>shall be deemed furnished on the date that such documents are publicly available on “EDGAR” (with the related certificate separately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and in any event within ninety (90) days after the end of each fiscal year (i) the consolidated balance sheets of the Borrower and its Subsidiaries as of the end of such fiscal year and (ii) the related consolidated statements of income, stockholders’ equity and cash flows of the Borrower and its Subsidiaries for such fiscal year, in each case prepared in all material respects in accordance with GAAP consistently applied, all in reasonable detail and setting forth in comparative form the figures for the previous fiscal year, accompanied by a report and opinion thereon of Ernst &amp; Young U.S. LLP or another firm of independent certified public accountants of recognized national standing reasonably acceptable to the Administrative Agent, which report and opinion shall be prepared in accordance with generally accepted auditing standards and such report and opinion shall not be subject to (x) except with respect to the report and opinion delivered for the fiscal years ending on December 31, 2023, December 31, 2024, and December 31, 2025, any “going concern” or like qualification or exception or emphasis of matter of going concern footnote or (y) any qualification or exception as to the scope of such audit, and in the case of such consolidated financial statements, certified by a Responsible Officer of the Borrower; provided that documents required to be furnished pursuant to this Section 8.01(b) shall be deemed furnished on the date that such documents are publicly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together with the financial statements required pursuant to </w:t>
      </w:r>
      <w:r>
        <w:rPr>
          <w:rFonts w:ascii="Times New Roman;Times;Serif" w:hAnsi="Times New Roman;Times;Serif"/>
          <w:b/>
          <w:i w:val="false"/>
          <w:caps w:val="false"/>
          <w:smallCaps w:val="false"/>
          <w:sz w:val="20"/>
        </w:rPr>
        <w:t>Section 8.01(a)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 compliance certificate signed by the chief financial or accounting Responsible Officer of the Borrower as of the end of the applicable accounting period (which delivery may be by electronic communication including fax or email and shall be deemed to be an original, authentic counterpart thereof for all purposes) substantially in the form of </w:t>
      </w:r>
      <w:r>
        <w:rPr>
          <w:rFonts w:ascii="Times New Roman;Times;Serif" w:hAnsi="Times New Roman;Times;Serif"/>
          <w:b/>
          <w:i w:val="false"/>
          <w:caps w:val="false"/>
          <w:smallCaps w:val="false"/>
          <w:sz w:val="20"/>
        </w:rPr>
        <w:t xml:space="preserve">Exhibit E </w:t>
      </w: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xml:space="preserve">”) including details of any issues that are material that are raised by auditors and any occurrence or existence of any event, circumstance, act or omission that would cause any representation or warranty contained in </w:t>
      </w:r>
      <w:r>
        <w:rPr>
          <w:rFonts w:ascii="Times New Roman;Times;Serif" w:hAnsi="Times New Roman;Times;Serif"/>
          <w:b/>
          <w:i w:val="false"/>
          <w:caps w:val="false"/>
          <w:smallCaps w:val="false"/>
          <w:sz w:val="20"/>
        </w:rPr>
        <w:t>Section 7.07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7.23</w:t>
      </w:r>
      <w:r>
        <w:rPr>
          <w:rFonts w:ascii="Times New Roman;Times;Serif" w:hAnsi="Times New Roman;Times;Serif"/>
          <w:b w:val="false"/>
          <w:i w:val="false"/>
          <w:caps w:val="false"/>
          <w:smallCaps w:val="false"/>
          <w:sz w:val="20"/>
        </w:rPr>
        <w:t xml:space="preserve"> to be incorrect in any material respect (or in any respect if such representation or warranty is qualified by materiality or by reference to Material Adverse Effect or Material Adverse Change) if such representation or warranty were to be made at the time of delivery of a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after being prepared by the Borrower and approved by its Board, and promptly following the Administrative Agent’s request therefor, a consolidated financial forecast for the Borrower and its Subsidiaries for the fiscal year to which such forecast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each fiscal year, on or before the seventy-fifth (75th) day following the beginning of such fiscal year, the Borrower shall prepare, and its Board shall approve such consolidated financial forecast for such fiscal year, and the Borrower shall notify the Administrative Agent promptly after the Board has given such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after the same are released, copies of any press release required by U.S. securities laws to be filed with the SEC (excluding, for the avoidance of doubt, marketing press releases);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Section </w:t>
      </w:r>
      <w:r>
        <w:rPr>
          <w:rFonts w:ascii="Times New Roman;Times;Serif" w:hAnsi="Times New Roman;Times;Serif"/>
          <w:b/>
          <w:i w:val="false"/>
          <w:caps w:val="false"/>
          <w:smallCaps w:val="false"/>
          <w:sz w:val="20"/>
        </w:rPr>
        <w:t>8.01(e) </w:t>
      </w:r>
      <w:r>
        <w:rPr>
          <w:rFonts w:ascii="Times New Roman;Times;Serif" w:hAnsi="Times New Roman;Times;Serif"/>
          <w:b w:val="false"/>
          <w:i w:val="false"/>
          <w:caps w:val="false"/>
          <w:smallCaps w:val="false"/>
          <w:sz w:val="20"/>
        </w:rPr>
        <w:t>shall be deemed furnished on the date that such documents are publicly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promptly, and in any event within five (5) Business Days after receipt thereof by an Obligor thereof, copies of each notice or other correspondence received from any securities regulator or exchange to the authority of which the Borrower may become subject from time to time concerning any investigation or possible investigation or other inquiry (other than routine comment letters from the SEC) by such agency regarding financial or other operational results of such Obligor;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Section </w:t>
      </w:r>
      <w:r>
        <w:rPr>
          <w:rFonts w:ascii="Times New Roman;Times;Serif" w:hAnsi="Times New Roman;Times;Serif"/>
          <w:b/>
          <w:i w:val="false"/>
          <w:caps w:val="false"/>
          <w:smallCaps w:val="false"/>
          <w:sz w:val="20"/>
        </w:rPr>
        <w:t>8.01(f) </w:t>
      </w:r>
      <w:r>
        <w:rPr>
          <w:rFonts w:ascii="Times New Roman;Times;Serif" w:hAnsi="Times New Roman;Times;Serif"/>
          <w:b w:val="false"/>
          <w:i w:val="false"/>
          <w:caps w:val="false"/>
          <w:smallCaps w:val="false"/>
          <w:sz w:val="20"/>
        </w:rPr>
        <w:t>shall be deemed furnished on the date that such documents are publicly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promptly after the same are available, copies of each annual report, proxy or financial statement or other report or communication sent to the stockholders of each Obligor and its Subsidiaries, and copies of all annual, regular, periodic and special reports and registration statements which any Obligor or its Subsidiaries may file or be required to file with any securities regulator or exchange to the authority of which such Obligor or such Subsidiary, as applicable, may become subject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documents required to be furnished pursuant to this Section </w:t>
      </w:r>
      <w:r>
        <w:rPr>
          <w:rFonts w:ascii="Times New Roman;Times;Serif" w:hAnsi="Times New Roman;Times;Serif"/>
          <w:b/>
          <w:i w:val="false"/>
          <w:caps w:val="false"/>
          <w:smallCaps w:val="false"/>
          <w:sz w:val="20"/>
        </w:rPr>
        <w:t>8.01(g) </w:t>
      </w:r>
      <w:r>
        <w:rPr>
          <w:rFonts w:ascii="Times New Roman;Times;Serif" w:hAnsi="Times New Roman;Times;Serif"/>
          <w:b w:val="false"/>
          <w:i w:val="false"/>
          <w:caps w:val="false"/>
          <w:smallCaps w:val="false"/>
          <w:sz w:val="20"/>
        </w:rPr>
        <w:t>shall be deemed furnished on the date that such documents are publicly available on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information regarding insurance maintained by the Borrower and its Subsidiaries as required under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possible and in any event within five (5) Business Days after the Borrower obtains knowledge of any Claim related to any Product or inventory involving more than $</w:t>
      </w:r>
      <w:r>
        <w:rPr>
          <w:rFonts w:ascii="Times New Roman;Times;Serif" w:hAnsi="Times New Roman;Times;Serif"/>
          <w:b w:val="false"/>
          <w:i w:val="false"/>
          <w:caps w:val="false"/>
          <w:smallCaps w:val="false"/>
          <w:strike/>
          <w:color w:val="FF0000"/>
          <w:sz w:val="20"/>
        </w:rPr>
        <w:t>3,750,000</w:t>
      </w:r>
      <w:r>
        <w:rPr>
          <w:rFonts w:ascii="Times New Roman;Times;Serif" w:hAnsi="Times New Roman;Times;Serif"/>
          <w:b w:val="false"/>
          <w:i w:val="false"/>
          <w:caps w:val="false"/>
          <w:smallCaps w:val="false"/>
          <w:color w:val="0000FF"/>
          <w:sz w:val="20"/>
          <w:u w:val="single"/>
        </w:rPr>
        <w:t>1,000,000</w:t>
      </w:r>
      <w:r>
        <w:rPr>
          <w:rFonts w:ascii="Times New Roman;Times;Serif" w:hAnsi="Times New Roman;Times;Serif"/>
          <w:b w:val="false"/>
          <w:i w:val="false"/>
          <w:caps w:val="false"/>
          <w:smallCaps w:val="false"/>
          <w:sz w:val="20"/>
        </w:rPr>
        <w:t xml:space="preserve"> (or the Equivalent Amount in other currencies), written notice thereof from a Responsible Officer of the Borrower which notice shall include a statement setting forth details of such return, recovery, dispute or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together with the delivery of the Compliance Certificate, evidence satisfactory to the Administrative Agent, based upon the Borrower’s bank account statements that the Borrower is in compliance with the Minimum Liquidity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not later than 5:00 p.m. (Eastern time) on Friday of every other week (commencing December 6, 2024) or, to the extent such Friday is not a Business Day, the next Business Day thereafter, an update to the Initial Budget to cover the period commencing on the Saturday of the prior week and including a rolling 13-week cash flow forecast for the Obligors and their Subsidiaries substantially in the form of the Initial Budget, prepared by a Responsible Officer of the Borrower and in final form approved by the Board of the Borrower (the Initial Budget and each such Budget, if so approved, an “</w:t>
      </w:r>
      <w:r>
        <w:rPr>
          <w:rFonts w:ascii="Times New Roman;Times;Serif" w:hAnsi="Times New Roman;Times;Serif"/>
          <w:b/>
          <w:i/>
          <w:caps w:val="false"/>
          <w:smallCaps w:val="false"/>
          <w:sz w:val="20"/>
        </w:rPr>
        <w:t>Approved Budget</w:t>
      </w:r>
      <w:r>
        <w:rPr>
          <w:rFonts w:ascii="Times New Roman;Times;Serif" w:hAnsi="Times New Roman;Times;Serif"/>
          <w:b w:val="false"/>
          <w:i w:val="false"/>
          <w:caps w:val="false"/>
          <w:smallCaps w:val="false"/>
          <w:sz w:val="20"/>
        </w:rPr>
        <w:t>”) (it being understood that if the Board of the Borrower shall not have approved such Budget, the previously delivered Approved Budget shall constitute the Approved Budget, until an updated Budget has been so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not later than 5:00 p.m. (Eastern time) on Friday of every other week (commencing December 6, 2024) or, to the extent such Friday is not a Business Day, the next Business Day thereafter, a Budget Variance Report for the most recently expired Budget Variance Test Period, which such report shall be certified by a Responsible Officer of the Borrower as being prepared in good faith and fairly presenting in all material respects the information set forth therein;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such other information respecting the businesses, financial performance, operations condition of the assets or liabilities of the Obligors (including with respect to the Collateral), taken as a whole, as the Administrative Agent may from time to time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Notices of Material Events</w:t>
      </w:r>
      <w:r>
        <w:rPr>
          <w:rFonts w:ascii="Times New Roman;Times;Serif" w:hAnsi="Times New Roman;Times;Serif"/>
          <w:b w:val="false"/>
          <w:i w:val="false"/>
          <w:caps w:val="false"/>
          <w:smallCaps w:val="false"/>
          <w:sz w:val="20"/>
        </w:rPr>
        <w:t xml:space="preserve">. The Borrower will furnish to the Administrative Agent written notice of the following (x) with respect to </w:t>
      </w:r>
      <w:r>
        <w:rPr>
          <w:rFonts w:ascii="Times New Roman;Times;Serif" w:hAnsi="Times New Roman;Times;Serif"/>
          <w:b/>
          <w:i w:val="false"/>
          <w:caps w:val="false"/>
          <w:smallCaps w:val="false"/>
          <w:sz w:val="20"/>
        </w:rPr>
        <w:t>clause (a) </w:t>
      </w:r>
      <w:r>
        <w:rPr>
          <w:rFonts w:ascii="Times New Roman;Times;Serif" w:hAnsi="Times New Roman;Times;Serif"/>
          <w:b w:val="false"/>
          <w:i w:val="false"/>
          <w:caps w:val="false"/>
          <w:smallCaps w:val="false"/>
          <w:sz w:val="20"/>
        </w:rPr>
        <w:t xml:space="preserve">below within three (3) Business Days and (y) with respect to </w:t>
      </w:r>
      <w:r>
        <w:rPr>
          <w:rFonts w:ascii="Times New Roman;Times;Serif" w:hAnsi="Times New Roman;Times;Serif"/>
          <w:b/>
          <w:i w:val="false"/>
          <w:caps w:val="false"/>
          <w:smallCaps w:val="false"/>
          <w:sz w:val="20"/>
        </w:rPr>
        <w:t>clause (b)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(m) </w:t>
      </w:r>
      <w:r>
        <w:rPr>
          <w:rFonts w:ascii="Times New Roman;Times;Serif" w:hAnsi="Times New Roman;Times;Serif"/>
          <w:b w:val="false"/>
          <w:i w:val="false"/>
          <w:caps w:val="false"/>
          <w:smallCaps w:val="false"/>
          <w:sz w:val="20"/>
        </w:rPr>
        <w:t>below, within five (5) Business Days, in each case, after a Responsible Officer of the Borrower first learns of or acquires knowledge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any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occurrence of any event with respect to the property or assets of the Borrower or any of its Subsidiaries resulting in a Loss aggregating $3,750,000 (or the Equivalent Amount in other currencies)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proposed acquisition of stock, assets or property by the Borrower or any of its Subsidiaries that would reasonably be expected to result in material Environmental Liability, and (ii) any spillage, leakage, discharge, disposal, leaching, migration or release of any Hazardous Material by the Borrower or any of its Subsidiaries required to be reported to any Governmental Authority or that would reasonably be expected to result in material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assertion of any Claim under any Environmental Law by any Person against, or with respect to the activities of, the Borrower or any of its Subsidiaries and any alleged liability or non-compliance with any Environmental Laws or any permits, licenses or authorizations issued pursuant to Environmental Laws which would reasonably be expected to involve damages in excess of $2,500,000 (or the Equivalent Amount in other currencies) other than any such Claim or alleged violation that would not (either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filing or commencement of any action, suit or proceeding by or before any arbitrator or Governmental Authority against or affecting the Borrower or any of its Affiliates that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the intention of any ERISA Affiliate to file any notice of intent to terminate any Title IV Plan, a copy of such notice and (ii) the filing by any ERISA Affiliate of a request for a minimum funding waiver under Section 412 of the Code with respect to any Title IV Plan or Multiemployer Plan, in each case in writing and in reasonable detail (including a description of any action that any ERISA Affiliate proposes to take with respect thereto, together with a copy of any notice filed with the PBGC or the IRS 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 the termination of any Permitted License that is an exclusive license and material to the Product Commercialization and Development Activities or any Material Agreement other than in accordance with its terms and not as a result of a breach or default, (ii) the receipt by the Borrower or any of its Subsidiaries of any notice of a material breach or default under any Permitted License that is an exclusive license and material to the Product Commercialization and Development Activities or any Material Agreement (and a copy thereof) asserting a default by such Obligor or any of its Subsidiaries where such alleged default would permit such counterparty to terminate such Permitted License or Material Agreement, (iii) the entering into of (A) any new Material Agreement by any Obligor (and a copy thereof) or (B) any Permitted License that is an exclusive license and material to the Product Commercialization and Development Activities or (iv) any material amendment to a Permitted License that is an exclusive license and material to the Product Commercialization and Development Activities or Material Agreement that would be adverse in any material respect to the Lenders (and a copy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be required to provide such notice if such documents become publicly available on “EDGAR” within the time period notice would otherwise be required pursuant to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material change in accounting policies or financial reporting practices by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labor controversy resulting in or threatening to result in any strike, work stoppage, boycott, shutdown or other material labor disruption against or involving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Contract entered into by the Borrower or any of its Subsidiaries in connection with any Claim of actual or alleged infringement, misappropriation or violation of any Material Intellectual Property by or against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creation, development or other acquisition (including any in-bound exclusive licenses) of any Material Intellectual Property by the Borrower or any Subsidiary after the Closing Date that is issued, registered or becomes issued or registered or the subject of an application for issuance or registration with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Material Intellectual Property created, developed or acquired (including through any in-bound exclusive license) in any fiscal year, notice thereof pursuant to this </w:t>
      </w:r>
      <w:r>
        <w:rPr>
          <w:rFonts w:ascii="Times New Roman;Times;Serif" w:hAnsi="Times New Roman;Times;Serif"/>
          <w:b/>
          <w:i w:val="false"/>
          <w:caps w:val="false"/>
          <w:smallCaps w:val="false"/>
          <w:sz w:val="20"/>
        </w:rPr>
        <w:t>Section 8.02(k) </w:t>
      </w:r>
      <w:r>
        <w:rPr>
          <w:rFonts w:ascii="Times New Roman;Times;Serif" w:hAnsi="Times New Roman;Times;Serif"/>
          <w:b w:val="false"/>
          <w:i w:val="false"/>
          <w:caps w:val="false"/>
          <w:smallCaps w:val="false"/>
          <w:sz w:val="20"/>
        </w:rPr>
        <w:t xml:space="preserve">shall be made in accordance with the timing of the financial statements for such fiscal year required pursuant to </w:t>
      </w:r>
      <w:r>
        <w:rPr>
          <w:rFonts w:ascii="Times New Roman;Times;Serif" w:hAnsi="Times New Roman;Times;Serif"/>
          <w:b/>
          <w:i w:val="false"/>
          <w:caps w:val="false"/>
          <w:smallCaps w:val="false"/>
          <w:sz w:val="20"/>
        </w:rPr>
        <w:t>Section 8.01(b)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change to any Obligor’s or any of its Subsidiaries’ ownership of any Controlled Account, by delivering the Administrative Agent a notice setting forth a complete and correct list of all such accounts as of the date of such change;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other development that results in,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notice delivered under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shall be accompanied by a statement of a Responsible Officer of the Borrower setting forth the details of the event or development requiring such notice and any action taken or proposed to be taken with respect thereto. Nothing in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is intended to waive, consent to or otherwise permit any action or omission that is otherwise prohibited by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xml:space="preserve">. Such Obligor shall, and shall cause each of its Subsidiaries to, preserve, renew and maintain in full force and effect its legal existence;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prohibit any merger, amalgamation, consolidation, liquidation or dissolution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 of Obligations</w:t>
      </w:r>
      <w:r>
        <w:rPr>
          <w:rFonts w:ascii="Times New Roman;Times;Serif" w:hAnsi="Times New Roman;Times;Serif"/>
          <w:b w:val="false"/>
          <w:i w:val="false"/>
          <w:caps w:val="false"/>
          <w:smallCaps w:val="false"/>
          <w:sz w:val="20"/>
        </w:rPr>
        <w:t>. Such Obligor will, and will cause each of its Subsidiaries to, pay and discharge its obligations, including (i) all material 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the Borrower or any of its Subsidiaries, except to the extent such Taxes, fees, assessments or governmental charges or levies or such claims are being contested in good faith by appropriate proceedings and are adequately reserved against in accordance with GAAP and (ii) all lawful claims which, if unpaid, would by law become a Lien upon its property not constituting a Permitted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Such Obligor will, and will cause each of its Subsidiaries to maintain, with financially sound and reputable insurance companies, insurance in such amounts and against such risks as are customarily maintained by companies engaged in the same or similar businesses, including commercial property, liability and business interruption coverage. Upon the request of the Administrative Agent, the Borrower shall furnish the Administrative Agent from time to time with (i) material information as to the insurance carried by it and, if so requested, copies of all such insurance policies and (ii) a certificate from the Borrower’s insurance broker or other insurance specialist stating that all premiums then due on the policies relating to insurance on the Collateral have been paid and that such policies are in full force and effect. Receipt of notice of termination or cancellation of any such insurance policies or reduction of coverages or amounts thereunder shall entitle the Secured Parties to renew any such policies, cause the coverages and amounts thereof to be maintained at levels required pursuant to the first sentence of this </w:t>
      </w:r>
      <w:r>
        <w:rPr>
          <w:rFonts w:ascii="Times New Roman;Times;Serif" w:hAnsi="Times New Roman;Times;Serif"/>
          <w:b/>
          <w:i w:val="false"/>
          <w:caps w:val="false"/>
          <w:smallCaps w:val="false"/>
          <w:sz w:val="20"/>
        </w:rPr>
        <w:t xml:space="preserve">Section 8.05 </w:t>
      </w:r>
      <w:r>
        <w:rPr>
          <w:rFonts w:ascii="Times New Roman;Times;Serif" w:hAnsi="Times New Roman;Times;Serif"/>
          <w:b w:val="false"/>
          <w:i w:val="false"/>
          <w:caps w:val="false"/>
          <w:smallCaps w:val="false"/>
          <w:sz w:val="20"/>
        </w:rPr>
        <w:t xml:space="preserve">or otherwise to obtain similar insurance in place of such policies, in each case, the Borrower will be responsible for the reasonable and documented cost of such insurance (to be payable on demand). The amount of any such reasonable and documented expenses shall accrue interest at the Default Rate if not paid on demand and shall constitute “Obligations.” Such Obligor shall cause each such policy of insurance (with respect to each such policy outstanding as of the Closing Date, within the time period set forth in </w:t>
      </w:r>
      <w:r>
        <w:rPr>
          <w:rFonts w:ascii="Times New Roman;Times;Serif" w:hAnsi="Times New Roman;Times;Serif"/>
          <w:b/>
          <w:i w:val="false"/>
          <w:caps w:val="false"/>
          <w:smallCaps w:val="false"/>
          <w:sz w:val="20"/>
        </w:rPr>
        <w:t>Section 8.19(b))</w:t>
      </w:r>
      <w:r>
        <w:rPr>
          <w:rFonts w:ascii="Times New Roman;Times;Serif" w:hAnsi="Times New Roman;Times;Serif"/>
          <w:b w:val="false"/>
          <w:i w:val="false"/>
          <w:caps w:val="false"/>
          <w:smallCaps w:val="false"/>
          <w:sz w:val="20"/>
        </w:rPr>
        <w:t xml:space="preserve">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Agent (ten (10) days’ prior written notice in the event of cancellation for nonpayment) of any material modification or cancellation of such policy, and otherwise reasonably satisfactory in form and substance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Books and Records; Inspection Rights</w:t>
      </w:r>
      <w:r>
        <w:rPr>
          <w:rFonts w:ascii="Times New Roman;Times;Serif" w:hAnsi="Times New Roman;Times;Serif"/>
          <w:b w:val="false"/>
          <w:i w:val="false"/>
          <w:caps w:val="false"/>
          <w:smallCaps w:val="false"/>
          <w:sz w:val="20"/>
        </w:rPr>
        <w:t xml:space="preserve">. Such Obligor will, and will cause each of its Subsidiaries to, keep proper books of record and account in which full, true and correct (in all material respects) entries are made of all dealings and transactions in relation to its business and activities. Such Obligor will, and will cause each of its Subsidiaries to, permit any representatives designated by the Administrative Agent or the Lenders, upon reasonable prior notice, to visit and inspect its properties, to examine and make extracts from its books and records, and to discuss its affairs, finances and condition (financial or otherwise) with its officers and independent accountants, during normal business hours (but not more often than once per fiscal year unless an Event of Default has occurred and is continuing) as the Administrative Agent or the Lenders may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representative shall use its commercially reasonable efforts to minimize disruption to the business and affairs of the Borrower as a result of any such visit, inspection, examination or discussion. Notwithstanding anything to the contrary contained herein, no Obligor nor any of its Subsidiaries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any binding agreement with a third party (so long as such agreement is not entered into in contemplation of this Agreement) or (iii) that is subject to attorney-client or similar privilege, which could reasonably be expected to be lost or forfeited if disclosed to the Administrative Agent or any Lender. The Borrower shall pay all reasonable and documented costs of all such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Compliance with Laws and Other Obligations</w:t>
      </w:r>
      <w:r>
        <w:rPr>
          <w:rFonts w:ascii="Times New Roman;Times;Serif" w:hAnsi="Times New Roman;Times;Serif"/>
          <w:b w:val="false"/>
          <w:i w:val="false"/>
          <w:caps w:val="false"/>
          <w:smallCaps w:val="false"/>
          <w:sz w:val="20"/>
        </w:rPr>
        <w:t xml:space="preserve">. Such Obligor will, and will cause each of its Subsidiaries to, (i) comply with all Laws (including Anti-Terrorism Laws, Sanctions and Environmental Laws) applicable to it and its business activities, (ii) comply in all material respects with all Healthcare Laws and Governmental Approvals (including Product Authorizations) applicable to it and its business activities and (iii) maintain in full force and effect, remain in compliance with, and perform all obligations under all Material Agreement to which it is a party, except, in the case of </w:t>
      </w:r>
      <w:r>
        <w:rPr>
          <w:rFonts w:ascii="Times New Roman;Times;Serif" w:hAnsi="Times New Roman;Times;Serif"/>
          <w:b/>
          <w:i w:val="false"/>
          <w:caps w:val="false"/>
          <w:smallCaps w:val="false"/>
          <w:sz w:val="20"/>
        </w:rPr>
        <w:t>clauses (i)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above, where the failure to do so would not, individually or in the aggregate, reasonably be expected to result in a Material Adverse Effect. Within 30 days after the Closing Date, each Obligor shall institute (if not already in effect) and thereafter maintain in effect and enforce policies and procedures reasonably designed to promote compliance by such Obligor, its Subsidiaries and their respective directors, officers, employees and agents with Anti-Terrorism Laws and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Maintenance of Properties, Etc.</w:t>
      </w:r>
      <w:r>
        <w:rPr>
          <w:rFonts w:ascii="Times New Roman;Times;Serif" w:hAnsi="Times New Roman;Times;Serif"/>
          <w:b w:val="false"/>
          <w:i w:val="false"/>
          <w:caps w:val="false"/>
          <w:smallCaps w:val="false"/>
          <w:sz w:val="20"/>
        </w:rPr>
        <w:t xml:space="preserve"> Such Obligor shall, and shall cause each of its Subsidiaries to, maintain and preserve all of its assets and properties, including all assets and properties, whether tangible or intangible, relating to its Products or Product Commercialization and Development Activities, necessary or useful in the conduct of its business in good working order and condition in accordance with the general practice of other Persons of similar character and size, ordinary wear and tear and damage from casualty or condemnation excepted and except where the failure to do so, individually or in the aggregate,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Licenses</w:t>
      </w:r>
      <w:r>
        <w:rPr>
          <w:rFonts w:ascii="Times New Roman;Times;Serif" w:hAnsi="Times New Roman;Times;Serif"/>
          <w:b w:val="false"/>
          <w:i w:val="false"/>
          <w:caps w:val="false"/>
          <w:smallCaps w:val="false"/>
          <w:sz w:val="20"/>
        </w:rPr>
        <w:t>. Such Obligor shall, and shall cause each of its Subsidiaries to, obtain and maintain all Governmental Approvals necessary in connection with the execution, delivery and performance of the Loan Documents, the consummation of the Transactions or the operation and conduct of its business and ownership of its properties (including its Product Commercialization and Development Activities), except where the failure to do so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Use of Proceeds</w:t>
      </w:r>
      <w:r>
        <w:rPr>
          <w:rFonts w:ascii="Times New Roman;Times;Serif" w:hAnsi="Times New Roman;Times;Serif"/>
          <w:b w:val="false"/>
          <w:i w:val="false"/>
          <w:caps w:val="false"/>
          <w:smallCaps w:val="false"/>
          <w:sz w:val="20"/>
        </w:rPr>
        <w:t xml:space="preserve">. The proceeds of the Loans will be used only as provided in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No part of the proceeds of the Loans will be used, whether directly or indirectly, for any purpose that entails a violation of any of the Regulations of the Board of Governors of the Federal Reserve System, including Regulations T, U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Certain Obligations Respecting Subsidiaries; 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Subsidiary Guarantors, etc</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clauses (c)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below, in the event that the Borrower or any of its Subsidiaries shall form or acquire any new Subsidiary, the Borrower shall promptly (and in any event within forty-five (45)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such new Subsidiary to become (x) a “Subsidiary Guarantor” hereunder pursuant to a Guarantee Assumption Agreement and (y) a “Grantor” under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take such action or cause such Subsidiary to take such action (including joining the Security Agreement and delivering shares of stock together with undated transfer powers executed in blank, applicable control agreements and other instruments) as shall be reasonably necessary or desirable or reasonably requested by the Administrative Agent in order to create and perfect, in favor of the Administrative Agent, for the benefit of the Secured Parties, valid and enforceable first priority (subject to Permitted Priority Liens) Liens on substantially all of the personal property of such new Subsidiary as collateral security for the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security interest or Lien shall be subject to the relevant requirements of the Security Documents and the Intercompany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that the parent of such Subsidiary is not a party to the Security Agreement or has not otherwise pledged Equity Interests in its Subsidiaries in accordance with the terms of the Security Agreement and this Agreement, cause the parent (if possible) of such Subsidiary to execute and deliver a pledge agreement in favor of the Administrative Agent, for the benefit of the Secured Parties, in respect of all outstanding issued shares of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deliver such proof of corporate action, incumbency of officers, and other applicable documents as is consistent with those delivered by each Obligor pursuant to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xml:space="preserve"> or as the Administrative Agent shall reasonably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cause each new Subsidiary to become a party to the Intercompany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clauses (c)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Obligor will take such action from time to time as shall reasonably be requested by the Administrative Agent to effectuate the purposes and objectives of this Agreement and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such Obligor creates, develops or otherwise acquires Intellectual Property during the term of this Agreement, then the provisions of this Agreement and the Security Agreement shall and hereby does automatically apply thereto and any such Intellectual Property shall automatically constitute and hereby does constitute part of the Collateral under the Security Documents, without further action by any party, in each case from and after the date of such creation, development 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the foregoing, each Obligor will, and will cause each Person that is required to be a Subsidiary Guarantor to, take such action from time to time (including joining the Security Agreement and delivering shares of stock together with undated transfer powers executed in blank, applicable control agreements and other instruments) as shall be reasonably requested by the Administrative Agent to create, in favor of the Secured Parties, perfected security interests and Liens in substantially all of the personal property (other than Excluded Assets (as defined in the Security Agreement)) of such Obligor as collateral security for the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security interest or Lien shall be subject to the relevant requirements of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promptly (and in any event within five (5) Business Days) following the acquisition by any Obligor following the Closing Date of any fee interest in real property or lessee interest under a ground lease having a value in excess of $1,000,000, such Obligor shall notify Administrative Agent of such fact and shall, if so requested by Administrative Agent, within thirty (30) days following such request by Administrative Agent (or such longer period as agreed by Administrative Agent in its reasonable discretion), with respect to any such owned or leased real estate, deliver or cause to be delivered to Administrative Agent the following (collectively, “</w:t>
      </w:r>
      <w:r>
        <w:rPr>
          <w:rFonts w:ascii="Times New Roman;Times;Serif" w:hAnsi="Times New Roman;Times;Serif"/>
          <w:b/>
          <w:i/>
          <w:caps w:val="false"/>
          <w:smallCaps w:val="false"/>
          <w:sz w:val="20"/>
        </w:rPr>
        <w:t>Mortgage Deliverables</w:t>
      </w:r>
      <w:r>
        <w:rPr>
          <w:rFonts w:ascii="Times New Roman;Times;Serif" w:hAnsi="Times New Roman;Times;Serif"/>
          <w:b w:val="false"/>
          <w:i w:val="false"/>
          <w:caps w:val="false"/>
          <w:smallCaps w:val="false"/>
          <w:sz w:val="20"/>
        </w:rPr>
        <w:t>”): (A) a mortgage or deed of trust, as applicable, in form and substance reasonably satisfactory to Administrative Agent, executed by the title holder thereof and recorded in the applicable jurisdiction, granting Administrative Agent, on behalf of the Lenders, a first priority Lien on the fee or lessee interest in such real estate, (B) a lender’s title insurance policy issued by a title insurer reasonably satisfactory to Administrative Agent in form and substance and in amounts reasonably satisfactory to Administrative Agent insuring Administrative Agent’s, for itself and on behalf of the Lenders’, first priority Lien in the fee or lessee interest in such real estate, free and clear of all defects and encumbrances except Permitted Liens, (C) a current ALTA survey, certified to Administrative Agent, for itself and on behalf of the Lenders, by a licensed surveyor, in form and substance reasonably satisfactory to Administrative Agent, or survey affidavits sufficient to allow the issuer of the lender’s title insurance policy to issue such policy without a survey exception, (D) a certificate, in form and substance reasonably acceptable to Administrative Agent, to Administrative Agent from a national certification agency acceptable to Administrative Agent, indicating whether such real estate is located in a special flood hazard area and (E) legal opinions in form and substance reasonably acceptable to Administrative Agent from one or more law firms reasonably acceptable to Administrative Agent opining as to due execution, authority, noncircumvention, recordability, perfection and enforceability of such mortgage or deed of trust;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that such Obligor is party to (i) any lease agreement with respect to real property or (ii) any warehousing or bailment arrangement pursuant to which inventory, equipment or other assets of the Obligors are stored at a third-party warehouse or other facility, such Obligor shall use its commercially reasonable efforts to obtain a Landlord Consent or Bailee Letter, as applicable, within 30 days after entry into such agreement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Excluded Subsidiaries</w:t>
      </w:r>
      <w:r>
        <w:rPr>
          <w:rFonts w:ascii="Times New Roman;Times;Serif" w:hAnsi="Times New Roman;Times;Serif"/>
          <w:b w:val="false"/>
          <w:i w:val="false"/>
          <w:caps w:val="false"/>
          <w:smallCaps w:val="false"/>
          <w:sz w:val="20"/>
        </w:rPr>
        <w:t>. Notwithstanding any term or provision of this Agreement to the contrary, (x) no Subsidiary that is a (i) CFC, (ii) CFC Holding Company or (iii) Domestic Subsidiary of either of the foregoing, shall be required to become a Subsidiary Guarantor, (y) the Obligors shall not be required to pledge (or cause to be pledged) to the Administrative Agent, for the benefit of the Secured Parties, Equity Interests of any Subsidiary representing, in the aggregate, more than sixty-five percent (65%) of the Equity Interests of any CFC or CFC Holding Company, and (z) no Immaterial Subsidiary shall be required to become a Subsidiary Guarantor. The Borrower shall not form or acquire any Subsidiary that is a CFC, CFC Holding Company or Domestic Subsidiary of either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Limitations on Certain Obligations</w:t>
      </w:r>
      <w:r>
        <w:rPr>
          <w:rFonts w:ascii="Times New Roman;Times;Serif" w:hAnsi="Times New Roman;Times;Serif"/>
          <w:b w:val="false"/>
          <w:i w:val="false"/>
          <w:caps w:val="false"/>
          <w:smallCaps w:val="false"/>
          <w:sz w:val="20"/>
        </w:rPr>
        <w:t xml:space="preserve">. Notwithstanding any term or provision of this Agreement to the contrary: (A) no Obligor shall be required to enter into or obtain any leasehold mortgage or any similar agreement in respect of any leasehold interest in real property and (B) no actions or undertakings described in the foregoing clauses (a)(ii) or (b) of this </w:t>
      </w:r>
      <w:r>
        <w:rPr>
          <w:rFonts w:ascii="Times New Roman;Times;Serif" w:hAnsi="Times New Roman;Times;Serif"/>
          <w:b/>
          <w:i w:val="false"/>
          <w:caps w:val="false"/>
          <w:smallCaps w:val="false"/>
          <w:sz w:val="20"/>
        </w:rPr>
        <w:t>Section 8.11</w:t>
      </w:r>
      <w:r>
        <w:rPr>
          <w:rFonts w:ascii="Times New Roman;Times;Serif" w:hAnsi="Times New Roman;Times;Serif"/>
          <w:b w:val="false"/>
          <w:i w:val="false"/>
          <w:caps w:val="false"/>
          <w:smallCaps w:val="false"/>
          <w:sz w:val="20"/>
        </w:rPr>
        <w:t>, and no collateral or security filings, shall be required in any jurisdiction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Termination of Non-Permitted Liens</w:t>
      </w:r>
      <w:r>
        <w:rPr>
          <w:rFonts w:ascii="Times New Roman;Times;Serif" w:hAnsi="Times New Roman;Times;Serif"/>
          <w:b w:val="false"/>
          <w:i w:val="false"/>
          <w:caps w:val="false"/>
          <w:smallCaps w:val="false"/>
          <w:sz w:val="20"/>
        </w:rPr>
        <w:t>. In the event that any Obligor shall become aware of, or be notified by the Administrative Agent or any Lender of the existence of, any outstanding Lien against any assets or property of such Obligor or any of its Subsidiaries, which Lien is not a Permitted Lien, such Obligor shall use its commercially reasonable efforts to promptly terminate or cause the termination of such Lien. This provision shall not limit any rights or remedies the Administrative Agent and Lenders have upon the occurrence and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Board Materials; Oaktree Lender Board Observer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Regardless of whether the Oaktree Lender has the right to designate a Board Observer (as defined below): (i) the Borrower shall deliver to the Administrative Agent copies of any agenda and other written materials provided to the board of directors (or any committee thereof) of the Borrower prior to any meeting of the board of directors (or such committee thereof), at or reasonably promptly after such materials are furnished to the members of the board of directors (or such committee thereof), (ii) copies of all minutes of meetings of the board of directors (or any committee thereof) of the Borrower at or promptly after such minutes are furnished to the members of the board of directors (or such committee thereof), (iii) copies of all material written consents duly passed by the board of directors (or any committee thereof) of the Borrower and (iv) promptly upon presentation of any regular periodic materials to the board of directors (or any committee thereof) of the Borrower reporting on the current, past or future financial performance and business and operations of the Borrower or any of its Subsidiaries (which shall include, among other things, development updates with respect to material Products, and updates with respect to material events relating to other Material Agreements), copies of such materials shall be delivered to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material may be redacted by the Borrower to (A) exclude information pertaining to the Borrower’s strategy regarding the Loans, (B) preserve attorney-client privilege or (C) protect individually identifiable health information (as defined under HIPAA) or other confidential information relating to healthcare patients;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redactions are restricted so as to be only as extensive as is reasonably necessary in order to exclude information described in clauses (A), (B)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request of the Oaktree Lender and after both Tranche A-1 Loan and Tranche B Loan have been funded, the Borrower shall permit a single designee of the Oaktree Lender to be a board observer to the Borrower or any committee thereof performing such functions (the “</w:t>
      </w:r>
      <w:r>
        <w:rPr>
          <w:rFonts w:ascii="Times New Roman;Times;Serif" w:hAnsi="Times New Roman;Times;Serif"/>
          <w:b/>
          <w:i w:val="false"/>
          <w:caps w:val="false"/>
          <w:smallCaps w:val="false"/>
          <w:sz w:val="20"/>
        </w:rPr>
        <w:t>Board Observer</w:t>
      </w:r>
      <w:r>
        <w:rPr>
          <w:rFonts w:ascii="Times New Roman;Times;Serif" w:hAnsi="Times New Roman;Times;Serif"/>
          <w:b w:val="false"/>
          <w:i w:val="false"/>
          <w:caps w:val="false"/>
          <w:smallCaps w:val="false"/>
          <w:sz w:val="20"/>
        </w:rPr>
        <w:t xml:space="preserve">”). In such capacity, the Board Observer shall be entitled to attend all meetings of the board of directors of the Borrower and any committee thereof. The Borrower shall ensure that the Board Observer is invited to each such meeting at the same time as each other member of the board of directors and that such Board Observer receives all board materials at the same time as each other member of the board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material may be redacted by Borrower, and Borrower may exclude the Board Observer from meetings of the board of directors or any committee thereof, in order to (i) prevent the Board Observer from receiving or learning information relating to the Borrower’s strategy regarding the Loans, (ii) preserve attorney-client privilege or (iii) protect individually identifiable health information (as defined under HIPAA) or other confidential information relating to healthcare patients;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such redactions and the exclusion of the Board Observer are restricted so as to be only as extensive as is reasonably necessary in order to exclude or prevent access to the Board Observer to information described in clauses (i), (ii) or (iii). If appointed, the Board Observer may resign or withdraw at any time, or, at the request of the Oaktree Lender, be replaced by a designee of the Oaktree Lender that is reasonably acceptable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otherwise limiting the Administrative Agent’s and Lenders’ right to expense reimbursement hereunder, the Borrower shall reimburse the Oaktree Lender for all reasonable and documented out-of-pocket expenses incurred by or on behalf of the Oaktree Lender or the Board Observer in attending any meetings of the board of directors or any committee thereof or otherwise in connection with the exercise of their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Maintenance of Regulatory Approvals, Contracts, Intellectual Property, Etc.</w:t>
      </w:r>
      <w:r>
        <w:rPr>
          <w:rFonts w:ascii="Times New Roman;Times;Serif" w:hAnsi="Times New Roman;Times;Serif"/>
          <w:b w:val="false"/>
          <w:i w:val="false"/>
          <w:caps w:val="false"/>
          <w:smallCaps w:val="false"/>
          <w:sz w:val="20"/>
        </w:rPr>
        <w:t xml:space="preserve"> With respect to the Products and all Product Commercialization and Development Activities, such Obligor will, and will cause each of its Subsidiaries (to the extent applicable) to, (i) maintain in full force and effect all Regulatory Approvals, Material Agreements, Material Intellectual Property and other rights, interests or assets (whether tangible or intangible) reasonably necessary for the operations of such Person’s business, except as would not reasonably be expected to have a Material Adverse Effect, (ii) maintain in full force and effect, and pay all costs and expenses relating to, such Regulatory Approvals, Material Agreements and Material Intellectual Property owned, used or controlled by such Obligor or any such Subsidiary that are used in or necessary for any related Product Commercialization and Development Activities, except as would not be reasonably expected to have a Material Adverse Effect, (iii) promptly after obtaining knowledge thereof, notify the Administrative Agent of any infringement or other violation by any Person of such Obligor’s or any such Subsidiaries’ Material Intellectual Property, and use commercially reasonable efforts to stop, curtail or abate such infringement if determined appropriate by the Borrower in the exercise of its business judgment and (iv) promptly after obtaining knowledge thereof, notify the Administrative Agent of any Claim by any Person that the conduct of the business of any Obligor or any of its Subsidiaries, including in connection with any Product Commercialization and Development Activities, has infringed upon any Intellectual Property of such Person, where such Claim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ERISA Compliance</w:t>
      </w:r>
      <w:r>
        <w:rPr>
          <w:rFonts w:ascii="Times New Roman;Times;Serif" w:hAnsi="Times New Roman;Times;Serif"/>
          <w:b w:val="false"/>
          <w:i w:val="false"/>
          <w:caps w:val="false"/>
          <w:smallCaps w:val="false"/>
          <w:sz w:val="20"/>
        </w:rPr>
        <w:t>. Such Obligor shall comply, and shall cause each of its Subsidiaries to comply, with the provisions of ERISA with respect to any Plans to which such Obligor or such Subsidiary is a party as an employer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Cash Management</w:t>
      </w:r>
      <w:r>
        <w:rPr>
          <w:rFonts w:ascii="Times New Roman;Times;Serif" w:hAnsi="Times New Roman;Times;Serif"/>
          <w:b w:val="false"/>
          <w:i w:val="false"/>
          <w:caps w:val="false"/>
          <w:smallCaps w:val="false"/>
          <w:sz w:val="20"/>
        </w:rPr>
        <w:t>. Such Obligor shall, and shall cause each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cause each deposit account, disbursement account, investment account (or other similar account) and lockbox of any Obligor (in each case, other than any Excluded Accounts) opened after the Closing Date to, within thirty (30) days of account opening and at all times thereafter be subject to an account control agreement between the applicable Obligor, the Administrative Agent and the applicable depositary institution in favor of the Administrative Agent in form and substance reasonably acceptable to the Administrative Agent (each such deposit account, disbursement account, investment account (or similar account) and lockbox, a “</w:t>
      </w:r>
      <w:r>
        <w:rPr>
          <w:rFonts w:ascii="Times New Roman;Times;Serif" w:hAnsi="Times New Roman;Times;Serif"/>
          <w:b/>
          <w:i/>
          <w:caps w:val="false"/>
          <w:smallCaps w:val="false"/>
          <w:sz w:val="20"/>
        </w:rPr>
        <w:t>Controlled Account</w:t>
      </w:r>
      <w:r>
        <w:rPr>
          <w:rFonts w:ascii="Times New Roman;Times;Serif" w:hAnsi="Times New Roman;Times;Serif"/>
          <w:b w:val="false"/>
          <w:i w:val="false"/>
          <w:caps w:val="false"/>
          <w:smallCaps w:val="false"/>
          <w:sz w:val="20"/>
        </w:rPr>
        <w:t>”) that (A) ensures, to the extent necessary under applicable law, the perfection of a first priority (subject to Permitted Priority Liens) security interest in favor of the Administrative Agent on such Controlled Account, (B) provides that, upon written notice from the Administrative Agent, such depositary institution shall comply with instructions originated by the Administrative Agent directing disposition of the funds in such Controlled Account without further consent of the applicable Obligor and (C) may not be terminated without prior written consent of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after the occurrence and during the continuance of an Event of Default, at the request of the Administrative Agent, each Obligor shall cause all payments constituting proceeds of accounts to be directed into lockbox accounts under agreements in form and substance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Amendments to Agreements</w:t>
      </w:r>
      <w:r>
        <w:rPr>
          <w:rFonts w:ascii="Times New Roman;Times;Serif" w:hAnsi="Times New Roman;Times;Serif"/>
          <w:b w:val="false"/>
          <w:i w:val="false"/>
          <w:caps w:val="false"/>
          <w:smallCaps w:val="false"/>
          <w:sz w:val="20"/>
        </w:rPr>
        <w:t>. The Collaboration Agreement Option, the BioXcel Trademark Agreement and the Commercial Supply Agreement shall not be amended or otherwise modified in a manner materially adverse to the interest of the Lenders without the prior written consent of the Majority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Post-Closing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By July 19, 2022 (or such later date as agreed by the Administrative Agent in its sole discretion), the Borrower shall deliver to Administrative Agent evidence in form and substance satisfactory to the Administrative Agent that the Borrower has (i) obtained from each inventor who is obligated to assign to Borrower, a customary invention assignment agreement presently assigning all of such inventor’s right, title and interest in and to each Patent set forth on </w:t>
      </w:r>
      <w:r>
        <w:rPr>
          <w:rFonts w:ascii="Times New Roman;Times;Serif" w:hAnsi="Times New Roman;Times;Serif"/>
          <w:b/>
          <w:i w:val="false"/>
          <w:caps w:val="false"/>
          <w:smallCaps w:val="false"/>
          <w:sz w:val="20"/>
        </w:rPr>
        <w:t>Schedule 8.19</w:t>
      </w:r>
      <w:r>
        <w:rPr>
          <w:rFonts w:ascii="Times New Roman;Times;Serif" w:hAnsi="Times New Roman;Times;Serif"/>
          <w:b w:val="false"/>
          <w:i w:val="false"/>
          <w:caps w:val="false"/>
          <w:smallCaps w:val="false"/>
          <w:sz w:val="20"/>
        </w:rPr>
        <w:t xml:space="preserve"> to Borrower and (ii) made the necessary filings with the United States Patent and Trademark Office (“</w:t>
      </w:r>
      <w:r>
        <w:rPr>
          <w:rFonts w:ascii="Times New Roman;Times;Serif" w:hAnsi="Times New Roman;Times;Serif"/>
          <w:b/>
          <w:i/>
          <w:caps w:val="false"/>
          <w:smallCaps w:val="false"/>
          <w:sz w:val="20"/>
        </w:rPr>
        <w:t>USPTO</w:t>
      </w:r>
      <w:r>
        <w:rPr>
          <w:rFonts w:ascii="Times New Roman;Times;Serif" w:hAnsi="Times New Roman;Times;Serif"/>
          <w:b w:val="false"/>
          <w:i w:val="false"/>
          <w:caps w:val="false"/>
          <w:smallCaps w:val="false"/>
          <w:sz w:val="20"/>
        </w:rPr>
        <w:t xml:space="preserve">”) to evidence in the records of the USPTO that the Borrower is the sole assignee and owner (or, solely with respect to those Patents identified on </w:t>
      </w:r>
      <w:r>
        <w:rPr>
          <w:rFonts w:ascii="Times New Roman;Times;Serif" w:hAnsi="Times New Roman;Times;Serif"/>
          <w:b/>
          <w:i w:val="false"/>
          <w:caps w:val="false"/>
          <w:smallCaps w:val="false"/>
          <w:sz w:val="20"/>
        </w:rPr>
        <w:t>Schedule 8.19</w:t>
      </w:r>
      <w:r>
        <w:rPr>
          <w:rFonts w:ascii="Times New Roman;Times;Serif" w:hAnsi="Times New Roman;Times;Serif"/>
          <w:b w:val="false"/>
          <w:i w:val="false"/>
          <w:caps w:val="false"/>
          <w:smallCaps w:val="false"/>
          <w:sz w:val="20"/>
        </w:rPr>
        <w:t xml:space="preserve"> as jointly owned, an assignee and joint owner) of each of the Patents set forth on </w:t>
      </w:r>
      <w:r>
        <w:rPr>
          <w:rFonts w:ascii="Times New Roman;Times;Serif" w:hAnsi="Times New Roman;Times;Serif"/>
          <w:b/>
          <w:i w:val="false"/>
          <w:caps w:val="false"/>
          <w:smallCaps w:val="false"/>
          <w:sz w:val="20"/>
        </w:rPr>
        <w:t>Schedule 8.19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June 3, 2022 (or such later date as agreed by the Administrative Agent in its sole discretion), Borrower shall cause all insurance policies so required pursuant to the Loan Documents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Administrative Agent (ten (10) days’ prior written notice in the event of cancellation for nonpayment) of any material modification or cancellation of such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BioXcel LLC shall at any time cease to own, directly or indirectly, at least 20% of the Equity Interests in the Borrower, the Borrower shall use its commercially reasonable efforts to enter into an amendment to the Shared Services Agreement with BioXcel LLC pursuant to which the Borrower’s option to enter into a collaborative services agreement with BioXcel LLC by which the Collaboration Agreement Option shall be extended through at least the 91st day following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five (5) Business Days following the Closing Date (or such longer period of time as agreed by the Administrative Agent in its sole discretion) (the “</w:t>
      </w:r>
      <w:r>
        <w:rPr>
          <w:rFonts w:ascii="Times New Roman;Times;Serif" w:hAnsi="Times New Roman;Times;Serif"/>
          <w:b/>
          <w:i/>
          <w:caps w:val="false"/>
          <w:smallCaps w:val="false"/>
          <w:sz w:val="20"/>
        </w:rPr>
        <w:t>Account Control Agreement Completion Date</w:t>
      </w:r>
      <w:r>
        <w:rPr>
          <w:rFonts w:ascii="Times New Roman;Times;Serif" w:hAnsi="Times New Roman;Times;Serif"/>
          <w:b w:val="false"/>
          <w:i w:val="false"/>
          <w:caps w:val="false"/>
          <w:smallCaps w:val="false"/>
          <w:sz w:val="20"/>
        </w:rPr>
        <w:t>”), the Administrative Agent shall have received evidence that (i) all deposit accounts, lockboxes, disbursement accounts, investment accounts or other similar accounts (other than Excluded Accounts) of each Obligor located within the U.S. are Controlled Accounts and (ii) such Controlled Accounts are subject to one or more account control agreements, in favor of, and satisfactory in form and substance to, the Administrative Agent that (A) ensures, to the extent necessary under applicable law, the perfection of a first priority (subject to Permitted Priority Liens) security interest in favor of the Administrative Agent on such Controlled Account, (B) provides that, upon written notice from the Administrative Agent, such depositary institution shall comply with instructions originated by the Administrative Agent directing disposition of the funds in such Controlled Account without further consent of the applicable Obligor and (C) may not be terminated without prior written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Enforcement of Trademark Rights</w:t>
      </w:r>
      <w:r>
        <w:rPr>
          <w:rFonts w:ascii="Times New Roman;Times;Serif" w:hAnsi="Times New Roman;Times;Serif"/>
          <w:b w:val="false"/>
          <w:i w:val="false"/>
          <w:caps w:val="false"/>
          <w:smallCaps w:val="false"/>
          <w:sz w:val="20"/>
        </w:rPr>
        <w:t>. Borrower shall, promptly after becoming aware of any breach by BioXcel LLC of the BioXcel Trademark Agreement or any use of the BIOXCEL trademark within the field of neuroscience (including by BioXcel LLC’s other Affiliates), in each case, in a manner that is, or would reasonably be expected to be, material to the businesses of Borrower, the Obligors, or any of their respective Subsidiaries, use its commercially reasonable efforts to enforce its rights, including under the BioXcel Trademark Agreement, to prevent such further breach or use, and to otherwise mitigate any risk and adverse impact to such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Budget Variance Covenant</w:t>
      </w:r>
      <w:r>
        <w:rPr>
          <w:rFonts w:ascii="Times New Roman;Times;Serif" w:hAnsi="Times New Roman;Times;Serif"/>
          <w:b w:val="false"/>
          <w:i w:val="false"/>
          <w:caps w:val="false"/>
          <w:smallCaps w:val="false"/>
          <w:sz w:val="20"/>
        </w:rPr>
        <w:t>. Commencing with the delivery of the Budget Variance Report for the Budget Variance Test Period ending on November 30, 2024, and as of the last day of each subsequent Budget Variance Test Period, the Borrower shall not permit actual disbursements for such Budget Variance Test Period to exceed 115% in the aggregate of the sum of the forecasted actual disbursements for such Budget Variance Test Period in the applicable Approved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Investment Bank</w:t>
      </w:r>
      <w:r>
        <w:rPr>
          <w:rFonts w:ascii="Times New Roman;Times;Serif" w:hAnsi="Times New Roman;Times;Serif"/>
          <w:b w:val="false"/>
          <w:i w:val="false"/>
          <w:caps w:val="false"/>
          <w:smallCaps w:val="false"/>
          <w:sz w:val="20"/>
        </w:rPr>
        <w:t>. On or prior to July 31, 2025, the Borrower shall select and engage an investment banker reasonably acceptable to the Administrative Agent and the Lenders to assist the Borrower and its Board with evaluating and exploring strategic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Payroll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not pay any cash bonuses for the fiscal years ended December 31, 2024 and December 31, 2025 without the prior written consent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cash compensation for the fiscal year ended December 31, 2025 for the executive officers of the Borrower, including Vimal Mehta, Richard Steinhart, Javier Rodriguez, Frank Yocca, Vincent O’Neill and any replacement of any of the foregoing, shall be no higher than the cash compensation for such executive officers for the fiscal year ended December 31,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Fifth Amendment Capital Raise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After the Fifth Amendment Date and on or prior to November 27, 2024, the Borrower shall receive at least $7,000,000 in gross cash proceeds (the “</w:t>
      </w:r>
      <w:r>
        <w:rPr>
          <w:rFonts w:ascii="Times New Roman;Times;Serif" w:hAnsi="Times New Roman;Times;Serif"/>
          <w:b/>
          <w:i/>
          <w:caps w:val="false"/>
          <w:smallCaps w:val="false"/>
          <w:sz w:val="20"/>
        </w:rPr>
        <w:t>Fifth Amendment Capital Raise One</w:t>
      </w:r>
      <w:r>
        <w:rPr>
          <w:rFonts w:ascii="Times New Roman;Times;Serif" w:hAnsi="Times New Roman;Times;Serif"/>
          <w:b w:val="false"/>
          <w:i w:val="false"/>
          <w:caps w:val="false"/>
          <w:smallCaps w:val="false"/>
          <w:sz w:val="20"/>
        </w:rPr>
        <w:t>”) from the issuance of the Borrower’s common stock, warrants and/or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December 31, 2024, the Borrower shall prepay in cash $2,500,000 in aggregate principal amount of the outstanding Loans, together with (i) accrued and unpaid interest on the amount so prepaid, (ii) 50% of the applicable Prepayment Fee, (iii) 50% of the Amendment Fee (as defined in the First Amendment) on the amount so prepaid and (iv) 50% of the Second Amendment Fee (as defined in the Second Amendment) on the amount so prepaid; it being understood and agreed that 50% of each of the Prepayment Fee, Amendment Fee and Second Amendment Fee that would otherwise be payable with respect to such prepayment of $2,500,000 in aggregate principal amount of Loans have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After the Fifth Amendment Date and on or prior to March 15, 2025 (provided, that the Borrower will use its commercially reasonable efforts to complete the Fifth Amendment Capital Raise Two (as defined below) on or prior to February 15, 2025), the Borrower shall receive at least $18,000,000 in net cash proceeds (the “</w:t>
      </w:r>
      <w:r>
        <w:rPr>
          <w:rFonts w:ascii="Times New Roman;Times;Serif" w:hAnsi="Times New Roman;Times;Serif"/>
          <w:b/>
          <w:i/>
          <w:caps w:val="false"/>
          <w:smallCaps w:val="false"/>
          <w:sz w:val="20"/>
        </w:rPr>
        <w:t>Fifth Amendment Capital Raise Two</w:t>
      </w:r>
      <w:r>
        <w:rPr>
          <w:rFonts w:ascii="Times New Roman;Times;Serif" w:hAnsi="Times New Roman;Times;Serif"/>
          <w:b w:val="false"/>
          <w:i w:val="false"/>
          <w:caps w:val="false"/>
          <w:smallCaps w:val="false"/>
          <w:sz w:val="20"/>
        </w:rPr>
        <w:t xml:space="preserve">”), including net cash proceeds from the Fifth Amendment Capital Raise One, from (i) the issuance of the Borrower’s common stock, warrants and/or pre-funded warrants, (ii) non-refundable cash consideration from partnering transactions entered into after the Fifth Amendment Date (so long as such partnering transactions would not require the Borrower or any of its Subsidiaries to make any cash investments in connection with the partnering transactions and no such cash investments are made), (iii) the issuance of the Borrower’s subordinated debt with an all-in-yield not greater than 15% if any interest thereon is payable in cash, in form and substance satisfactory to the Administrative Agent in its sole discretion and/or (iv) Asset Sales permitted by </w:t>
      </w:r>
      <w:r>
        <w:rPr>
          <w:rFonts w:ascii="Times New Roman;Times;Serif" w:hAnsi="Times New Roman;Times;Serif"/>
          <w:b/>
          <w:i w:val="false"/>
          <w:caps w:val="false"/>
          <w:smallCaps w:val="false"/>
          <w:sz w:val="20"/>
        </w:rPr>
        <w:t xml:space="preserve">Section 9.09 </w:t>
      </w:r>
      <w:r>
        <w:rPr>
          <w:rFonts w:ascii="Times New Roman;Times;Serif" w:hAnsi="Times New Roman;Times;Serif"/>
          <w:b w:val="false"/>
          <w:i w:val="false"/>
          <w:caps w:val="false"/>
          <w:smallCaps w:val="false"/>
          <w:sz w:val="20"/>
        </w:rPr>
        <w:t>or consented to by the Lenders (clauses (i) through (iv), collectively, “</w:t>
      </w:r>
      <w:r>
        <w:rPr>
          <w:rFonts w:ascii="Times New Roman;Times;Serif" w:hAnsi="Times New Roman;Times;Serif"/>
          <w:b/>
          <w:i/>
          <w:caps w:val="false"/>
          <w:smallCaps w:val="false"/>
          <w:sz w:val="20"/>
        </w:rPr>
        <w:t>Permitted Capital Raise Activities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the Fifth Amendment Date and on or prior to the earlier of August 15, 2025 and the date that is 30 days after the final data readout of the SERENITY At-Home Phase 3 trial, the Borrower shall receive at least $29,000,000 in net cash proceeds, including net cash proceeds from the Fifth Amendment Equity Raise One and the Fifth Amendment Equity Raise Two, from Permitted Capital Raise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Fifth Amendment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Substantially concurrently with the closing of the Fifth Amendment Equity Raise One, the Borrower shall issue and deliver to the Lenders warrants, evidenced by an instrument substantially in the form of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attached to the Fifth Amendment, exercisable at $0.01 per share and for five million shares of common stock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Substantially concurrently with the closing of the Fifth Amendment Equity Raise One, all Company Warrants issued to the Lenders prior to the Fifth Amendment Date shall be amended to revise the exercise price thereunder to an exercise price equal to the lower of (i) the price per share of the Common Stock issued in the Fifth Amendment Equity Raise One and (ii) the average of the daily VWAPs over the 30 consecutive Trading Days preceding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Substantially concurrently with the closing of the Fifth Amendment Equity Raise One, the third amended and restated Registration Rights Agreement in form and substance satisfactory to the Administrative Agent shall be duly executed and delivered to the Administrative Agent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and the Lenders agree that the issuance of warrants pursuant to the Fifth Amendment as set forth in </w:t>
      </w:r>
      <w:r>
        <w:rPr>
          <w:rFonts w:ascii="Times New Roman;Times;Serif" w:hAnsi="Times New Roman;Times;Serif"/>
          <w:b/>
          <w:i w:val="false"/>
          <w:caps w:val="false"/>
          <w:smallCaps w:val="false"/>
          <w:sz w:val="20"/>
        </w:rPr>
        <w:t>Section 8.25</w:t>
      </w:r>
      <w:r>
        <w:rPr>
          <w:rFonts w:ascii="Times New Roman;Times;Serif" w:hAnsi="Times New Roman;Times;Serif"/>
          <w:b w:val="false"/>
          <w:i w:val="false"/>
          <w:caps w:val="false"/>
          <w:smallCaps w:val="false"/>
          <w:sz w:val="20"/>
        </w:rPr>
        <w:t xml:space="preserve"> hereof shall not be treated for U.S. federal income tax purposes as a fee or as a payment that is otherwise subject to U.S. withholding Tax, but shall rather be treated as consideration that is paid in exchange for the deemed disposition of the Loans for tax purposes as a result of the changes to the terms of the Loans pursuant to the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9.</w:t>
      </w:r>
      <w:r>
        <w:rPr>
          <w:rFonts w:ascii="Times New Roman;Times;Serif" w:hAnsi="Times New Roman;Times;Serif"/>
          <w:b/>
          <w:i w:val="false"/>
          <w:caps w:val="false"/>
          <w:smallCaps w:val="false"/>
          <w:sz w:val="20"/>
        </w:rPr>
        <w:b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Obligor covenants and agrees with the Administrative Agent and the Lenders that, until the Commitments have expired or been terminated and all Obligations (other than inchoate indemnification and expense reimbursement obligations for which no claim has been made), have been indefeasibly paid in full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Such Obligor will not, and will not permit any of its Subsidiaries to, create, incur, assume or permit to exist any Indebtedness, whether directly or indirectly,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Indebtedness existing on the Closing Date and set forth on </w:t>
      </w:r>
      <w:r>
        <w:rPr>
          <w:rFonts w:ascii="Times New Roman;Times;Serif" w:hAnsi="Times New Roman;Times;Serif"/>
          <w:b/>
          <w:i w:val="false"/>
          <w:caps w:val="false"/>
          <w:smallCaps w:val="false"/>
          <w:sz w:val="20"/>
        </w:rPr>
        <w:t>Schedule 7.13(a)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accounts payable to trade creditors for goods incurred in the Ordinary Course of such Obligor’s or such Subsidiary’s business in accordance with customary terms and paid within the specified time, unless contested in good faith by appropriate proceedings and reserved for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Indebtedness consisting of guarantees resulting from the endorsement of negotiable instruments for collection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of an Obligor owing to any other Obligor, in each case, subject to the Intercompany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of any Subsidiary that is not an Obligor owing to any other Subsidiary that is not an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Guarantees by any Obligor of Permitted Indebtedness of any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Ordinary Course Capital Lease Obligations and equipment and software financing and leasing;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secured, the collateral therefor consists solely of the assets being financed, the products and proceeds thereof and books and records related thereto and (ii) the outstanding principal amount of such Indebtedness does not exceed $10,000,000 (or the Equivalent Amount in other currencies) in the aggregate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Indebtedness under Permitted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Indebtedness not for borrowed money in an aggregate outstanding principal amount not to exceed $100,000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Indebtedness in respect of letters of credit, bank guarantees, bankers’ acceptances or similar instruments issued or created, or related to obligations or liabilities incurred, in the Ordinary Course, in respect of workers compensation claims, health, disability or other employee benefits or property, leases, commercial contracts, casualty or liability insurance or self-insurance or other reimbursement-type obligations regarding workers compensation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Indebtedness arising in connection with the financing of insurance premiums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Indebtedness in respect of (i) netting services, (ii) overdraft protections, (iii) business credit cards, (iv) purchasing cards, (v) payment processing, (vi) automatic clearinghouse arrangements, (vii) arrangements in respect of pooled deposit or sweep accounts, (viii) check endorsement guarantees, and (ix) otherwise in connection with deposit accounts or cash management services, in each case,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Such Obligor will not, and will not permit any of its Subsidiaries to, create, incur, assume or permit to exist any Lien on any property now owned by it or such Subsidiary,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securing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Lien on any property or asset of such Obligor or any of its Subsidiaries existing on the Closing Date and set forth on </w:t>
      </w:r>
      <w:r>
        <w:rPr>
          <w:rFonts w:ascii="Times New Roman;Times;Serif" w:hAnsi="Times New Roman;Times;Serif"/>
          <w:b/>
          <w:i w:val="false"/>
          <w:caps w:val="false"/>
          <w:smallCaps w:val="false"/>
          <w:sz w:val="20"/>
        </w:rPr>
        <w:t>Schedule 7.13(b)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securing Indebtedness permitted under </w:t>
      </w:r>
      <w:r>
        <w:rPr>
          <w:rFonts w:ascii="Times New Roman;Times;Serif" w:hAnsi="Times New Roman;Times;Serif"/>
          <w:b/>
          <w:i w:val="false"/>
          <w:caps w:val="false"/>
          <w:smallCaps w:val="false"/>
          <w:sz w:val="20"/>
        </w:rPr>
        <w:t>Section 9.01(j)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are restricted solely to the collateral described in </w:t>
      </w:r>
      <w:r>
        <w:rPr>
          <w:rFonts w:ascii="Times New Roman;Times;Serif" w:hAnsi="Times New Roman;Times;Serif"/>
          <w:b/>
          <w:i w:val="false"/>
          <w:caps w:val="false"/>
          <w:smallCaps w:val="false"/>
          <w:sz w:val="20"/>
        </w:rPr>
        <w:t>Section 9.01(j)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imposed by operation of Law arising in the Ordinary Course (including carriers’, warehousemen’s, landlords’, and mechanics’ liens, liens relating to leasehold improvements and other similar Liens arising in the Ordinary Course) and which (x) do not in the aggregate materially detract from the value of the property subject thereto or materially impair the use thereof in the operations of the business of such Person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rPr>
        <w:t xml:space="preserve"> (y) are being contested in good faith by appropriate proceedings, which proceedings have the effect of preventing the forfeiture or sale of the property subject to such Liens and for which adequate reserves have been made if required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pledges, deposits or other Liens made in the Ordinary Course (x) in connection with bids, contract leases, appeal bonds, workers’ compensation, unemployment insurance or other similar social security legislation, or (y) securing liability for reimbursement or indemnification obligations of (including obligations in respect of letters of credit or bank guarantees for the benefit of) insurance carriers providing property, casualty or liability insurance to Borrower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servitudes, easements, rights of way, restrictions and other similar encumbrances on real property imposed by any Law and Liens consisting of zoning or building restrictions, easements, licenses, restrictions on the use of real property or minor imperfections in title thereto which, in the aggregate, are not material, and which do not in any case materially detract from the value of the property subject thereto or interfere with the ordinary conduct of the business of any of the Obligors or any of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are not material, and which do not in any case materially detract from the value of the property subject thereto or interfere with the ordinary conduct of the business of any of the Obligors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Bankers liens, rights of setoff and similar Liens incurred on deposits made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Liens securing Indebtedness permitted under </w:t>
      </w:r>
      <w:r>
        <w:rPr>
          <w:rFonts w:ascii="Times New Roman;Times;Serif" w:hAnsi="Times New Roman;Times;Serif"/>
          <w:b/>
          <w:i w:val="false"/>
          <w:caps w:val="false"/>
          <w:smallCaps w:val="false"/>
          <w:sz w:val="20"/>
        </w:rPr>
        <w:t>Sections 9.01(p)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judgment lien or lien arising from decrees or attachments not constituting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arising from precautionary UCC financing statement filings regarding operating leases of personal property and consignment arrangements entered into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Liens not securing borrowed money which secure obligations in an aggregate amount not to exceed $50,000 (or the Equivalent Amount in other currencies)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in favor of customs and revenue authorities arising as a matter of law to secure payment of customs duties in connection with the importation of goods and incurred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Permitted Licenses and, solely with respect to assets owned by third parties and licensed or leased to such Obligor or any of its Subsidiaries, retained interests or title of licensors or lessors that do not conflict with such Obligor’s or any such Subsidiaries’ use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on cash and Permitted Cash Equivalent Investments securing obligation under Permitted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 Liens to secure payment of workers’ compensation, employment insurance, old age pensions, social security and other like obligations incurred in the Ordinary Course (other than Liens imposed by ERISA) and (ii) deposits in respect of letters of credit, bank guarantees or similar instruments issued for the account of any Obligor or any Subsidiary in the Ordinary Course supporting obligations of the type set forth in clause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solely on any cash earnest money deposits made by Borrower or any of the Subsidiaries in connection with any letter of intent or purchase agreement in respect of any Investment permitted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Liens arising out of any sale-leaseback transaction not prohibited by </w:t>
      </w:r>
      <w:r>
        <w:rPr>
          <w:rFonts w:ascii="Times New Roman;Times;Serif" w:hAnsi="Times New Roman;Times;Serif"/>
          <w:b/>
          <w:i w:val="false"/>
          <w:caps w:val="false"/>
          <w:smallCaps w:val="false"/>
          <w:sz w:val="20"/>
        </w:rPr>
        <w:t>Section 9.14</w:t>
      </w:r>
      <w:r>
        <w:rPr>
          <w:rFonts w:ascii="Times New Roman;Times;Serif" w:hAnsi="Times New Roman;Times;Serif"/>
          <w:b w:val="false"/>
          <w:i w:val="false"/>
          <w:caps w:val="false"/>
          <w:smallCaps w:val="false"/>
          <w:sz w:val="20"/>
        </w:rPr>
        <w:t>, so long as such Liens attach only to the property sold and being leased in such transaction and any accessions and additions thereto or proceeds and products thereof and related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Lien otherwise permitted under any of the foregoing </w:t>
      </w:r>
      <w:r>
        <w:rPr>
          <w:rFonts w:ascii="Times New Roman;Times;Serif" w:hAnsi="Times New Roman;Times;Serif"/>
          <w:b/>
          <w:i w:val="false"/>
          <w:caps w:val="false"/>
          <w:smallCaps w:val="false"/>
          <w:sz w:val="20"/>
        </w:rPr>
        <w:t>clauses (c), (d), (e) (g)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(p)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val="false"/>
          <w:caps w:val="false"/>
          <w:smallCaps w:val="false"/>
          <w:sz w:val="20"/>
        </w:rPr>
        <w:t xml:space="preserve">Section 9.02 </w:t>
      </w:r>
      <w:r>
        <w:rPr>
          <w:rFonts w:ascii="Times New Roman;Times;Serif" w:hAnsi="Times New Roman;Times;Serif"/>
          <w:b w:val="false"/>
          <w:i w:val="false"/>
          <w:caps w:val="false"/>
          <w:smallCaps w:val="false"/>
          <w:sz w:val="20"/>
        </w:rPr>
        <w:t xml:space="preserve">shall apply to any Material Intellectual Property, except for Liens securing Indebtedness permitted under clause </w:t>
      </w:r>
      <w:r>
        <w:rPr>
          <w:rFonts w:ascii="Times New Roman;Times;Serif" w:hAnsi="Times New Roman;Times;Serif"/>
          <w:b/>
          <w:i w:val="false"/>
          <w:caps w:val="false"/>
          <w:smallCaps w:val="false"/>
          <w:sz w:val="20"/>
        </w:rPr>
        <w:t>(o)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Fundamental Changes and Acquisitions</w:t>
      </w:r>
      <w:r>
        <w:rPr>
          <w:rFonts w:ascii="Times New Roman;Times;Serif" w:hAnsi="Times New Roman;Times;Serif"/>
          <w:b w:val="false"/>
          <w:i w:val="false"/>
          <w:caps w:val="false"/>
          <w:smallCaps w:val="false"/>
          <w:sz w:val="20"/>
        </w:rPr>
        <w:t>. Such Obligor will not, and will not permit any of its Subsidiaries to, (i) enter into any transaction of merger, amalgamation or consolidation (or otherwise merge, amalgamate or consolidate), (ii) liquidate, wind up or dissolve itself (or suffer any liquidation or dissolution), (iii) sell or issue any of its Disqualified Equity Interests or (iv) make any Acquisition or otherwise acquire any business or substantially all the property from, or Equity Interests of, or be a party to any Acquisition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Lines of Business</w:t>
      </w:r>
      <w:r>
        <w:rPr>
          <w:rFonts w:ascii="Times New Roman;Times;Serif" w:hAnsi="Times New Roman;Times;Serif"/>
          <w:b w:val="false"/>
          <w:i w:val="false"/>
          <w:caps w:val="false"/>
          <w:smallCaps w:val="false"/>
          <w:sz w:val="20"/>
        </w:rPr>
        <w:t>. Such Obligor will not, and will not permit any of its Subsidiaries to, engage in any business other than the business engaged in on the Closing Date by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Investments</w:t>
      </w:r>
      <w:r>
        <w:rPr>
          <w:rFonts w:ascii="Times New Roman;Times;Serif" w:hAnsi="Times New Roman;Times;Serif"/>
          <w:b w:val="false"/>
          <w:i w:val="false"/>
          <w:caps w:val="false"/>
          <w:smallCaps w:val="false"/>
          <w:sz w:val="20"/>
        </w:rPr>
        <w:t>. Such Obligor will not, and will not permit any of its Subsidiaries to make, directly or indirectly, or permit to remain outstanding any Investments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operating deposit accounts with banks (or similar deposit-taking institutions) that, in the case maintained by Obligors, are compliant with </w:t>
      </w:r>
      <w:r>
        <w:rPr>
          <w:rFonts w:ascii="Times New Roman;Times;Serif" w:hAnsi="Times New Roman;Times;Serif"/>
          <w:b/>
          <w:i w:val="false"/>
          <w:caps w:val="false"/>
          <w:smallCaps w:val="false"/>
          <w:sz w:val="20"/>
        </w:rPr>
        <w:t>Section 8.17(a)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extensions of credit in the nature of accounts receivable or notes receivable arising from the sales of goods or services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Permitted Cash Equivalent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by an Obligor in another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Investments by a Subsidiary that is not an Obligor in (i) any other Subsidiary that is not an Obligor and (ii) in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Permitted Hedging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prepaid expenses, negotiable instruments held for collection or deposit, security deposits with utilities, landlords and other like Persons and deposits in connection with workers’ compensation and similar deposits, in each case, made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received in connection with any Insolvency Proceedings in respect of any customers, suppliers or clients and in settlement of delinquent obligations of, and other disputes with, customers, suppliers or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increase in value of any Investment otherwise permitted pursuant to this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Restricted Payments</w:t>
      </w:r>
      <w:r>
        <w:rPr>
          <w:rFonts w:ascii="Times New Roman;Times;Serif" w:hAnsi="Times New Roman;Times;Serif"/>
          <w:b w:val="false"/>
          <w:i w:val="false"/>
          <w:caps w:val="false"/>
          <w:smallCaps w:val="false"/>
          <w:sz w:val="20"/>
        </w:rPr>
        <w:t xml:space="preserve">. Such Obligor will not, and will not permit any of its Subsidiaries to, declare or make, or agree to pay or make, directly or indirectly, any Restricted Payment;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following Restricted Payments shall be permitted so long as no Default (solely in the case of clause (h)) or Event of Default has occurred and is continuing or could reasonably be expected to occur or result from such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dividends with respect to the Borrower’s Equity Interests payable solely in shares of its Qualified Equity Interests (or the equivalent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dividends or distributions paid in cash by any Subsidiary to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cashless exercises of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cash payments made by the Borrower in lieu of fractional shares upon exercise of warrants or options or conversions of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Borrower may acquire (or withhold) its Equity Interests pursuant to any employee equity incentive or similar plan to pay withholding taxes for which Borrower is liable in respect of a current or former officer, director, employee, member of management or consultant upon such grant or award (or upon vesting or exercise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any Investment permitted pursuant to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to the extent constituting a Restricted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Payments of Indebtedness</w:t>
      </w:r>
      <w:r>
        <w:rPr>
          <w:rFonts w:ascii="Times New Roman;Times;Serif" w:hAnsi="Times New Roman;Times;Serif"/>
          <w:b w:val="false"/>
          <w:i w:val="false"/>
          <w:caps w:val="false"/>
          <w:smallCaps w:val="false"/>
          <w:sz w:val="20"/>
        </w:rPr>
        <w:t xml:space="preserve">. Such Obligor will not, and will not permit any of its Subsidiaries to, make any payments in respect of any Indebtedness other than (i) payments of the Obligations, (ii) scheduled payments of other Indebtedness to the extent permitted pursuant to the terms, if any, of any applicable subordination or intercreditor agreement in respect of the Obligations, (iii) intercompany indebtedness permitted under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(iv) Indebtedness permitted to be incurred under </w:t>
      </w:r>
      <w:r>
        <w:rPr>
          <w:rFonts w:ascii="Times New Roman;Times;Serif" w:hAnsi="Times New Roman;Times;Serif"/>
          <w:b/>
          <w:i w:val="false"/>
          <w:caps w:val="false"/>
          <w:smallCaps w:val="false"/>
          <w:sz w:val="20"/>
        </w:rPr>
        <w:t>Sections 9.01(b)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(v) Indebtedness permitted to be incurred under </w:t>
      </w:r>
      <w:r>
        <w:rPr>
          <w:rFonts w:ascii="Times New Roman;Times;Serif" w:hAnsi="Times New Roman;Times;Serif"/>
          <w:b/>
          <w:i w:val="false"/>
          <w:caps w:val="false"/>
          <w:smallCaps w:val="false"/>
          <w:sz w:val="20"/>
        </w:rPr>
        <w:t>Section 9.01(o)</w:t>
      </w:r>
      <w:r>
        <w:rPr>
          <w:rFonts w:ascii="Times New Roman;Times;Serif" w:hAnsi="Times New Roman;Times;Serif"/>
          <w:b w:val="false"/>
          <w:i w:val="false"/>
          <w:caps w:val="false"/>
          <w:smallCaps w:val="false"/>
          <w:sz w:val="20"/>
        </w:rPr>
        <w:t xml:space="preserve"> and Permitted Refinancings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payments shall only be made in Equity Interests and cash in lieu of fractional shares (as well as cash to pay any accrued interest on the date of any Permitted Refinancing, exchange transaction, or payment made in Equity Interests), (vi) scheduled payments of interest on such Indebtedness permitted pursuant to </w:t>
      </w:r>
      <w:r>
        <w:rPr>
          <w:rFonts w:ascii="Times New Roman;Times;Serif" w:hAnsi="Times New Roman;Times;Serif"/>
          <w:b/>
          <w:i w:val="false"/>
          <w:caps w:val="false"/>
          <w:smallCaps w:val="false"/>
          <w:sz w:val="20"/>
        </w:rPr>
        <w:t>Section 9.01(o)</w:t>
      </w:r>
      <w:r>
        <w:rPr>
          <w:rFonts w:ascii="Times New Roman;Times;Serif" w:hAnsi="Times New Roman;Times;Serif"/>
          <w:b w:val="false"/>
          <w:i w:val="false"/>
          <w:caps w:val="false"/>
          <w:smallCaps w:val="false"/>
          <w:sz w:val="20"/>
        </w:rPr>
        <w:t> and (vii) Permitted Refinancings not prohibited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Change in Fiscal Year</w:t>
      </w:r>
      <w:r>
        <w:rPr>
          <w:rFonts w:ascii="Times New Roman;Times;Serif" w:hAnsi="Times New Roman;Times;Serif"/>
          <w:b w:val="false"/>
          <w:i w:val="false"/>
          <w:caps w:val="false"/>
          <w:smallCaps w:val="false"/>
          <w:sz w:val="20"/>
        </w:rPr>
        <w:t>. Such Obligor will not, and will not permit any of its Subsidiaries to, change the last day of its fiscal year from that in effect on the Closing Date, except to change the fiscal year of a Subsidiary acquired in connection with an Acquisition to conform its fiscal year to that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Sales of Assets, Etc.</w:t>
      </w:r>
      <w:r>
        <w:rPr>
          <w:rFonts w:ascii="Times New Roman;Times;Serif" w:hAnsi="Times New Roman;Times;Serif"/>
          <w:b w:val="false"/>
          <w:i w:val="false"/>
          <w:caps w:val="false"/>
          <w:smallCaps w:val="false"/>
          <w:sz w:val="20"/>
        </w:rPr>
        <w:t xml:space="preserve"> Such Obligor will not, and will not permit any of its Subsidiaries to sell, lease or sublease (as lessor or sub-lessor), sale and leaseback, assign, convey, exclusively license (in terms of geography or field of use), transfer, or otherwise dispose of any of its businesses, assets or property of any kind, whether real, personal, or mixed and whether tangible or intangible, whether now owned or hereafter acquired (including accounts receivable and Equity Interests of Subsidiaries, but excluding de minimis shares of Equity Interests required for qualification of directors under applicable law), in each case, in one transaction or series of transactions (any thereof, an “</w:t>
      </w:r>
      <w:r>
        <w:rPr>
          <w:rFonts w:ascii="Times New Roman;Times;Serif" w:hAnsi="Times New Roman;Times;Serif"/>
          <w:b/>
          <w:i/>
          <w:caps w:val="false"/>
          <w:smallCaps w:val="false"/>
          <w:sz w:val="20"/>
        </w:rPr>
        <w:t>Asset Sale</w:t>
      </w:r>
      <w:r>
        <w:rPr>
          <w:rFonts w:ascii="Times New Roman;Times;Serif" w:hAnsi="Times New Roman;Times;Serif"/>
          <w:b w:val="false"/>
          <w:i w:val="false"/>
          <w:caps w:val="false"/>
          <w:smallCaps w:val="false"/>
          <w:sz w:val="20"/>
        </w:rPr>
        <w: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sales, transfers and other dispositions of receivables in connection with the compromise, settlement or collection thereof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sales of inventory in the Ordinary Course in an Arm’s-Length Transaction and the use of cash and Cash Equivalents in the Ordinary Course or as otherwise permitted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forgiveness, release or compromise of any amount owed to any Obligor or Subsidiary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Permitted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licenses, transfers of assets, rights or property by Borrower or any Subsidiary to any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dispositions (including by way of abandonment or cancellation) of any equipment and other tangible property that is surplus, obsolete or worn out or no longer used or useful in the business disposed of in the Ordinary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dispositions resulting from Casualty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unwinding of any Hedging Agreements permitted by </w:t>
      </w:r>
      <w:r>
        <w:rPr>
          <w:rFonts w:ascii="Times New Roman;Times;Serif" w:hAnsi="Times New Roman;Times;Serif"/>
          <w:b/>
          <w:i w:val="false"/>
          <w:caps w:val="false"/>
          <w:smallCaps w:val="false"/>
          <w:sz w:val="20"/>
        </w:rPr>
        <w:t>Section 9.05</w:t>
      </w:r>
      <w:r>
        <w:rPr>
          <w:rFonts w:ascii="Times New Roman;Times;Serif" w:hAnsi="Times New Roman;Times;Serif"/>
          <w:b w:val="false"/>
          <w:i w:val="false"/>
          <w:caps w:val="false"/>
          <w:smallCaps w:val="false"/>
          <w:sz w:val="20"/>
        </w:rPr>
        <w:t xml:space="preserve"> pursuant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dispositions in the Ordinary Course consisting of the abandonment of Intellectual Property (other than Material Intellectual Property) which, in the reasonable good faith determination of Borrower, are not material to the conduct of the business of the Obligors and the Subsidiaries;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(i) the Borrower shall not, and shall not permit any of its Subsidiaries to (x) directly or indirectly transfer, by means of contribution, sale, assignment, lease or sublease, license or sublicense, disposition of any kind or otherwise, Material Intellectual Property held by the Borrower or any other Obligor to any Person other than the Borrower or a Subsidiary Guarantor, other than pursuant to Permitted Licenses or as permitted pursuant to </w:t>
      </w:r>
      <w:r>
        <w:rPr>
          <w:rFonts w:ascii="Times New Roman;Times;Serif" w:hAnsi="Times New Roman;Times;Serif"/>
          <w:b/>
          <w:i w:val="false"/>
          <w:caps w:val="false"/>
          <w:smallCaps w:val="false"/>
          <w:sz w:val="20"/>
        </w:rPr>
        <w:t>Section 9.09(j)</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or (y) permit any Person other than the Borrower or a Subsidiary Guarantor to hold any interest in such Material Intellectual Property (other than (A) pursuant to non-exclusive intercompany licenses or Permitted Licenses, (B) as permitted by </w:t>
      </w:r>
      <w:r>
        <w:rPr>
          <w:rFonts w:ascii="Times New Roman;Times;Serif" w:hAnsi="Times New Roman;Times;Serif"/>
          <w:b/>
          <w:i w:val="false"/>
          <w:caps w:val="false"/>
          <w:smallCaps w:val="false"/>
          <w:sz w:val="20"/>
        </w:rPr>
        <w:t>Section 9.09(g)</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or (C) in the case of a foreign subsidiary, a foreign Regulatory Approvals), and (ii) no Material Intellectual Property held by the Borrower or a Subsidiary Guarantor shall be contributed as an Investment to any Subsidiary other than a Subsidiary Guarantor (other than pursuant to Permitted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Transactions with Affiliates</w:t>
      </w:r>
      <w:r>
        <w:rPr>
          <w:rFonts w:ascii="Times New Roman;Times;Serif" w:hAnsi="Times New Roman;Times;Serif"/>
          <w:b w:val="false"/>
          <w:i w:val="false"/>
          <w:caps w:val="false"/>
          <w:smallCaps w:val="false"/>
          <w:sz w:val="20"/>
        </w:rPr>
        <w:t>. Such Obligor will not, and will not permit any of its Subsidiaries to, directly or indirectly, enter into or permit to exist any transaction to sell, lease, license or otherwise transfer any assets to, or purchase, lease, license or otherwise acquire any assets from, or otherwise engage in any other transactions with, any of its Affiliates, unless such arrangement or transaction (i) is an Arm’s-Length Transaction, (ii) is of the kind which would be entered into by a prudent Person in the position of the Borrower with another Person that is not an Affiliate; provided that (x) in connection with any such transaction involving aggregate consideration or payments of at least $1,000,000, such transaction shall have been approved by a majority of the directors serving on the Borrower’s board of directors that do not have any material direct or indirect financial interest in or with respect to such transaction and (y) in connection with any such transaction involving aggregate consideration or payments of at least $10,000,000, the Borrower shall have received a fairness opinion from a nationally recognized appraisal or investment banking firm with respect to such transaction, (iii) is between or among (x) one or more Obligors, on the one hand, and, on the other hand, one or more Obligors, (y) one or more Subsidiaries of the Obligors that are not Obligors, on the one hand, and, on the other hand, one or more Subsidiaries of the Obligors that are not Obligors and (z) one or more Obligors or their Subsidiaries that are not Obligors, on the one hand, and, on the other hand, one or more Obligors or their Subsidiaries that are Obligors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with respect to </w:t>
      </w:r>
      <w:r>
        <w:rPr>
          <w:rFonts w:ascii="Times New Roman;Times;Serif" w:hAnsi="Times New Roman;Times;Serif"/>
          <w:b/>
          <w:i w:val="false"/>
          <w:caps w:val="false"/>
          <w:smallCaps w:val="false"/>
          <w:sz w:val="20"/>
        </w:rPr>
        <w:t>clause (z)</w:t>
      </w:r>
      <w:r>
        <w:rPr>
          <w:rFonts w:ascii="Times New Roman;Times;Serif" w:hAnsi="Times New Roman;Times;Serif"/>
          <w:b w:val="false"/>
          <w:i w:val="false"/>
          <w:caps w:val="false"/>
          <w:smallCaps w:val="false"/>
          <w:sz w:val="20"/>
        </w:rPr>
        <w:t xml:space="preserve"> only, the terms thereof are no less favorable to the Obligors than those that would be obtained in a comparable arm’s-length transaction with a non-affiliated Person); (iv) constitutes customary compensation and indemnification of, and other employment arrangements with, directors, officers, and employees of any Obligor or its Subsidiaries in the Ordinary Course, (v) constitutes payment of customary fees, reimbursement of expenses, and payment of indemnification to officers and directors and customary payment of insurance premiums on behalf of officers and directors by the Obligors or their Subsidiaries, in each case, in the ordinary course of business, (vi) is permitted pursuant to </w:t>
      </w:r>
      <w:r>
        <w:rPr>
          <w:rFonts w:ascii="Times New Roman;Times;Serif" w:hAnsi="Times New Roman;Times;Serif"/>
          <w:b/>
          <w:i w:val="false"/>
          <w:caps w:val="false"/>
          <w:smallCaps w:val="false"/>
          <w:sz w:val="20"/>
        </w:rPr>
        <w:t>Section 9.06(g)</w:t>
      </w:r>
      <w:r>
        <w:rPr>
          <w:rFonts w:ascii="Times New Roman;Times;Serif" w:hAnsi="Times New Roman;Times;Serif"/>
          <w:b w:val="false"/>
          <w:i w:val="false"/>
          <w:caps w:val="false"/>
          <w:smallCaps w:val="false"/>
          <w:sz w:val="20"/>
        </w:rPr>
        <w:t xml:space="preserve">, or (vii) are the transactions set forth on </w:t>
      </w:r>
      <w:r>
        <w:rPr>
          <w:rFonts w:ascii="Times New Roman;Times;Serif" w:hAnsi="Times New Roman;Times;Serif"/>
          <w:b/>
          <w:i w:val="false"/>
          <w:caps w:val="false"/>
          <w:smallCaps w:val="false"/>
          <w:sz w:val="20"/>
        </w:rPr>
        <w:t>Schedule 7.19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Restrictive Agreements</w:t>
      </w:r>
      <w:r>
        <w:rPr>
          <w:rFonts w:ascii="Times New Roman;Times;Serif" w:hAnsi="Times New Roman;Times;Serif"/>
          <w:b w:val="false"/>
          <w:i w:val="false"/>
          <w:caps w:val="false"/>
          <w:smallCaps w:val="false"/>
          <w:sz w:val="20"/>
        </w:rPr>
        <w:t xml:space="preserve">. Such Obligor will not, and will not permit any of its Subsidiaries to, directly or indirectly, enter into, incur or permit to exist any Restrictive Agreement other than (i) restrictions and conditions imposed by applicable Laws or by the Loan Documents, (ii) Restrictive Agreements listed on </w:t>
      </w:r>
      <w:r>
        <w:rPr>
          <w:rFonts w:ascii="Times New Roman;Times;Serif" w:hAnsi="Times New Roman;Times;Serif"/>
          <w:b/>
          <w:i w:val="false"/>
          <w:caps w:val="false"/>
          <w:smallCaps w:val="false"/>
          <w:sz w:val="20"/>
        </w:rPr>
        <w:t xml:space="preserve">Schedule 7.15, </w:t>
      </w:r>
      <w:r>
        <w:rPr>
          <w:rFonts w:ascii="Times New Roman;Times;Serif" w:hAnsi="Times New Roman;Times;Serif"/>
          <w:b w:val="false"/>
          <w:i w:val="false"/>
          <w:caps w:val="false"/>
          <w:smallCaps w:val="false"/>
          <w:sz w:val="20"/>
        </w:rPr>
        <w:t xml:space="preserve">(iii) limitations associated with Permitted Liens or any document or instrument governing any Permitted Lien, (iv) any documentation governing Indebtedness referenced in </w:t>
      </w:r>
      <w:r>
        <w:rPr>
          <w:rFonts w:ascii="Times New Roman;Times;Serif" w:hAnsi="Times New Roman;Times;Serif"/>
          <w:b/>
          <w:i w:val="false"/>
          <w:caps w:val="false"/>
          <w:smallCaps w:val="false"/>
          <w:sz w:val="20"/>
        </w:rPr>
        <w:t xml:space="preserve">clauses </w:t>
      </w:r>
      <w:r>
        <w:rPr>
          <w:rFonts w:ascii="Times New Roman;Times;Serif" w:hAnsi="Times New Roman;Times;Serif"/>
          <w:b w:val="false"/>
          <w:i w:val="false"/>
          <w:caps w:val="false"/>
          <w:smallCaps w:val="false"/>
          <w:sz w:val="20"/>
        </w:rPr>
        <w:t xml:space="preserve">Error! Reference source not found. of </w:t>
      </w:r>
      <w:r>
        <w:rPr>
          <w:rFonts w:ascii="Times New Roman;Times;Serif" w:hAnsi="Times New Roman;Times;Serif"/>
          <w:b/>
          <w:i w:val="false"/>
          <w:caps w:val="false"/>
          <w:smallCaps w:val="false"/>
          <w:sz w:val="20"/>
        </w:rPr>
        <w:t xml:space="preserve">Section 9.01 </w:t>
      </w:r>
      <w:r>
        <w:rPr>
          <w:rFonts w:ascii="Times New Roman;Times;Serif" w:hAnsi="Times New Roman;Times;Serif"/>
          <w:b w:val="false"/>
          <w:i w:val="false"/>
          <w:caps w:val="false"/>
          <w:smallCaps w:val="false"/>
          <w:sz w:val="20"/>
        </w:rPr>
        <w:t xml:space="preserve">(or any Permitted Refinancing thereof), (v) customary provisions in leases, Permitted Licenses and other Contracts restricting the assignment thereof or restricting the assignment or sublease or sublicense of the property leased, licensed or otherwise the subject thereof; (vi) any restrictions or conditions set forth in any agreement in effect at any time any Person becomes a Subsidiary (but not any modification or amendment expanding the scope of any such restriction or condition);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was not entered into in contemplation of such Person becoming a Subsidiary; (vii) restrictions or conditions in any Indebtedness permitted pursuant to </w:t>
      </w:r>
      <w:r>
        <w:rPr>
          <w:rFonts w:ascii="Times New Roman;Times;Serif" w:hAnsi="Times New Roman;Times;Serif"/>
          <w:b/>
          <w:i w:val="false"/>
          <w:caps w:val="false"/>
          <w:smallCaps w:val="false"/>
          <w:sz w:val="20"/>
        </w:rPr>
        <w:t xml:space="preserve">Section 9.01 </w:t>
      </w:r>
      <w:r>
        <w:rPr>
          <w:rFonts w:ascii="Times New Roman;Times;Serif" w:hAnsi="Times New Roman;Times;Serif"/>
          <w:b w:val="false"/>
          <w:i w:val="false"/>
          <w:caps w:val="false"/>
          <w:smallCaps w:val="false"/>
          <w:sz w:val="20"/>
        </w:rPr>
        <w:t xml:space="preserve">that is incurred or assumed by Subsidiaries that are not Obligors to the extent such restrictions or conditions are no more restrictive in any material respect than the restrictions and conditions in the Loan Documents; (viii) restrictions or conditions imposed by any agreement relating to purchase money Indebtedness and other secured Indebtedness or to leases and licenses permitted by this Agreement if such restrictions or conditions apply only to the property or assets securing such Indebtedness or the property leased or licensed; (ix) customary provisions in contracts for the disposition of any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restrictions in any such contract shall apply only to the assets or Subsidiary that is to be disposed of and such disposition is permitted hereunder (or, in the case of the sale of Borrower, such agreement contemplates the repayment in full of the Obligations hereunder); (x) customary provisions regarding confidentiality or restricting assignment, pledges or transfer of any Permitted License or any other agreement entered into in the Ordinary Course; and (xi) customary net worth provisions or similar financial maintenance provisions contained in any agreement entered into by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Modifications and Terminations of Material Agreements and Organic Documents</w:t>
      </w:r>
      <w:r>
        <w:rPr>
          <w:rFonts w:ascii="Times New Roman;Times;Serif" w:hAnsi="Times New Roman;Times;Serif"/>
          <w:b w:val="false"/>
          <w:i w:val="false"/>
          <w:caps w:val="false"/>
          <w:smallCaps w:val="false"/>
          <w:sz w:val="20"/>
        </w:rPr>
        <w:t>. Such Obligor will not, and will not permit any of its Subsidiaries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waive, amend, terminate, replace or otherwise modify any term or provision of any Organic Document in any way or manner materially adverse to the interests of the Administrative Agent and the Lenders;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waive, amend, replace or otherwise modify any term or provision of any Permitted License in a manner materially adverse to the rights and remedies the Administrative Agent and the Lenders 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(x) take or omit to take any action that results in the termination of, or permits any other Person to terminate, any Material Agreement or Material Intellectual Property or (y) take any action that permits any Material Agreement or Material Intellectual Property to be terminated by any counterparty thereto prior to its stated date of expiration, in each such case if such action or omission would reasonably be expected, individually or in the aggregate,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enter into, waive, terminate, replace or otherwise modify any joint venture agreement, distribution agreement, collaboration agreement or any agreement similar to any of the foregoing, in each case, that involves the disposition, assignment or licensing of any Material Intellectual Property, unless such agreement is (i) a Permitted License, (ii) permitted pursuant to </w:t>
      </w:r>
      <w:r>
        <w:rPr>
          <w:rFonts w:ascii="Times New Roman;Times;Serif" w:hAnsi="Times New Roman;Times;Serif"/>
          <w:b/>
          <w:i w:val="false"/>
          <w:caps w:val="false"/>
          <w:smallCaps w:val="false"/>
          <w:sz w:val="20"/>
        </w:rPr>
        <w:t>Section 9.09</w:t>
      </w:r>
      <w:r>
        <w:rPr>
          <w:rFonts w:ascii="Times New Roman;Times;Serif" w:hAnsi="Times New Roman;Times;Serif"/>
          <w:b w:val="false"/>
          <w:i w:val="false"/>
          <w:caps w:val="false"/>
          <w:smallCaps w:val="false"/>
          <w:sz w:val="20"/>
        </w:rPr>
        <w:t xml:space="preserve"> or (iii) approved in writing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Outbound Licenses</w:t>
      </w:r>
      <w:r>
        <w:rPr>
          <w:rFonts w:ascii="Times New Roman;Times;Serif" w:hAnsi="Times New Roman;Times;Serif"/>
          <w:b w:val="false"/>
          <w:i w:val="false"/>
          <w:caps w:val="false"/>
          <w:smallCaps w:val="false"/>
          <w:sz w:val="20"/>
        </w:rPr>
        <w:t>. No Obligor shall, nor shall it permit any of its Subsidiaries to, enter into or become or remain bound by any outbound license, covenant not to sue or other grant of rights under Intellectual Property, except for Permitted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Sales and Leasebacks</w:t>
      </w:r>
      <w:r>
        <w:rPr>
          <w:rFonts w:ascii="Times New Roman;Times;Serif" w:hAnsi="Times New Roman;Times;Serif"/>
          <w:b w:val="false"/>
          <w:i w:val="false"/>
          <w:caps w:val="false"/>
          <w:smallCaps w:val="false"/>
          <w:sz w:val="20"/>
        </w:rPr>
        <w:t>. Except as otherwise consented to in writing by the Administrative Agent in its sole discretion, such Obligor will not, and will not permit any of its Subsidiaries to, become liable, directly or indirectly, with respect to any lease, whether an operating lease or a Capital Lease Obligation, of any property (whether real, personal, or mixed), whether now owned or hereafter acquired, (i) which such Person has sold or transferred or is to sell or transfer to any other Person and (ii) which such Obligor or Subsidiary intends to use for substantially the same purposes as property which has been or is to be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Hazardous Material</w:t>
      </w:r>
      <w:r>
        <w:rPr>
          <w:rFonts w:ascii="Times New Roman;Times;Serif" w:hAnsi="Times New Roman;Times;Serif"/>
          <w:b w:val="false"/>
          <w:i w:val="false"/>
          <w:caps w:val="false"/>
          <w:smallCaps w:val="false"/>
          <w:sz w:val="20"/>
        </w:rPr>
        <w:t>. Such Obligor will not, and will not permit any of its Subsidiaries to, use, generate, manufacture, install, treat, release, store or dispose of any Hazardous Material, except in compliance with all applicable Environmental Laws or where the failure to comply would not, individually or in the aggregate, reasonably be expected to result in a Material Adverse Effect. If the Administrative Agent at any time has a reasonable basis to believe that there is any material violation by an Obligor of any Environmental Law or the presence or release of any Hazardous Material which could result in an Environmental Liability that would be reasonably expected to result in a Material Adverse Effect, each Obligor shall, and shall cause each Subsidiary to, (i) prepare an environmental assessment of such condition, including where appropriate environmental testing, and the preparation of such environmental report, at the Borrower’s sole cost and expense, as the Administrative Agent may reasonably request with respect to any affected parcel of real property subject to a Collateral Document that is a mortgage, deed of trust or similar instrument, which shall be conducted by Persons reasonably acceptable to the Administrative Agent and shall be in form and substance reasonably acceptable to the Administrative Agent, and (ii) if such report is not delivered within thirty (30) days, permit the Administrative Agent or its representatives to have access to all such real property for the purpose of conducting, at the Borrower’s sole cost and expense, such environmental audits and testing as the Administrative Agent shall reasonably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Accounting Changes</w:t>
      </w:r>
      <w:r>
        <w:rPr>
          <w:rFonts w:ascii="Times New Roman;Times;Serif" w:hAnsi="Times New Roman;Times;Serif"/>
          <w:b w:val="false"/>
          <w:i w:val="false"/>
          <w:caps w:val="false"/>
          <w:smallCaps w:val="false"/>
          <w:sz w:val="20"/>
        </w:rPr>
        <w:t>. Such Obligor will not, and will not permit any of its Subsidiaries to, make any significant change in accounting treatment or reporting practices, except as required or permitted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Compliance with ERISA</w:t>
      </w:r>
      <w:r>
        <w:rPr>
          <w:rFonts w:ascii="Times New Roman;Times;Serif" w:hAnsi="Times New Roman;Times;Serif"/>
          <w:b w:val="false"/>
          <w:i w:val="false"/>
          <w:caps w:val="false"/>
          <w:smallCaps w:val="false"/>
          <w:sz w:val="20"/>
        </w:rPr>
        <w:t>. No ERISA Affiliate shall cause or suffer to exist (i) any event that could result in the imposition of a Lien with respect to any Title IV Plan or Multiemployer Plan or (ii) any other ERISA Event that would, in the aggregate, reasonably be expected to result in a Material Adverse Effect. No Obligor or any of its Subsidiaries shall cause or suffer to exist any event that could result in the imposition of a Lien with respect to 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Sanctions; Anti-Corruption Use of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Borrower or any of its Subsidiaries or their respective agents shall (i) conduct any business or engage in any transaction or dealing with any Sanctioned Person, including the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Sanctions, the Patriot Act or any other Anti-Terrorism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will not, directly or, to the knowledge of the Borrower, indirectly, use the proceeds of the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Person, or in any country or territory, that, at the time of such funding, is, or whose government is, the subject of country- or territory-wide Sanctions, in violation of Sanctions or (B) in any manner that would result in a violation of Sanctions by any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strike/>
          <w:color w:val="FF0000"/>
          <w:sz w:val="20"/>
        </w:rPr>
        <w:t>9.19 [Reserved]</w:t>
      </w:r>
      <w:r>
        <w:rPr>
          <w:rFonts w:ascii="Times New Roman;Times;Serif" w:hAnsi="Times New Roman;Times;Serif"/>
          <w:b w:val="false"/>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10.</w:t>
      </w:r>
      <w:r>
        <w:rPr>
          <w:rFonts w:ascii="Times New Roman;Times;Serif" w:hAnsi="Times New Roman;Times;Serif"/>
          <w:b/>
          <w:i w:val="false"/>
          <w:caps w:val="false"/>
          <w:smallCaps w:val="false"/>
          <w:sz w:val="20"/>
        </w:rPr>
        <w:br/>
        <w:t>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Minimum Liquidity</w:t>
      </w:r>
      <w:r>
        <w:rPr>
          <w:rFonts w:ascii="Times New Roman;Times;Serif" w:hAnsi="Times New Roman;Times;Serif"/>
          <w:b w:val="false"/>
          <w:i w:val="false"/>
          <w:caps w:val="false"/>
          <w:smallCaps w:val="false"/>
          <w:sz w:val="20"/>
        </w:rPr>
        <w:t xml:space="preserve">. The Borrower shall, at all times after the Account Control Agreement Completion Date, maintain the Minimum Liquidity Amount in cash or Permitted Cash Equivalent Investments in one or more Controlled Accounts that is free and clear of all Liens, other than Liens granted hereunder in favor of the Administrative Agent and Liens permitted under </w:t>
      </w:r>
      <w:r>
        <w:rPr>
          <w:rFonts w:ascii="Times New Roman;Times;Serif" w:hAnsi="Times New Roman;Times;Serif"/>
          <w:b/>
          <w:i w:val="false"/>
          <w:caps w:val="false"/>
          <w:smallCaps w:val="false"/>
          <w:sz w:val="20"/>
        </w:rPr>
        <w:t>Section 9.02(i)</w:t>
      </w:r>
      <w:r>
        <w:rPr>
          <w:rFonts w:ascii="Times New Roman;Times;Serif" w:hAnsi="Times New Roman;Times;Serif"/>
          <w:b w:val="false"/>
          <w:i w:val="false"/>
          <w:caps w:val="false"/>
          <w:smallCaps w:val="false"/>
          <w:sz w:val="20"/>
        </w:rPr>
        <w:t> (such covenant, the “</w:t>
      </w:r>
      <w:r>
        <w:rPr>
          <w:rFonts w:ascii="Times New Roman;Times;Serif" w:hAnsi="Times New Roman;Times;Serif"/>
          <w:b/>
          <w:i/>
          <w:caps w:val="false"/>
          <w:smallCaps w:val="false"/>
          <w:sz w:val="20"/>
        </w:rPr>
        <w:t>Minimum Liquidity Covenant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11.</w:t>
      </w:r>
      <w:r>
        <w:rPr>
          <w:rFonts w:ascii="Times New Roman;Times;Serif" w:hAnsi="Times New Roman;Times;Serif"/>
          <w:b/>
          <w:i w:val="false"/>
          <w:caps w:val="false"/>
          <w:smallCaps w:val="false"/>
          <w:sz w:val="20"/>
        </w:rPr>
        <w:b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Principal Payment Default</w:t>
      </w:r>
      <w:r>
        <w:rPr>
          <w:rFonts w:ascii="Times New Roman;Times;Serif" w:hAnsi="Times New Roman;Times;Serif"/>
          <w:b w:val="false"/>
          <w:i w:val="false"/>
          <w:caps w:val="false"/>
          <w:smallCaps w:val="false"/>
          <w:sz w:val="20"/>
        </w:rPr>
        <w:t>. The Borrower shall fail to pay any principal of the Loan, when and as the same shall become due and payable, whether at the due date thereof, at a date fixed for prepayment thereof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Other Payment Defaults</w:t>
      </w:r>
      <w:r>
        <w:rPr>
          <w:rFonts w:ascii="Times New Roman;Times;Serif" w:hAnsi="Times New Roman;Times;Serif"/>
          <w:b w:val="false"/>
          <w:i w:val="false"/>
          <w:caps w:val="false"/>
          <w:smallCaps w:val="false"/>
          <w:sz w:val="20"/>
        </w:rPr>
        <w:t xml:space="preserve">. Any Obligor shall fail to pay interest or any other Obligation (other than an amount referred to in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when and as the same shall become due and payable, and such failure shall continue unremedied for a period of three (3)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Representations and Warranties</w:t>
      </w:r>
      <w:r>
        <w:rPr>
          <w:rFonts w:ascii="Times New Roman;Times;Serif" w:hAnsi="Times New Roman;Times;Serif"/>
          <w:b w:val="false"/>
          <w:i w:val="false"/>
          <w:caps w:val="false"/>
          <w:smallCaps w:val="false"/>
          <w:sz w:val="20"/>
        </w:rPr>
        <w:t>. Any representation or warranty made or deemed made by or on behalf of any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in any respect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Certain Covenants</w:t>
      </w:r>
      <w:r>
        <w:rPr>
          <w:rFonts w:ascii="Times New Roman;Times;Serif" w:hAnsi="Times New Roman;Times;Serif"/>
          <w:b w:val="false"/>
          <w:i w:val="false"/>
          <w:caps w:val="false"/>
          <w:smallCaps w:val="false"/>
          <w:sz w:val="20"/>
        </w:rPr>
        <w:t>. Any Obligor shall fail to observe or perform any covenant, condition or agreement contained in (i)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8.03</w:t>
      </w:r>
      <w:r>
        <w:rPr>
          <w:rFonts w:ascii="Times New Roman;Times;Serif" w:hAnsi="Times New Roman;Times;Serif"/>
          <w:b w:val="false"/>
          <w:i w:val="false"/>
          <w:caps w:val="false"/>
          <w:smallCaps w:val="false"/>
          <w:sz w:val="20"/>
        </w:rPr>
        <w:t xml:space="preserve"> (with respect to the Borrower’s existence), </w:t>
      </w:r>
      <w:r>
        <w:rPr>
          <w:rFonts w:ascii="Times New Roman;Times;Serif" w:hAnsi="Times New Roman;Times;Serif"/>
          <w:b/>
          <w:i w:val="false"/>
          <w:caps w:val="false"/>
          <w:smallCaps w:val="false"/>
          <w:sz w:val="20"/>
        </w:rPr>
        <w:t>8.11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8.18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8,21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8.22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8.23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8.24, 8.25, Section 9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10</w:t>
      </w:r>
      <w:r>
        <w:rPr>
          <w:rFonts w:ascii="Times New Roman;Times;Serif" w:hAnsi="Times New Roman;Times;Serif"/>
          <w:b w:val="false"/>
          <w:i w:val="false"/>
          <w:caps w:val="false"/>
          <w:smallCaps w:val="false"/>
          <w:sz w:val="20"/>
        </w:rPr>
        <w:t xml:space="preserve"> or (i) any of the Company Warrants or the 701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Other Covenants</w:t>
      </w:r>
      <w:r>
        <w:rPr>
          <w:rFonts w:ascii="Times New Roman;Times;Serif" w:hAnsi="Times New Roman;Times;Serif"/>
          <w:b w:val="false"/>
          <w:i w:val="false"/>
          <w:caps w:val="false"/>
          <w:smallCaps w:val="false"/>
          <w:sz w:val="20"/>
        </w:rPr>
        <w:t xml:space="preserve">. Any Obligor shall fail to observe or perform any covenant, condition or agreement contained in this Agreement (other than those specified in </w:t>
      </w:r>
      <w:r>
        <w:rPr>
          <w:rFonts w:ascii="Times New Roman;Times;Serif" w:hAnsi="Times New Roman;Times;Serif"/>
          <w:b/>
          <w:i w:val="false"/>
          <w:caps w:val="false"/>
          <w:smallCaps w:val="false"/>
          <w:sz w:val="20"/>
        </w:rPr>
        <w:t>Section 11.01(a)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or any other Loan Document, and, in the case of any failure that is capable of cure, such failure shall continue unremedied for a period of thirty (30) or more days;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breach of </w:t>
      </w:r>
      <w:r>
        <w:rPr>
          <w:rFonts w:ascii="Times New Roman;Times;Serif" w:hAnsi="Times New Roman;Times;Serif"/>
          <w:b/>
          <w:i w:val="false"/>
          <w:caps w:val="false"/>
          <w:smallCaps w:val="false"/>
          <w:sz w:val="20"/>
        </w:rPr>
        <w:t>Section 8.01(b)</w:t>
      </w:r>
      <w:r>
        <w:rPr>
          <w:rFonts w:ascii="Times New Roman;Times;Serif" w:hAnsi="Times New Roman;Times;Serif"/>
          <w:b w:val="false"/>
          <w:i w:val="false"/>
          <w:caps w:val="false"/>
          <w:smallCaps w:val="false"/>
          <w:sz w:val="20"/>
        </w:rPr>
        <w:t> as a result of any “going concern” or like qualification or exception or emphasis of matter of going concern footnote is subject to a cure period of 120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Payment Default on Other Indebtedness</w:t>
      </w:r>
      <w:r>
        <w:rPr>
          <w:rFonts w:ascii="Times New Roman;Times;Serif" w:hAnsi="Times New Roman;Times;Serif"/>
          <w:b w:val="false"/>
          <w:i w:val="false"/>
          <w:caps w:val="false"/>
          <w:smallCaps w:val="false"/>
          <w:sz w:val="20"/>
        </w:rPr>
        <w:t>. Any Obligor or any of its Subsidiaries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Other Defaults on Other Indebtedness</w:t>
      </w:r>
      <w:r>
        <w:rPr>
          <w:rFonts w:ascii="Times New Roman;Times;Serif" w:hAnsi="Times New Roman;Times;Serif"/>
          <w:b w:val="false"/>
          <w:i w:val="false"/>
          <w:caps w:val="false"/>
          <w:smallCaps w:val="false"/>
          <w:sz w:val="20"/>
        </w:rPr>
        <w:t xml:space="preserve">. (i) Any material breach of, or “event of default” or similar event under, any Contract governing any Material Indebtedness shall occur and such breach or “event of default” or similar event shall continue unremedied, uncured or unwaived after the expiration of any grace or cure period thereunder, or (ii) any event or condition occurs (x) that results in any Material Indebtedness becoming due prior to its scheduled maturity or (y)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or prior to the final date of its original term;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i w:val="false"/>
          <w:caps w:val="false"/>
          <w:smallCaps w:val="false"/>
          <w:sz w:val="20"/>
        </w:rPr>
        <w:t>Section 11.01(g) </w:t>
      </w:r>
      <w:r>
        <w:rPr>
          <w:rFonts w:ascii="Times New Roman;Times;Serif" w:hAnsi="Times New Roman;Times;Serif"/>
          <w:b w:val="false"/>
          <w:i w:val="false"/>
          <w:caps w:val="false"/>
          <w:smallCaps w:val="false"/>
          <w:sz w:val="20"/>
        </w:rPr>
        <w:t xml:space="preserve">shall not apply to (x) secured Indebtedness that becomes due as a result of the voluntary sale or transfer of the property or assets securing such Material Indebtedness, (y) any conversion of any convertible Indebtedness or satisfaction of any condition giving rise to or permitting a conversion of any convertible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has the right to settle any such Indebtedness into Equity Interests of the Borrower (and nominal cash payments in respect of fractional shares and cash payments in respect of accrued and unpaid interest) in accordance with the express terms or conditions thereof and (z) with respect to any Material Indebtedness consisting of Hedging Agreements, termination events or equivalent events pursuant to the terms of such Hedging Agreements and not as a result of any default thereunder by any Obligor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Insolvency, Bankruptcy, Etc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Obligor or any of its Material Subsidiaries 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Obligor or any of its Material Subsidiaries commits an act of bankruptcy or makes an assignment of its property for the general benefit of its creditors or makes a proposal (or files a notice of its intention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Obligor or any of its Material Subsidiaries institutes any proceeding seeking to adjudicate it an insolvent, or seeking liquidation, dissolution, winding-up, reorganization, compromise, arrangement, adjustment, protection, moratorium, relief, stay of proceedings of creditors generally (or any class of creditors), or composition of it or its debts or any other relief, under any Law, whether U.S. or non-U.S., now or hereafter in effect relating to bankruptcy, winding-up, insolvency, reorganization, receivership, plans of arrangement or relief or protection of debtors or at common law or in equity, or files an answer admitting the material allegations of a petition filed against it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Obligor or any of its Material Subsidiaries applies for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Any Obligor or any of its Material Subsidiaries takes any action, corporate or otherwise, to approve, effect, consent to or authorize any of the actions described in this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or otherwise acts in furtherance thereof or fails to act in a timely and appropriate manner in defense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petition is filed, application made or other proceeding instituted against or in respect of any Obligor or any of its Material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seeking to adjudicate it as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seeking a receiving order against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seeking liquidation, dissolution, winding-up, reorganization, compromise, arrangement, adjustment, protection, moratorium, relief, stay of proceedings of creditors generally (or any class of creditors), deed of company arrangement or composition of it or its debts or any other relief under any Law, whether U.S. or non-U.S., now or hereafter in effect relating to bankruptcy, winding-up, insolvency, reorganization, receivership, plans of arrangement or relief or protection of debtors or at common law or in equity;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seeking the entry of an order for relief 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forty-five (45) days after the institution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 order, decree or judgment is granted or entered (whether or not entered or subject to appeal) against such Obligor or such Subsidiary thereunder in the interim, such grace period will cease to apply;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Obligor or Material Subsidiary files an answer admitting the material allegations of a petition filed against it in any such proceeding, such grace period will cease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Any other event occurs which, under the Laws of any applicable jurisdiction, has an effect equivalent to any of the events referred to in this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Judgments</w:t>
      </w:r>
      <w:r>
        <w:rPr>
          <w:rFonts w:ascii="Times New Roman;Times;Serif" w:hAnsi="Times New Roman;Times;Serif"/>
          <w:b w:val="false"/>
          <w:i w:val="false"/>
          <w:caps w:val="false"/>
          <w:smallCaps w:val="false"/>
          <w:sz w:val="20"/>
        </w:rPr>
        <w:t>. One or more judgments for the payment of money in an aggregate amount in excess of $15,000,000 (or the Equivalent Amount in other currencies) (except to the extent fully covered (other than to the extent of customary deductibles) by insurance pursuant to which the insurer has not denied coverage) shall be rendered against any Obligor or any of its Subsidiaries or any combination thereof and the same shall remain undischarged for a period of forty-five (45) calendar days during which execution shall not be effectively stayed, or any action shall be legally taken by a judgment creditor to attach or levy upon any assets of any Obligor to enforce any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An ERISA Event shall have occurred that when taken together with all other ERISA Events that have occurred, would reasonably be expected to result in liability of the Borrower and its Subsidiaries in an aggregate amount in excess of $15,000,000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A Change of Control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 xml:space="preserve">Regulatory Matters, Etc. </w:t>
      </w:r>
      <w:r>
        <w:rPr>
          <w:rFonts w:ascii="Times New Roman;Times;Serif" w:hAnsi="Times New Roman;Times;Serif"/>
          <w:b w:val="false"/>
          <w:i w:val="false"/>
          <w:caps w:val="false"/>
          <w:smallCaps w:val="false"/>
          <w:sz w:val="20"/>
        </w:rPr>
        <w:t>If any of the following occurs: (i) the FDA or any other U.S. Regulatory Authority initiates enforcement action against, or issues a warning letter with respect to BXCL 501 that causes any Obligor to discontinue or withdraw, or would reasonably be expected to cause any Obligor to discontinue or withdraw, marketing or sales BXCL 501, or causes a material delay in the manufacture or sale of BXCL 501, which discontinuance or delay would reasonably be expected to last for more than ninety (90) days, (ii) an FDA Class 1 Recall of BXCL 501 in the U.S., to the extent BXCL 501 has generated or is expected to generate at least $15,000,000 (or the Equivalent Amount in other currencies) in revenue for the Borrower and its Subsidiaries for sales or licenses to third parties over any period of twelve (12) consecutive months, or (iii) any Obligor enters into a settlement agreement with the FDA or any other U.S. Regulatory Authority in respect of BXCL 501 that results in aggregate liability as to any single or related series of transactions, incidents or conditions, in excess of $15,000,000 (or the Equivalent Amount in other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 xml:space="preserve">Impairment of Security, Etc. </w:t>
      </w:r>
      <w:r>
        <w:rPr>
          <w:rFonts w:ascii="Times New Roman;Times;Serif" w:hAnsi="Times New Roman;Times;Serif"/>
          <w:b w:val="false"/>
          <w:i w:val="false"/>
          <w:caps w:val="false"/>
          <w:smallCaps w:val="false"/>
          <w:sz w:val="20"/>
        </w:rPr>
        <w:t xml:space="preserve">Subject in all respects to any applicable post-closing periods and certain other time periods under the Loan Documents for any Obligor or Subsidiary to take perfection actions, if any of the following events occurs: (i) Any Lien created by any of the Security Documents shall at any time not constitute a valid and perfected Lien on the applicable Collateral in favor of the Secured Parties, free and clear of all other Liens (other than Permitted Liens) except due to the action or inaction of the Administrative Agent, (ii) except for expiration in accordance with its terms, any of the Security Documents or any Guarantee of any of the Obligations (including that contained in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shall for whatever reason cease to be in full force and effect, (iii) any Obligor shall, directly or indirectly, contest in any manner such effectiveness, validity, binding nature or enforceability of any such Lien or any Loan Document, or (iv) any injunction, whether temporary or permanent, shall be rendered against any Obligor that prevents the Obligors from selling or manufacturing the Products or their commercially available successors, or any of their other material and commercially available products in the United States for more than forty-five (45)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Defaults Other Than Bankruptcy Defaults</w:t>
      </w:r>
      <w:r>
        <w:rPr>
          <w:rFonts w:ascii="Times New Roman;Times;Serif" w:hAnsi="Times New Roman;Times;Serif"/>
          <w:b w:val="false"/>
          <w:i w:val="false"/>
          <w:caps w:val="false"/>
          <w:smallCaps w:val="false"/>
          <w:sz w:val="20"/>
        </w:rPr>
        <w:t xml:space="preserve">. Upon the occurrence of any Event of Default, then, and in every such event (other than an Event of Default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and at any time thereafter during the continuance of such event, the Administrative Agent may (or upon the direction of the Majority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including any applicable Prepayment Fee shall become due and payable immediately (in the case of the Loans, at the Prepayment Price therefor), without presentment, demand, protest or other notice of any kind, all of which are hereby waived by each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Bankruptcy Defaults</w:t>
      </w:r>
      <w:r>
        <w:rPr>
          <w:rFonts w:ascii="Times New Roman;Times;Serif" w:hAnsi="Times New Roman;Times;Serif"/>
          <w:b w:val="false"/>
          <w:i w:val="false"/>
          <w:caps w:val="false"/>
          <w:smallCaps w:val="false"/>
          <w:sz w:val="20"/>
        </w:rPr>
        <w:t xml:space="preserve">. In case of an Event of Default described in </w:t>
      </w:r>
      <w:r>
        <w:rPr>
          <w:rFonts w:ascii="Times New Roman;Times;Serif" w:hAnsi="Times New Roman;Times;Serif"/>
          <w:b/>
          <w:i w:val="false"/>
          <w:caps w:val="false"/>
          <w:smallCaps w:val="false"/>
          <w:sz w:val="20"/>
        </w:rPr>
        <w:t>Section 11.01(h)</w:t>
      </w:r>
      <w:r>
        <w:rPr>
          <w:rFonts w:ascii="Times New Roman;Times;Serif" w:hAnsi="Times New Roman;Times;Serif"/>
          <w:b w:val="false"/>
          <w:i w:val="false"/>
          <w:caps w:val="false"/>
          <w:smallCaps w:val="false"/>
          <w:sz w:val="20"/>
        </w:rPr>
        <w:t>, the principal of the Loans then outstanding, together with accrued interest thereon and all fees and other Obligations, including any applicable Prepayment Fee shall automatically become due and payable immediately (in the case of the Loans, at the Prepayment Price therefor), without presentment, demand, protest or other notice of any kind, all of which are hereby waived by each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Remedies</w:t>
      </w:r>
      <w:r>
        <w:rPr>
          <w:rFonts w:ascii="Times New Roman;Times;Serif" w:hAnsi="Times New Roman;Times;Serif"/>
          <w:b w:val="false"/>
          <w:i w:val="false"/>
          <w:caps w:val="false"/>
          <w:smallCaps w:val="false"/>
          <w:sz w:val="20"/>
        </w:rPr>
        <w:t xml:space="preserve">. If an Event of Default has occurred and is continuing, if any Obligor shall be in default under a Material Agreement, the Administrative Agent shall have the right (but not the obligation) to cause the default or defaults under such Material Agreement to be remedied (including by paying any unpaid amount thereunder) and otherwise exercise any and all rights of such Obligor, as the case may be, thereunder, as may be necessary to prevent or cure any default. Without limiting the foregoing, upon any such default, each Obligor shall promptly execute, acknowledge and deliver to the Administrative Agent such instruments as may reasonably be required of such Obligor to permit the Administrative Agent to cure any default under the applicable Material Agreement or permit the Administrative Agent to take such other action required to enable the Administrative Agent to cure or remedy the matter in default and preserve the interests of the Administrative Agent. Any amounts paid by the Administrative Agent pursuant to this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shall be payable in accordance with </w:t>
      </w:r>
      <w:r>
        <w:rPr>
          <w:rFonts w:ascii="Times New Roman;Times;Serif" w:hAnsi="Times New Roman;Times;Serif"/>
          <w:b/>
          <w:i w:val="false"/>
          <w:caps w:val="false"/>
          <w:smallCaps w:val="false"/>
          <w:sz w:val="20"/>
        </w:rPr>
        <w:t>Section 14.03(a)</w:t>
      </w:r>
      <w:r>
        <w:rPr>
          <w:rFonts w:ascii="Times New Roman;Times;Serif" w:hAnsi="Times New Roman;Times;Serif"/>
          <w:b w:val="false"/>
          <w:i w:val="false"/>
          <w:caps w:val="false"/>
          <w:smallCaps w:val="false"/>
          <w:sz w:val="20"/>
        </w:rPr>
        <w:t>, shall accrue interest at the Default Rate if not paid when due, and shall constitute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Payment of Prepayment Fee</w:t>
      </w:r>
      <w:r>
        <w:rPr>
          <w:rFonts w:ascii="Times New Roman;Times;Serif" w:hAnsi="Times New Roman;Times;Serif"/>
          <w:b w:val="false"/>
          <w:i w:val="false"/>
          <w:caps w:val="false"/>
          <w:smallCaps w:val="false"/>
          <w:sz w:val="20"/>
        </w:rPr>
        <w:t xml:space="preserve">. Notwithstanding anything in this Agreement to the contrary, the Prepayment Fee shall automatically be due and payable at any time the Obligations become due and payable prior to the Maturity Date in accordance with the terms hereof as though such Indebtedness was voluntarily prepaid and shall constitute part of the Obligations, whether due to acceleration pursuant to the terms of this Agreement (in which case it shall be due immediately, upon the giving of notice to Borrower in accordance with </w:t>
      </w:r>
      <w:r>
        <w:rPr>
          <w:rFonts w:ascii="Times New Roman;Times;Serif" w:hAnsi="Times New Roman;Times;Serif"/>
          <w:b/>
          <w:i w:val="false"/>
          <w:caps w:val="false"/>
          <w:smallCaps w:val="false"/>
          <w:sz w:val="20"/>
        </w:rPr>
        <w:t>Section 11.02(a)</w:t>
      </w:r>
      <w:r>
        <w:rPr>
          <w:rFonts w:ascii="Times New Roman;Times;Serif" w:hAnsi="Times New Roman;Times;Serif"/>
          <w:b w:val="false"/>
          <w:i w:val="false"/>
          <w:caps w:val="false"/>
          <w:smallCaps w:val="false"/>
          <w:sz w:val="20"/>
        </w:rPr>
        <w:t xml:space="preserve">, or automatically, in accordance with </w:t>
      </w:r>
      <w:r>
        <w:rPr>
          <w:rFonts w:ascii="Times New Roman;Times;Serif" w:hAnsi="Times New Roman;Times;Serif"/>
          <w:b/>
          <w:i w:val="false"/>
          <w:caps w:val="false"/>
          <w:smallCaps w:val="false"/>
          <w:sz w:val="20"/>
        </w:rPr>
        <w:t>Section 11.02(b)</w:t>
      </w:r>
      <w:r>
        <w:rPr>
          <w:rFonts w:ascii="Times New Roman;Times;Serif" w:hAnsi="Times New Roman;Times;Serif"/>
          <w:b w:val="false"/>
          <w:i w:val="false"/>
          <w:caps w:val="false"/>
          <w:smallCaps w:val="false"/>
          <w:sz w:val="20"/>
        </w:rPr>
        <w:t>), by operation of law or otherwise (including</w:t>
      </w:r>
      <w:r>
        <w:rPr>
          <w:rFonts w:ascii="Times New Roman;Times;Serif" w:hAnsi="Times New Roman;Times;Serif"/>
          <w:b w:val="false"/>
          <w:i w:val="false"/>
          <w:caps w:val="false"/>
          <w:smallCaps w:val="false"/>
          <w:color w:val="0000FF"/>
          <w:sz w:val="20"/>
          <w:u w:val="single"/>
        </w:rPr>
        <w:t>, without limitation,</w:t>
      </w:r>
      <w:r>
        <w:rPr>
          <w:rFonts w:ascii="Times New Roman;Times;Serif" w:hAnsi="Times New Roman;Times;Serif"/>
          <w:b w:val="false"/>
          <w:i w:val="false"/>
          <w:caps w:val="false"/>
          <w:smallCaps w:val="false"/>
          <w:sz w:val="20"/>
        </w:rPr>
        <w:t xml:space="preserve">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as a result thereof. </w:t>
      </w:r>
      <w:r>
        <w:rPr>
          <w:rFonts w:ascii="Times New Roman;Times;Serif" w:hAnsi="Times New Roman;Times;Serif"/>
          <w:b w:val="false"/>
          <w:i w:val="false"/>
          <w:caps w:val="false"/>
          <w:smallCaps w:val="false"/>
          <w:color w:val="0000FF"/>
          <w:sz w:val="20"/>
          <w:u w:val="single"/>
        </w:rPr>
        <w:t xml:space="preserve">If the Prepayment Fee becomes due and payable pursuant to the preceding sentence, the Prepayment Fee shall be deemed to be principal of the Loans and interest shall accrue on the full </w:t>
      </w:r>
      <w:r>
        <w:rPr>
          <w:rFonts w:ascii="Times New Roman;Times;Serif" w:hAnsi="Times New Roman;Times;Serif"/>
          <w:b w:val="false"/>
          <w:i w:val="false"/>
          <w:caps w:val="false"/>
          <w:smallCaps w:val="false"/>
          <w:color w:val="008000"/>
          <w:sz w:val="20"/>
          <w:u w:val="single"/>
        </w:rPr>
        <w:t>principal amount of the Loans</w:t>
      </w:r>
      <w:r>
        <w:rPr>
          <w:rFonts w:ascii="Times New Roman;Times;Serif" w:hAnsi="Times New Roman;Times;Serif"/>
          <w:b w:val="false"/>
          <w:i w:val="false"/>
          <w:caps w:val="false"/>
          <w:smallCaps w:val="false"/>
          <w:color w:val="0000FF"/>
          <w:sz w:val="20"/>
          <w:u w:val="single"/>
        </w:rPr>
        <w:t xml:space="preserve"> (including the Prepayment Fee) from and after the applicable triggering event. </w:t>
      </w:r>
      <w:r>
        <w:rPr>
          <w:rFonts w:ascii="Times New Roman;Times;Serif" w:hAnsi="Times New Roman;Times;Serif"/>
          <w:b w:val="false"/>
          <w:i w:val="false"/>
          <w:caps w:val="false"/>
          <w:smallCaps w:val="false"/>
          <w:sz w:val="20"/>
        </w:rPr>
        <w:t xml:space="preserve">Any Prepayment Fee payable pursuant to this Agreement shall be presumed to be the liquidated damages sustained by each Lender as the result of the early termination, acceleration or prepayment and each Obligor agrees that such Prepayment Fee is reasonable under the circumstances currently existing. The Prepayment Fee shall also </w:t>
      </w:r>
      <w:r>
        <w:rPr>
          <w:rFonts w:ascii="Times New Roman;Times;Serif" w:hAnsi="Times New Roman;Times;Serif"/>
          <w:b w:val="false"/>
          <w:i w:val="false"/>
          <w:caps w:val="false"/>
          <w:smallCaps w:val="false"/>
          <w:strike/>
          <w:color w:val="FF0000"/>
          <w:sz w:val="20"/>
        </w:rPr>
        <w:t>become due and</w:t>
      </w:r>
      <w:r>
        <w:rPr>
          <w:rFonts w:ascii="Times New Roman;Times;Serif" w:hAnsi="Times New Roman;Times;Serif"/>
          <w:b w:val="false"/>
          <w:i w:val="false"/>
          <w:caps w:val="false"/>
          <w:smallCaps w:val="false"/>
          <w:color w:val="0000FF"/>
          <w:sz w:val="20"/>
          <w:u w:val="single"/>
        </w:rPr>
        <w:t>be</w:t>
      </w:r>
      <w:r>
        <w:rPr>
          <w:rFonts w:ascii="Times New Roman;Times;Serif" w:hAnsi="Times New Roman;Times;Serif"/>
          <w:b w:val="false"/>
          <w:i w:val="false"/>
          <w:caps w:val="false"/>
          <w:smallCaps w:val="false"/>
          <w:sz w:val="20"/>
        </w:rPr>
        <w:t xml:space="preserve"> payable </w:t>
      </w:r>
      <w:r>
        <w:rPr>
          <w:rFonts w:ascii="Times New Roman;Times;Serif" w:hAnsi="Times New Roman;Times;Serif"/>
          <w:b w:val="false"/>
          <w:i w:val="false"/>
          <w:caps w:val="false"/>
          <w:smallCaps w:val="false"/>
          <w:strike/>
          <w:color w:val="FF0000"/>
          <w:sz w:val="20"/>
        </w:rPr>
        <w:t xml:space="preserve">under this Agreement </w:t>
      </w:r>
      <w:r>
        <w:rPr>
          <w:rFonts w:ascii="Times New Roman;Times;Serif" w:hAnsi="Times New Roman;Times;Serif"/>
          <w:b w:val="false"/>
          <w:i w:val="false"/>
          <w:caps w:val="false"/>
          <w:smallCaps w:val="false"/>
          <w:sz w:val="20"/>
        </w:rPr>
        <w:t xml:space="preserve">in the event the Obligations (and/or this Agreement) are satisfied or released by foreclosure (whether by power of judicial proceeding), deed in lieu of foreclosure or by any other means or the Obligations are reinstated pursuant to Section 1124 of the Bankruptcy Code. If the Prepayment Fee becomes due and payable pursuant to this Agreement, the Prepayment Fee shall be deemed to be principal of the Loans and Obligations under this Agreement and interest shall accrue on the full principal amount of the Loans (including the Prepayment Fee) from and after the applicable triggering event. In the event the Prepayment Fee is determined not to be due and payable by order of any court of competent jurisdiction, including by operation of the Bankruptcy Code, despite such a triggering event having occurred, the Prepayment Fee shall nonetheless constitute Obligations under this Agreement for all purposes hereunder. </w:t>
      </w:r>
      <w:r>
        <w:rPr>
          <w:rFonts w:ascii="Times New Roman;Times;Serif" w:hAnsi="Times New Roman;Times;Serif"/>
          <w:b w:val="false"/>
          <w:i w:val="false"/>
          <w:caps/>
          <w:sz w:val="20"/>
        </w:rPr>
        <w:t>Each Obligor hereby waives the provisions of any present or future statute or law that prohibits or may prohibit the collection of the prepayment fee and any defense to payment, whether such defense may be based in public policy, ambiguity, or otherwise</w:t>
      </w:r>
      <w:r>
        <w:rPr>
          <w:rFonts w:ascii="Times New Roman;Times;Serif" w:hAnsi="Times New Roman;Times;Serif"/>
          <w:b w:val="false"/>
          <w:i w:val="false"/>
          <w:caps w:val="false"/>
          <w:smallCaps w:val="false"/>
          <w:sz w:val="20"/>
        </w:rPr>
        <w:t xml:space="preserve">. The Obligors, the Administrative Agent and the Lenders acknowledge and agree that any Prepayment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 Each Obligor expressly agrees that (i) the Prepayment Fee is reasonable and is the product of an arm’s-length transaction between sophisticated business people, ably represented by counsel, (ii) the Prepayment Fee shall be payable notwithstanding the then prevailing market rates at the time payment is made, (iii) there has been a course of conduct between the Lenders and the Obligors giving specific consideration in this transaction for such agreement to pay the Prepayment Fee, (iv) the Obligors shall </w:t>
      </w:r>
      <w:r>
        <w:rPr>
          <w:rFonts w:ascii="Times New Roman;Times;Serif" w:hAnsi="Times New Roman;Times;Serif"/>
          <w:b w:val="false"/>
          <w:i w:val="false"/>
          <w:caps w:val="false"/>
          <w:smallCaps w:val="false"/>
          <w:color w:val="0000FF"/>
          <w:sz w:val="20"/>
          <w:u w:val="single"/>
        </w:rPr>
        <w:t xml:space="preserve">not challenge or question, or support any other person in challenging or questioning, the validity or enforceability of the Prepayment Fee or any similar or comparable prepayment fee under the circumstances described herein, and shall </w:t>
      </w:r>
      <w:r>
        <w:rPr>
          <w:rFonts w:ascii="Times New Roman;Times;Serif" w:hAnsi="Times New Roman;Times;Serif"/>
          <w:b w:val="false"/>
          <w:i w:val="false"/>
          <w:caps w:val="false"/>
          <w:smallCaps w:val="false"/>
          <w:sz w:val="20"/>
        </w:rPr>
        <w:t xml:space="preserve">be estopped hereafter from claiming differently than as agreed to in this </w:t>
      </w:r>
      <w:r>
        <w:rPr>
          <w:rFonts w:ascii="Times New Roman;Times;Serif" w:hAnsi="Times New Roman;Times;Serif"/>
          <w:b/>
          <w:i w:val="false"/>
          <w:caps w:val="false"/>
          <w:smallCaps w:val="false"/>
          <w:sz w:val="20"/>
        </w:rPr>
        <w:t>Section 11.05</w:t>
      </w:r>
      <w:r>
        <w:rPr>
          <w:rFonts w:ascii="Times New Roman;Times;Serif" w:hAnsi="Times New Roman;Times;Serif"/>
          <w:b w:val="false"/>
          <w:i w:val="false"/>
          <w:caps w:val="false"/>
          <w:smallCaps w:val="false"/>
          <w:sz w:val="20"/>
        </w:rPr>
        <w:t xml:space="preserve">, (v) their agreement to pay the Prepayment Fee is a material inducement to the Lenders to make the Loans, and (vi) the Prepayment Fee represents a good faith, reasonable estimate and calculation of the lost profits, losses or other damages of the Lenders and that it would be impractical and extremely difficult to ascertain the actual amount of damages to the Lenders or profits lost by the Lenders as a result of such event. </w:t>
      </w:r>
      <w:r>
        <w:rPr>
          <w:rFonts w:ascii="Times New Roman;Times;Serif" w:hAnsi="Times New Roman;Times;Serif"/>
          <w:b w:val="false"/>
          <w:i w:val="false"/>
          <w:caps w:val="false"/>
          <w:smallCaps w:val="false"/>
          <w:color w:val="0000FF"/>
          <w:sz w:val="20"/>
          <w:u w:val="single"/>
        </w:rPr>
        <w:t>The Borrower expressly acknowledges that its agreement to pay the payment of the Prepayment Fee to the Lenders as herein described is a material inducement to Lenders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12.</w:t>
      </w:r>
      <w:r>
        <w:rPr>
          <w:rFonts w:ascii="Times New Roman;Times;Serif" w:hAnsi="Times New Roman;Times;Serif"/>
          <w:b/>
          <w:i w:val="false"/>
          <w:caps w:val="false"/>
          <w:smallCaps w:val="false"/>
          <w:sz w:val="20"/>
        </w:rPr>
        <w:b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Appointment and Duties</w:t>
      </w:r>
      <w:r>
        <w:rPr>
          <w:rFonts w:ascii="Times New Roman;Times;Serif" w:hAnsi="Times New Roman;Times;Serif"/>
          <w:b w:val="false"/>
          <w:i w:val="false"/>
          <w:caps w:val="false"/>
          <w:smallCaps w:val="false"/>
          <w:sz w:val="20"/>
        </w:rPr>
        <w:t>. Subject in all cases to clause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Appointment of the Administrative Agent</w:t>
      </w:r>
      <w:r>
        <w:rPr>
          <w:rFonts w:ascii="Times New Roman;Times;Serif" w:hAnsi="Times New Roman;Times;Serif"/>
          <w:b w:val="false"/>
          <w:i w:val="false"/>
          <w:caps w:val="false"/>
          <w:smallCaps w:val="false"/>
          <w:sz w:val="20"/>
        </w:rPr>
        <w:t xml:space="preserve">. Each of the Lenders hereby irrevocably appoints Oaktree Fund Administration, LLC (together with any successor Administrative Agent pursuant to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 xml:space="preserve">) as the Administrative Agent hereunder and authorizes the Administrative Agent to (i) execute and deliver the Loan Documents and accept delivery thereof on its behalf from any Obligor or any of its Subsidiaries, (ii) take such action on its behalf and to exercise all rights, powers and remedies and perform the duties as are expressly delegated to the Administrative Agent under such Loan Documents and (iii) exercise such powers as are reasonably incidental thereto. Except as expressly set forth herein, the provisions of this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12 are solely for the benefit of the Administrative Agent and the Lenders, and no Obligor or any Affiliate thereof shall have rights as a third-party beneficiary of any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Duties as Collateral and Disbursing Agent</w:t>
      </w:r>
      <w:r>
        <w:rPr>
          <w:rFonts w:ascii="Times New Roman;Times;Serif" w:hAnsi="Times New Roman;Times;Serif"/>
          <w:b w:val="false"/>
          <w:i w:val="false"/>
          <w:caps w:val="false"/>
          <w:smallCaps w:val="false"/>
          <w:sz w:val="20"/>
        </w:rPr>
        <w:t xml:space="preserve">. Without limiting the generality of </w:t>
      </w:r>
      <w:r>
        <w:rPr>
          <w:rFonts w:ascii="Times New Roman;Times;Serif" w:hAnsi="Times New Roman;Times;Serif"/>
          <w:b/>
          <w:i w:val="false"/>
          <w:caps w:val="false"/>
          <w:smallCaps w:val="false"/>
          <w:sz w:val="20"/>
        </w:rPr>
        <w:t>Section 12.01(a)</w:t>
      </w:r>
      <w:r>
        <w:rPr>
          <w:rFonts w:ascii="Times New Roman;Times;Serif" w:hAnsi="Times New Roman;Times;Serif"/>
          <w:b w:val="false"/>
          <w:i w:val="false"/>
          <w:caps w:val="false"/>
          <w:smallCaps w:val="false"/>
          <w:sz w:val="20"/>
        </w:rPr>
        <w:t xml:space="preserve">, the Administrative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Times New Roman;Times;Serif" w:hAnsi="Times New Roman;Times;Serif"/>
          <w:b/>
          <w:i w:val="false"/>
          <w:caps w:val="false"/>
          <w:smallCaps w:val="false"/>
          <w:sz w:val="20"/>
        </w:rPr>
        <w:t>Section 11.01(h) </w:t>
      </w:r>
      <w:r>
        <w:rPr>
          <w:rFonts w:ascii="Times New Roman;Times;Serif" w:hAnsi="Times New Roman;Times;Serif"/>
          <w:b w:val="false"/>
          <w:i w:val="false"/>
          <w:caps w:val="false"/>
          <w:smallCaps w:val="false"/>
          <w:sz w:val="20"/>
        </w:rPr>
        <w:t xml:space="preserve">or any other bankruptcy, insolvency or similar proceeding), and each Person making any payment in connection with any Loan Document to any Secured Party is hereby authorized to make such payment to the Administrative Agent, (ii) file and prove claims and file other documents necessary or desirable to allow the claims of the Secured Parties with respect to any Obligation in any proceeding described in </w:t>
      </w:r>
      <w:r>
        <w:rPr>
          <w:rFonts w:ascii="Times New Roman;Times;Serif" w:hAnsi="Times New Roman;Times;Serif"/>
          <w:b/>
          <w:i w:val="false"/>
          <w:caps w:val="false"/>
          <w:smallCaps w:val="false"/>
          <w:sz w:val="20"/>
        </w:rPr>
        <w:t>Section 11.01(h) </w:t>
      </w:r>
      <w:r>
        <w:rPr>
          <w:rFonts w:ascii="Times New Roman;Times;Serif" w:hAnsi="Times New Roman;Times;Serif"/>
          <w:b w:val="false"/>
          <w:i w:val="false"/>
          <w:caps w:val="false"/>
          <w:smallCaps w:val="false"/>
          <w:sz w:val="20"/>
        </w:rPr>
        <w:t xml:space="preserve">or any other bankruptcy, insolvency or similar proceeding (but not to vote, consent or otherwise act on behalf of such Secured Party), (iii) act as collateral agent for each Secured Party for purposes of acquiring, holding, enforcing and perfecting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Administrative Agent and the other Secured Parties with respect to the Collateral, whether under the Loan Documents, applicable Laws or otherwise and (vii) execute any amendment, consent or waiver under the Loan Documents on behalf of any Lender that has consented in writing to such amendment, consent or waiver;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hereby appoints, authorizes and directs each Lender to act as collateral sub-agent for the Administrative Agent and the Lenders for purposes of the perfection of all Liens with respect to the Collateral, including any deposit account maintained by a Obligor with, and cash and cash equivalents held by, such Lender, and may further authorize and direct the Lenders to take further actions as collateral sub-agents for purposes of enforcing such Liens or otherwise to transfer the Collateral subject thereto to the Administrative Agent, and each Lender hereby agrees to take such further actions to the extent, and only to the extent, so authorized and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Limited Duties</w:t>
      </w:r>
      <w:r>
        <w:rPr>
          <w:rFonts w:ascii="Times New Roman;Times;Serif" w:hAnsi="Times New Roman;Times;Serif"/>
          <w:b w:val="false"/>
          <w:i w:val="false"/>
          <w:caps w:val="false"/>
          <w:smallCaps w:val="false"/>
          <w:sz w:val="20"/>
        </w:rPr>
        <w:t xml:space="preserve">. The Lenders and the Obligors hereby each acknowledge and agree that the Administrative Agent (i) has undertaken its role hereunder purely as an accommodation to the parties hereto and the Transactions, (ii) is receiving no compensation for undertaking such role and (iii) subject only to the notice provisions set forth in </w:t>
      </w:r>
      <w:r>
        <w:rPr>
          <w:rFonts w:ascii="Times New Roman;Times;Serif" w:hAnsi="Times New Roman;Times;Serif"/>
          <w:b/>
          <w:i w:val="false"/>
          <w:caps w:val="false"/>
          <w:smallCaps w:val="false"/>
          <w:sz w:val="20"/>
        </w:rPr>
        <w:t>Section 12.09</w:t>
      </w:r>
      <w:r>
        <w:rPr>
          <w:rFonts w:ascii="Times New Roman;Times;Serif" w:hAnsi="Times New Roman;Times;Serif"/>
          <w:b w:val="false"/>
          <w:i w:val="false"/>
          <w:caps w:val="false"/>
          <w:smallCaps w:val="false"/>
          <w:sz w:val="20"/>
        </w:rPr>
        <w:t xml:space="preserve">, may resign from such role at any time for any reason or no reason whatsoever. Without limiting the foregoing, the parties hereto further acknowledge and agree that under the Loan Documents, the Administrative Agent (i) is acting solely on behalf of the Lenders (except to the limited extent provided in </w:t>
      </w:r>
      <w:r>
        <w:rPr>
          <w:rFonts w:ascii="Times New Roman;Times;Serif" w:hAnsi="Times New Roman;Times;Serif"/>
          <w:b/>
          <w:i w:val="false"/>
          <w:caps w:val="false"/>
          <w:smallCaps w:val="false"/>
          <w:sz w:val="20"/>
        </w:rPr>
        <w:t>Section 12.11</w:t>
      </w:r>
      <w:r>
        <w:rPr>
          <w:rFonts w:ascii="Times New Roman;Times;Serif" w:hAnsi="Times New Roman;Times;Serif"/>
          <w:b w:val="false"/>
          <w:i w:val="false"/>
          <w:caps w:val="false"/>
          <w:smallCaps w:val="false"/>
          <w:sz w:val="20"/>
        </w:rPr>
        <w:t xml:space="preserve">), with duties that are entirely administrative in nature, notwithstanding the use of the defined term “the Administrative Agent”, the terms “agent”, “administrative agent” and “collateral agent” and similar terms in any Loan Document to refer to the Administrative Agent, which terms are used for title purposes only, (ii) is not assuming any duty or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Document (fiduciary or otherwise), in each case, regardless of whether a Default has occurred and is continuing, and each Lender hereby waives and agrees not to assert any claim against the Administrative Agent based on the roles, duties and legal relationships expressly disclaimed in this </w:t>
      </w:r>
      <w:r>
        <w:rPr>
          <w:rFonts w:ascii="Times New Roman;Times;Serif" w:hAnsi="Times New Roman;Times;Serif"/>
          <w:b/>
          <w:i w:val="false"/>
          <w:caps w:val="false"/>
          <w:smallCaps w:val="false"/>
          <w:sz w:val="20"/>
        </w:rPr>
        <w:t>clause (c)</w:t>
      </w:r>
      <w:r>
        <w:rPr>
          <w:rFonts w:ascii="Times New Roman;Times;Serif" w:hAnsi="Times New Roman;Times;Serif"/>
          <w:b w:val="false"/>
          <w:i w:val="false"/>
          <w:caps w:val="false"/>
          <w:smallCaps w:val="false"/>
          <w:sz w:val="20"/>
        </w:rPr>
        <w:t>. Without in any way limiting the foregoing, the Administrative Agent shall not, except as expressly set forth in this Agreement and in the other Loan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Each Lender agrees that (i) any action taken by the Administrative Agent or the Majority Lenders (or, if expressly required hereby, a greater proportion of the Lenders) in accordance with the provisions of the Loan Documents, (ii) any action taken by the Administrative Agent in reliance upon the instructions of the Majority Lenders (or, where so required, such greater proportion) and (iii) the exercise by the Administrative Agent or the Majority Lenders (or, where so required, such greater proportion) of the powers set forth herein or therein, together with such other powers as are reasonably incidental thereto, shall be authorized and binding upon all of the Secured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Use of Discretion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 Action without Instructions</w:t>
      </w:r>
      <w:r>
        <w:rPr>
          <w:rFonts w:ascii="Times New Roman;Times;Serif" w:hAnsi="Times New Roman;Times;Serif"/>
          <w:b w:val="false"/>
          <w:i w:val="false"/>
          <w:caps w:val="false"/>
          <w:smallCaps w:val="false"/>
          <w:sz w:val="20"/>
        </w:rPr>
        <w:t xml:space="preserve">. The Administrative Agent shall not be required to exercise any discretion or take, or to omit to take, any action, including with respect to enforcement or collection, except (subject to </w:t>
      </w:r>
      <w:r>
        <w:rPr>
          <w:rFonts w:ascii="Times New Roman;Times;Serif" w:hAnsi="Times New Roman;Times;Serif"/>
          <w:b/>
          <w:i w:val="false"/>
          <w:caps w:val="false"/>
          <w:smallCaps w:val="false"/>
          <w:sz w:val="20"/>
        </w:rPr>
        <w:t>clause (b) </w:t>
      </w:r>
      <w:r>
        <w:rPr>
          <w:rFonts w:ascii="Times New Roman;Times;Serif" w:hAnsi="Times New Roman;Times;Serif"/>
          <w:b w:val="false"/>
          <w:i w:val="false"/>
          <w:caps w:val="false"/>
          <w:smallCaps w:val="false"/>
          <w:sz w:val="20"/>
        </w:rPr>
        <w:t>below) any action it is required to take or omit to take (i) under any Loan Document or (ii) pursuant to written instructions from the Majority Lenders (or, where expressly required by the terms of this Agreement, a greater proportion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Right Not to Follow Certain Instructions</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i w:val="false"/>
          <w:caps w:val="false"/>
          <w:smallCaps w:val="false"/>
          <w:sz w:val="20"/>
        </w:rPr>
        <w:t>Section 12.03(a) </w:t>
      </w:r>
      <w:r>
        <w:rPr>
          <w:rFonts w:ascii="Times New Roman;Times;Serif" w:hAnsi="Times New Roman;Times;Serif"/>
          <w:b w:val="false"/>
          <w:i w:val="false"/>
          <w:caps w:val="false"/>
          <w:smallCaps w:val="false"/>
          <w:sz w:val="20"/>
        </w:rPr>
        <w:t xml:space="preserve">or any other term or provision of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the Administrative Agent shall not be required to take, or to omit to take, any action (i) unless, upon demand, the Administrative Agent receives an indemnification satisfactory to it from the Lenders (or, to the extent applicable and acceptable to the Administrative Agent, any other Secured Party) against all liabilities that, by reason of such action or omission, may be imposed on, incurred by or asserted against the Administrative Agent or any Related Party thereof or (ii) that is, in the opinion of the Administrative Agent, in its sole and absolute discretion, contrary to any Loan Document, Law or the best interests of the Administrative Agent or any of its Affiliates or Related Parties, including, for the avoidance of doubt, any action that may be in violation of the automatic stay in connection with any Insolvency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Delegation of Rights and Duties</w:t>
      </w:r>
      <w:r>
        <w:rPr>
          <w:rFonts w:ascii="Times New Roman;Times;Serif" w:hAnsi="Times New Roman;Times;Serif"/>
          <w:b w:val="false"/>
          <w:i w:val="false"/>
          <w:caps w:val="false"/>
          <w:smallCaps w:val="false"/>
          <w:sz w:val="20"/>
        </w:rPr>
        <w:t xml:space="preserve">. The Administrative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to the extent provided by the Administrative Agent; provided, however, that the exculpatory provisions of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Reliance and 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may, without incurring any liability hereunder, (i) consult with any of its Related Parties and, whether or not selected by it, any other advisors, accountants and other experts (including advisors to, and accountants and experts engaged by, any Obligor) and (ii) rely and act upon any notice, request, certificate, consent, statement, instrument, document or other writing (including and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Administrative Agent nor any of its Related Parties shall be liable for any action taken or omitted to be taken by any of them under or in connection with any Loan Document, and each Lender and the Borrower hereby waive and shall not assert (and the Borrower shall cause each other Obligor to waive and agree not to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shall not be responsible or otherwise incur liability for any action or omission taken in reliance upon the instructions of, or with the consent of, the Majority Lenders (or such other number or percentage of the Lenders as shall be necessary, or as the Administrative Agent shall believe in good faith to be necessary, under the circumstances as provided in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or for the actions or omissions of any of its Related Parties selected with reasonable care (other than employees, officers and directors of the Administrative Agent, when acting on behalf of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shall not be responsible to any Secured Party for the (a) validity, enforceability, effectiveness or genuineness of this Agreement, any other Loan Document or any other agreement, instrument or document, or (b) due execution, legality, validity, enforceability, effectiveness, genuineness, sufficiency or value of, or the attachment, perfection or priority of any Lien created or purported to be created under or in connection with,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makes no warranty or representation, and shall not be responsible, to any Secured Party for, and shall not have any duty to ascertain or inquire into, any statement, document, information, certificate, report, representation or warranty made or furnished by or on behalf of any Related Party, in or in connection with any Loan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Loan Documents, including, for the avoidance of doubt, the satisfaction of any condition set forth in </w:t>
      </w: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xml:space="preserve"> of this Agreement or elsewhere herein (other than to confirm receipt of items expressly required to be delivered to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shall not have any duty to ascertain or to inquire as to the performance or observance of any provision of any Loan Document or whether any condition set forth in any Loan Document is satisfied or waived, including, without limiting the generality of the foregoing,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Borrower, any Lender describing such Default or Event of Default clearly labeled “notice of default” (in which case the Administrative Agent shall promptly give notice of such receipt to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for each of the items set forth in </w:t>
      </w:r>
      <w:r>
        <w:rPr>
          <w:rFonts w:ascii="Times New Roman;Times;Serif" w:hAnsi="Times New Roman;Times;Serif"/>
          <w:b/>
          <w:i w:val="false"/>
          <w:caps w:val="false"/>
          <w:smallCaps w:val="false"/>
          <w:sz w:val="20"/>
        </w:rPr>
        <w:t>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above, each Lender and the Borrower hereby waives and agrees not to assert (and the Borrower shall cause each other Obligor to waive and agree not to assert) any right, claim or cause of action it might have against the Administrative Agent based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Administrative Agent Individually</w:t>
      </w:r>
      <w:r>
        <w:rPr>
          <w:rFonts w:ascii="Times New Roman;Times;Serif" w:hAnsi="Times New Roman;Times;Serif"/>
          <w:b w:val="false"/>
          <w:i w:val="false"/>
          <w:caps w:val="false"/>
          <w:smallCaps w:val="false"/>
          <w:sz w:val="20"/>
        </w:rPr>
        <w:t>. The Administrative Agent and its Affiliates may make loans and other extensions of credit to, acquire stock and stock equivalents of, accept deposits from, act as the financial advisor for or in any other advisory capacity for, or engage in any kind of business with, any Obligor or Affiliate thereof as though it were not acting as the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the Administrative Agent or such Affiliate, as the case may be, in its individual capacity as Lender or as one of the Majority Lenders,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Lender Credit Decision</w:t>
      </w:r>
      <w:r>
        <w:rPr>
          <w:rFonts w:ascii="Times New Roman;Times;Serif" w:hAnsi="Times New Roman;Times;Serif"/>
          <w:b w:val="false"/>
          <w:i w:val="false"/>
          <w:caps w:val="false"/>
          <w:smallCaps w:val="false"/>
          <w:sz w:val="20"/>
        </w:rPr>
        <w:t>. Each Lender acknowledges that it has, independently and without reliance upon the Administrative Agent, any Lender or any of their Related Parties or upon any document solely or in part because such document was transmitted by the 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Expenses; Indemnities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agrees to reimburse the Administrative Agent and each of its Related Parties (to the extent not reimbursed by any Obligor) promptly upon demand for such Lender’s Proportionate Share of any costs and expenses (including fees, charges and disbursements of financial, legal (including charges and disbursements of Sullivan &amp; Cromwell LLP and Hogan Lovells US LLP)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further agrees to indemnify the Administrative Agent (or any sub-agent thereof) and any Related Parties of the Administrative Agent (or any such sub-agent) (to the extent not indefeasibly paid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Administrative Agent (or any sub-agent thereof) or any Related Parties of the Administrative Agent (or any such sub-agent) in any matter relating to or arising out of, in connection with or as a result of any Loan Document or any other act, event or transaction related, contemplated in or attendant to any such document, or, in each case, any action taken or omitted to be taken by the Administrative Agent (or any sub-agent thereof) or any Related Parties of the Administrative Agent (or any such sub-agent) under or with respect to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to the Administrative Agent (or any sub-agent thereof) or any Related Parties of the Administrative Agent (or any such sub-agent) to the extent such liability has resulted primarily from the gross negligence or willful misconduct of the Administrative Agent (or any sub-agent thereof) or, as the case may be, such Related Party of the Administrative Agent (or any sub-agent thereof), as determined by a court of competent jurisdiction in a final non-appealable judgment or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Resignation of the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upon not less than 30 days prior written notice, the Administrative Agent may resign as the “the Administrative Agent” hereunder, in whole or in part (in the sole and absolute discretion of the Administrative Agent). If the Administrative Agent delivers any such notice, the Majority Lenders shall have the right, in consultation with the Borrower, to appoint a successor, which shall be (i) a Lender holding at least thirty percent (30%) of the outstanding principal amount of the Loans or any Affiliate thereof or (ii) any other financial institution consented to by the Borrower (provided that the consent of the Borrower shall not be required to the extent an Event of Default has occurred and is continuing). If a successor Administrative Agent has not been appointed on or before the effectiveness of the resignation of the resigning Administrative Agent (or such earlier date as shall be agreed by the Majority Lenders) (the “</w:t>
      </w:r>
      <w:r>
        <w:rPr>
          <w:rFonts w:ascii="Times New Roman;Times;Serif" w:hAnsi="Times New Roman;Times;Serif"/>
          <w:b/>
          <w:i/>
          <w:caps w:val="false"/>
          <w:smallCaps w:val="false"/>
          <w:sz w:val="20"/>
        </w:rPr>
        <w:t>Resignation Effective Date</w:t>
      </w:r>
      <w:r>
        <w:rPr>
          <w:rFonts w:ascii="Times New Roman;Times;Serif" w:hAnsi="Times New Roman;Times;Serif"/>
          <w:b w:val="false"/>
          <w:i w:val="false"/>
          <w:caps w:val="false"/>
          <w:smallCaps w:val="false"/>
          <w:sz w:val="20"/>
        </w:rPr>
        <w:t>”), then the resigning Administrative Agent may (but shall not be obligated to), on behalf of the Lenders, appoint any Person reasonably chosen by it as the successor Administrative Agent, notwithstanding whether the Majority Lenders have appointed a successor or the Borrower has consented to such successor. Whether or not a successor has been appointed, such resignation shall become effective on the Resignation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Effective from the Resignation Effective Date, (i) the resigning Administrative Agent shall be discharged from its duties and obligations under the Loan Documents to the extent set forth in the applicable resignation notice, (ii) the Lenders shall assume and perform all of the duties of the Administrative Agent until a successor Administrative Agent shall have accepted a valid appointment hereunder, (iii) the resigning Administrative Agent and its Related Parties shall no longer have the benefit of any provision of any Loan Document other than with respect to (x) any actions taken or omitted to be taken while such resigning Administrative Agent was, or because the Administrative Agent had been, validly acting as the Administrative Agent under the Loan Documents or (y) any continuing duties such resigning Administrative Agent will continue to perform, and (iv) subject to its rights under </w:t>
      </w:r>
      <w:r>
        <w:rPr>
          <w:rFonts w:ascii="Times New Roman;Times;Serif" w:hAnsi="Times New Roman;Times;Serif"/>
          <w:b/>
          <w:i w:val="false"/>
          <w:caps w:val="false"/>
          <w:smallCaps w:val="false"/>
          <w:sz w:val="20"/>
        </w:rPr>
        <w:t>Section 12.04</w:t>
      </w:r>
      <w:r>
        <w:rPr>
          <w:rFonts w:ascii="Times New Roman;Times;Serif" w:hAnsi="Times New Roman;Times;Serif"/>
          <w:b w:val="false"/>
          <w:i w:val="false"/>
          <w:caps w:val="false"/>
          <w:smallCaps w:val="false"/>
          <w:sz w:val="20"/>
        </w:rPr>
        <w:t>, the resigning Administrative Agent shall take such action as may be reasonably necessary to assign to the successor Administrative Agent its rights as the Administrative Agent under the Loan Documents. Effective immediately upon its acceptance of a valid appointment as the Administrative Agent, a successor Administrative Agent shall succeed to, and become vested with, all the rights, powers, privileges and duties of the resigning Administrative Agent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Release of Collateral or Guarantors</w:t>
      </w:r>
      <w:r>
        <w:rPr>
          <w:rFonts w:ascii="Times New Roman;Times;Serif" w:hAnsi="Times New Roman;Times;Serif"/>
          <w:b w:val="false"/>
          <w:i w:val="false"/>
          <w:caps w:val="false"/>
          <w:smallCaps w:val="false"/>
          <w:sz w:val="20"/>
        </w:rPr>
        <w:t xml:space="preserve">. Each Lender hereby consents to the release and hereby directs the Administrative Agent to release, and the Administrative Agent hereby agrees, (or, in the case of </w:t>
      </w:r>
      <w:r>
        <w:rPr>
          <w:rFonts w:ascii="Times New Roman;Times;Serif" w:hAnsi="Times New Roman;Times;Serif"/>
          <w:b/>
          <w:i w:val="false"/>
          <w:caps w:val="false"/>
          <w:smallCaps w:val="false"/>
          <w:sz w:val="20"/>
        </w:rPr>
        <w:t>Section 12.10(b)</w:t>
      </w:r>
      <w:r>
        <w:rPr>
          <w:rFonts w:ascii="Times New Roman;Times;Serif" w:hAnsi="Times New Roman;Times;Serif"/>
          <w:b w:val="false"/>
          <w:i w:val="false"/>
          <w:caps w:val="false"/>
          <w:smallCaps w:val="false"/>
          <w:sz w:val="20"/>
        </w:rPr>
        <w:t>, release or subordinate)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Subsidiary of the Borrower from its guaranty of any Obligation of any Obligor (i) 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guaranty any Obligations pursuant to </w:t>
      </w:r>
      <w:r>
        <w:rPr>
          <w:rFonts w:ascii="Times New Roman;Times;Serif" w:hAnsi="Times New Roman;Times;Serif"/>
          <w:b/>
          <w:i w:val="false"/>
          <w:caps w:val="false"/>
          <w:smallCaps w:val="false"/>
          <w:sz w:val="20"/>
        </w:rPr>
        <w:t>Section 8.11(a) </w:t>
      </w:r>
      <w:r>
        <w:rPr>
          <w:rFonts w:ascii="Times New Roman;Times;Serif" w:hAnsi="Times New Roman;Times;Serif"/>
          <w:b w:val="false"/>
          <w:i w:val="false"/>
          <w:caps w:val="false"/>
          <w:smallCaps w:val="false"/>
          <w:sz w:val="20"/>
        </w:rPr>
        <w:t>and (ii)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Lien held by the Administrative Agent for the benefit of the Secured Parties against (i) any Collateral that is disposed of by an Obligor in an Asset Sale permitted by the Loan Documents (including pursuant to a valid waiver or consent), (ii) any property subject to a Lien described in </w:t>
      </w:r>
      <w:r>
        <w:rPr>
          <w:rFonts w:ascii="Times New Roman;Times;Serif" w:hAnsi="Times New Roman;Times;Serif"/>
          <w:b/>
          <w:i w:val="false"/>
          <w:caps w:val="false"/>
          <w:smallCaps w:val="false"/>
          <w:sz w:val="20"/>
        </w:rPr>
        <w:t>Section 9.02(c) </w:t>
      </w:r>
      <w:r>
        <w:rPr>
          <w:rFonts w:ascii="Times New Roman;Times;Serif" w:hAnsi="Times New Roman;Times;Serif"/>
          <w:b w:val="false"/>
          <w:i w:val="false"/>
          <w:caps w:val="false"/>
          <w:smallCaps w:val="false"/>
          <w:sz w:val="20"/>
        </w:rPr>
        <w:t>and (iii) all of the Collateral and all Obligors,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hereby directs the Administrative Agent, and the Administrative Agent hereby agrees, upon receipt of reasonable advance notice from the Borrower, to execute and deliver or file such documents and to perform other actions reasonably necessary to release the guarantees and Liens when and as directed in this </w:t>
      </w:r>
      <w:r>
        <w:rPr>
          <w:rFonts w:ascii="Times New Roman;Times;Serif" w:hAnsi="Times New Roman;Times;Serif"/>
          <w:b/>
          <w:i w:val="false"/>
          <w:caps w:val="false"/>
          <w:smallCaps w:val="false"/>
          <w:sz w:val="20"/>
        </w:rPr>
        <w:t>Section 12.10</w:t>
      </w:r>
      <w:r>
        <w:rPr>
          <w:rFonts w:ascii="Times New Roman;Times;Serif" w:hAnsi="Times New Roman;Times;Serif"/>
          <w:b w:val="false"/>
          <w:i w:val="false"/>
          <w:caps w:val="false"/>
          <w:smallCaps w:val="false"/>
          <w:sz w:val="20"/>
        </w:rPr>
        <w:t xml:space="preserve"> and deliver to the Borrower, at the expense of the Borrower, any portion of such Collateral so released pursuant to this </w:t>
      </w:r>
      <w:r>
        <w:rPr>
          <w:rFonts w:ascii="Times New Roman;Times;Serif" w:hAnsi="Times New Roman;Times;Serif"/>
          <w:b/>
          <w:i w:val="false"/>
          <w:caps w:val="false"/>
          <w:smallCaps w:val="false"/>
          <w:sz w:val="20"/>
        </w:rPr>
        <w:t xml:space="preserve">Section 12.10 </w:t>
      </w:r>
      <w:r>
        <w:rPr>
          <w:rFonts w:ascii="Times New Roman;Times;Serif" w:hAnsi="Times New Roman;Times;Serif"/>
          <w:b w:val="false"/>
          <w:i w:val="false"/>
          <w:caps w:val="false"/>
          <w:smallCaps w:val="false"/>
          <w:sz w:val="20"/>
        </w:rPr>
        <w:t>that is in possession of the Administrative Agent. In addition, in connection with any Permitted Licenses, each Lender hereby authorizes Administrative Agent to, and at the request of the Borrower, the Administrative Agent shall, negotiate and enter into a non-disturbance agreement and other similar agreements in form and substance reasonably satisfactory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Secured Parties</w:t>
      </w:r>
      <w:r>
        <w:rPr>
          <w:rFonts w:ascii="Times New Roman;Times;Serif" w:hAnsi="Times New Roman;Times;Serif"/>
          <w:b w:val="false"/>
          <w:i w:val="false"/>
          <w:caps w:val="false"/>
          <w:smallCaps w:val="false"/>
          <w:sz w:val="20"/>
        </w:rPr>
        <w:t xml:space="preserve">. The benefit of the provisions of the Loan Documents directly relating to the Collateral or any Lien granted thereunder shall extend to and be available to any Secured Party that is not a Lender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Times New Roman;Times;Serif" w:hAnsi="Times New Roman;Times;Serif"/>
          <w:b/>
          <w:i w:val="false"/>
          <w:caps w:val="false"/>
          <w:smallCaps w:val="false"/>
          <w:sz w:val="20"/>
        </w:rPr>
        <w:t>Section 12</w:t>
      </w:r>
      <w:r>
        <w:rPr>
          <w:rFonts w:ascii="Times New Roman;Times;Serif" w:hAnsi="Times New Roman;Times;Serif"/>
          <w:b w:val="false"/>
          <w:i w:val="false"/>
          <w:caps w:val="false"/>
          <w:smallCaps w:val="false"/>
          <w:sz w:val="20"/>
        </w:rPr>
        <w:t xml:space="preserve"> and the decisions and actions of the Administrative Agent and the Majority Lenders (or, where expressly required by the terms of this Agreement, a greater proportion of the Lenders) to the same extent a Lender is bound;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(i) such Secured Party shall be bound by </w:t>
      </w:r>
      <w:r>
        <w:rPr>
          <w:rFonts w:ascii="Times New Roman;Times;Serif" w:hAnsi="Times New Roman;Times;Serif"/>
          <w:b/>
          <w:i w:val="false"/>
          <w:caps w:val="false"/>
          <w:smallCaps w:val="false"/>
          <w:sz w:val="20"/>
        </w:rPr>
        <w:t>Section 12.08</w:t>
      </w:r>
      <w:r>
        <w:rPr>
          <w:rFonts w:ascii="Times New Roman;Times;Serif" w:hAnsi="Times New Roman;Times;Serif"/>
          <w:b w:val="false"/>
          <w:i w:val="false"/>
          <w:caps w:val="false"/>
          <w:smallCaps w:val="false"/>
          <w:sz w:val="20"/>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 Rata Share or similar concept, (ii) each of the Administrative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Agent May File Proofs of Claim</w:t>
      </w:r>
      <w:r>
        <w:rPr>
          <w:rFonts w:ascii="Times New Roman;Times;Serif" w:hAnsi="Times New Roman;Times;Serif"/>
          <w:b w:val="false"/>
          <w:i w:val="false"/>
          <w:caps w:val="false"/>
          <w:smallCaps w:val="false"/>
          <w:sz w:val="20"/>
        </w:rPr>
        <w:t>. In case of the pendency of any Insolvency Proceeding or any other judicial proceeding relating to any Obligor, the Administrative Agent (irrespective of whether the principal of any Loan shall then be due and payable as herein expressed or by declaration or otherwise and irrespective of whether the Administrative Agent shall have made any demand on the Borrower or any other Obligor) shall be entitled and empowered (but not obligated) by intervention or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14.03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Acknowledgements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Lender, or any Person who has received funds on behalf of a Lender (any such Lender or other recipient, a “</w:t>
      </w:r>
      <w:r>
        <w:rPr>
          <w:rFonts w:ascii="Times New Roman;Times;Serif" w:hAnsi="Times New Roman;Times;Serif"/>
          <w:b/>
          <w:i/>
          <w:caps w:val="false"/>
          <w:smallCaps w:val="false"/>
          <w:sz w:val="20"/>
        </w:rPr>
        <w:t>Payment Recipient</w:t>
      </w:r>
      <w:r>
        <w:rPr>
          <w:rFonts w:ascii="Times New Roman;Times;Serif" w:hAnsi="Times New Roman;Times;Serif"/>
          <w:b w:val="false"/>
          <w:i w:val="false"/>
          <w:caps w:val="false"/>
          <w:smallCaps w:val="false"/>
          <w:sz w:val="20"/>
        </w:rPr>
        <w:t xml:space="preserve">”), that the Administrative Agent has determined in its reasonable discretion (whether or not after receipt of any notice under immediately succeeding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b/>
          <w:i/>
          <w:caps w:val="false"/>
          <w:smallCaps w:val="false"/>
          <w:sz w:val="20"/>
        </w:rPr>
        <w:t>Erroneous Payment</w:t>
      </w:r>
      <w:r>
        <w:rPr>
          <w:rFonts w:ascii="Times New Roman;Times;Serif" w:hAnsi="Times New Roman;Times;Serif"/>
          <w:b w:val="false"/>
          <w:i w:val="false"/>
          <w:caps w:val="false"/>
          <w:smallCaps w:val="false"/>
          <w:sz w:val="20"/>
        </w:rPr>
        <w:t xml:space="preserve">”) and demands the return of such Erroneous Payment (or a portion thereof), such Erroneous Payment shall at all times remain the property of the Administrative Agent, and such Lender shall (or, with respect to any Payment Recipient who received such funds on its behalf, shall cause such Payment Recipient to) promptly, but in no event later than five Qatari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shall be conclusive, absent manifest error. Notwithstanding the foregoing, without limiting any other rights or remedies (whether at law or in equity), the Administrative Agent may not make any demand under this clause (a) with respect to an Erroneous Payment unless such demand is made within 5 Business Days of the date of receipt of such Erroneous Payment by the applicable Payment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immediately preceding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in each case: (i) (A) in the case of immediately preceding </w:t>
      </w:r>
      <w:r>
        <w:rPr>
          <w:rFonts w:ascii="Times New Roman;Times;Serif" w:hAnsi="Times New Roman;Times;Serif"/>
          <w:b/>
          <w:i w:val="false"/>
          <w:caps w:val="false"/>
          <w:smallCaps w:val="false"/>
          <w:sz w:val="20"/>
        </w:rPr>
        <w:t>clauses (x) or (y)</w:t>
      </w:r>
      <w:r>
        <w:rPr>
          <w:rFonts w:ascii="Times New Roman;Times;Serif" w:hAnsi="Times New Roman;Times;Serif"/>
          <w:b w:val="false"/>
          <w:i w:val="false"/>
          <w:caps w:val="false"/>
          <w:smallCaps w:val="false"/>
          <w:sz w:val="20"/>
        </w:rPr>
        <w:t xml:space="preserve">, an error shall be presumed to have been made (absent written confirmation from the Administrative Agent to the contrary) or (B) an error has been made (in the case of immediately preceding </w:t>
      </w:r>
      <w:r>
        <w:rPr>
          <w:rFonts w:ascii="Times New Roman;Times;Serif" w:hAnsi="Times New Roman;Times;Serif"/>
          <w:b/>
          <w:i w:val="false"/>
          <w:caps w:val="false"/>
          <w:smallCaps w:val="false"/>
          <w:sz w:val="20"/>
        </w:rPr>
        <w:t>clause (z)</w:t>
      </w:r>
      <w:r>
        <w:rPr>
          <w:rFonts w:ascii="Times New Roman;Times;Serif" w:hAnsi="Times New Roman;Times;Serif"/>
          <w:b w:val="false"/>
          <w:i w:val="false"/>
          <w:caps w:val="false"/>
          <w:smallCaps w:val="false"/>
          <w:sz w:val="20"/>
        </w:rPr>
        <w:t xml:space="preserve">), in each case, with respect to such payment, prepayment or repayment; and (ii) such Lender shall (and shall cause any other recipient that receives funds on its respective behalf to) promptly (and, in all events, within one Business Day of its knowledge of such error) use commercially reasonable efforts to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b/>
          <w:i w:val="false"/>
          <w:caps w:val="false"/>
          <w:smallCaps w:val="false"/>
          <w:sz w:val="20"/>
        </w:rPr>
        <w:t>Section 12.13(b)(ii)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or under the indemnification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an Erroneous Payment (or portion thereof) is not recovered by the Administrative Agent for any reason, after demand therefor by the Administrative Agent in accordance with immediately preceding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b/>
          <w:i/>
          <w:caps w:val="false"/>
          <w:smallCaps w:val="false"/>
          <w:sz w:val="20"/>
        </w:rPr>
        <w:t>Erroneous Payment Return Deficiency</w:t>
      </w:r>
      <w:r>
        <w:rPr>
          <w:rFonts w:ascii="Times New Roman;Times;Serif" w:hAnsi="Times New Roman;Times;Serif"/>
          <w:b w:val="false"/>
          <w:i w:val="false"/>
          <w:caps w:val="false"/>
          <w:smallCaps w:val="false"/>
          <w:sz w:val="20"/>
        </w:rPr>
        <w:t>”), upon the Administrative Agent’s notice to such Lender at any time, (i) such Lender shall be deemed to have assigned its Loans (but not its Commitments) with respect to which such Erroneous Payment was made (the “</w:t>
      </w:r>
      <w:r>
        <w:rPr>
          <w:rFonts w:ascii="Times New Roman;Times;Serif" w:hAnsi="Times New Roman;Times;Serif"/>
          <w:b/>
          <w:i/>
          <w:caps w:val="false"/>
          <w:smallCaps w:val="false"/>
          <w:sz w:val="20"/>
        </w:rPr>
        <w:t>Erroneous Payment Impacted Loans</w:t>
      </w:r>
      <w:r>
        <w:rPr>
          <w:rFonts w:ascii="Times New Roman;Times;Serif" w:hAnsi="Times New Roman;Times;Serif"/>
          <w:b w:val="false"/>
          <w:i w:val="false"/>
          <w:caps w:val="false"/>
          <w:smallCaps w:val="false"/>
          <w:sz w:val="20"/>
        </w:rPr>
        <w:t>”) in an amount equal to the Erroneous Payment Return Deficiency (or such lesser amount as the Administrative Agent may specify) (such assignment of the Loans (but not Commitments) of the Erroneous Payment Impacted Loans, the “</w:t>
      </w:r>
      <w:r>
        <w:rPr>
          <w:rFonts w:ascii="Times New Roman;Times;Serif" w:hAnsi="Times New Roman;Times;Serif"/>
          <w:b/>
          <w:i/>
          <w:caps w:val="false"/>
          <w:smallCaps w:val="false"/>
          <w:sz w:val="20"/>
        </w:rPr>
        <w:t>Erroneous Payment Deficiency Assignment</w:t>
      </w:r>
      <w:r>
        <w:rPr>
          <w:rFonts w:ascii="Times New Roman;Times;Serif" w:hAnsi="Times New Roman;Times;Serif"/>
          <w:b w:val="false"/>
          <w:i w:val="false"/>
          <w:caps w:val="false"/>
          <w:smallCaps w:val="false"/>
          <w:sz w:val="20"/>
        </w:rPr>
        <w: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hereto agree that an Erroneous Payment shall not pay, prepay, repay, discharge or otherwise satisfy any Obligations owed by the Borrower or any other Obligor, except, in each case, to the extent such Erroneous Payment is, and solely with respect to the amount of such Erroneous Payment that is, comprised of funds received by the Administrative Agent from the Borrower or any other Obligor for the purpose of making such Erroneous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party’s obligations, agreements and waivers under this </w:t>
      </w:r>
      <w:r>
        <w:rPr>
          <w:rFonts w:ascii="Times New Roman;Times;Serif" w:hAnsi="Times New Roman;Times;Serif"/>
          <w:b/>
          <w:i w:val="false"/>
          <w:caps w:val="false"/>
          <w:smallCaps w:val="false"/>
          <w:sz w:val="20"/>
        </w:rPr>
        <w:t>Section 12.13</w:t>
      </w:r>
      <w:r>
        <w:rPr>
          <w:rFonts w:ascii="Times New Roman;Times;Serif" w:hAnsi="Times New Roman;Times;Serif"/>
          <w:b w:val="false"/>
          <w:i w:val="false"/>
          <w:caps w:val="false"/>
          <w:smallCaps w:val="false"/>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13.</w:t>
      </w:r>
      <w:r>
        <w:rPr>
          <w:rFonts w:ascii="Times New Roman;Times;Serif" w:hAnsi="Times New Roman;Times;Serif"/>
          <w:b/>
          <w:i w:val="false"/>
          <w:caps w:val="false"/>
          <w:smallCaps w:val="false"/>
          <w:sz w:val="20"/>
        </w:rPr>
        <w:br/>
        <w:t>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The Guaranty</w:t>
      </w:r>
      <w:r>
        <w:rPr>
          <w:rFonts w:ascii="Times New Roman;Times;Serif" w:hAnsi="Times New Roman;Times;Serif"/>
          <w:b w:val="false"/>
          <w:i w:val="false"/>
          <w:caps w:val="false"/>
          <w:smallCaps w:val="false"/>
          <w:sz w:val="20"/>
        </w:rPr>
        <w:t>. The Subsidiary Guarantors hereby unconditionally jointly and severally guarantee to the Administrative Agent and the Lenders, and their successors and assigns, the full and punctual payment in full or performance (whether at stated maturity, by acceleration or otherwise) of the Obligations, including (i) principal of and interest on the Loans, (ii) all fees and other amounts and Obligations from time to time owing to the Administrative Agent and the Lenders by the Borrower and each other Obligor under this Agreement or under any other Loan Document, in each case strictly in accordance with the terms hereof and thereof and (iii) the punctual and faithful performance, keeping, observance and fulfillment by the Borrower and Subsidiary Guarantors of all the agreements, conditions, covenants and obligations of the Borrower and Subsidiary Guarantors contained in the Loan Documents (such obligations being herein collectively called the “</w:t>
      </w:r>
      <w:r>
        <w:rPr>
          <w:rFonts w:ascii="Times New Roman;Times;Serif" w:hAnsi="Times New Roman;Times;Serif"/>
          <w:b/>
          <w:i/>
          <w:caps w:val="false"/>
          <w:smallCaps w:val="false"/>
          <w:sz w:val="20"/>
        </w:rPr>
        <w:t>Guaranteed Obligations</w:t>
      </w:r>
      <w:r>
        <w:rPr>
          <w:rFonts w:ascii="Times New Roman;Times;Serif" w:hAnsi="Times New Roman;Times;Serif"/>
          <w:b w:val="false"/>
          <w:i w:val="false"/>
          <w:caps w:val="false"/>
          <w:smallCaps w:val="false"/>
          <w:sz w:val="20"/>
        </w:rPr>
        <w:t>”). The Subsidiary Guarantors hereby further jointly and severally agree that if the Borrower or any other Obligor shall fail to pay any amount in full when due or perform any such obligation (whether at stated maturity, by acceleration or otherwise), the Subsidiary Guarantors will promptly pay the same or perform such obligation at the place and in the manner specified herein or in the relevant Loan Document, as the case may be, without any demand or notice whatsoever, and that in the case of any extension of time of payment or performance or renewal of any of the Guaranteed Obligations, the same will be promptly paid in full or performed when due (whether at extended maturity, by acceleration or otherwise) in accordance with the terms of such extension or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Obligations Unconditional</w:t>
      </w:r>
      <w:r>
        <w:rPr>
          <w:rFonts w:ascii="Times New Roman;Times;Serif" w:hAnsi="Times New Roman;Times;Serif"/>
          <w:b w:val="false"/>
          <w:i w:val="false"/>
          <w:caps w:val="false"/>
          <w:smallCaps w:val="false"/>
          <w:sz w:val="20"/>
        </w:rPr>
        <w:t xml:space="preserve">. The obligations of the Subsidiary Guarantors under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 xml:space="preserve"> shall constitute a guaranty of payment and performance and not of collection and are absolute and unconditional, joint and several, irrespective of the value, genuineness, validity, regularity or enforceability of the Guaranteed Obligations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w:t>
      </w:r>
      <w:r>
        <w:rPr>
          <w:rFonts w:ascii="Times New Roman;Times;Serif" w:hAnsi="Times New Roman;Times;Serif"/>
          <w:b/>
          <w:i w:val="false"/>
          <w:caps w:val="false"/>
          <w:smallCaps w:val="false"/>
          <w:sz w:val="20"/>
        </w:rPr>
        <w:t>Section 13.02</w:t>
      </w:r>
      <w:r>
        <w:rPr>
          <w:rFonts w:ascii="Times New Roman;Times;Serif" w:hAnsi="Times New Roman;Times;Serif"/>
          <w:b w:val="false"/>
          <w:i w:val="false"/>
          <w:caps w:val="false"/>
          <w:smallCaps w:val="false"/>
          <w:sz w:val="20"/>
        </w:rPr>
        <w:t xml:space="preserve"> that the obligations of the Subsidiary Guarantors hereunder shall be absolute and unconditional, joint and several, under any and all circumstances. Without limiting the generality of the foregoing, it is agreed that the occurrence of any one or more of the following shall not alter or impair the liability of the Subsidiary Guarantors hereunder, which shall remain absolute and unconditional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or from time to time, without notice to the Subsidiary Guarantors, the time for any performance of or compliance with any of the Guaranteed Obligations shall be extended, or such performance or compliance shall be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of the acts mentioned in any of the provisions of this Agreement or any other agreement or instrument referred to herein shall be done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maturity of any of the Guaranteed Obligations shall be accelerated, or any of the Guaranteed Obligations shall be extended,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lien or security interest granted to, or in favor of, the Secured Parties as security for any of the Guaranteed Obligations shall fail to be perfected or preserved;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modification or amendment of or supplement to this Agreement or any other Loan Document, including any such amendment which may increase the amount of, or the interest rates applicable to, any of the Guaranteed Obligations guaranteed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change in the corporate, partnership, limited liability company or other existence, structure or ownership of the Borrower, any Subsidiary Guarantor or any other guarantor of any of the Guaranteed Obligations, or any Insolvency Proceeding or other similar proceeding affecting the Borrower, any Subsidiary Guarantor or any other guarantor of the Guaranteed Obligations, or any of their respective assets, or any resulting release or discharge of any obligation of the Borrower, any Subsidiary Guarantor or any other guarantor of any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existence of any claim, setoff or other rights which any Subsidiary Guarantor may have at any time against the Borrower, any other Subsidiary Guarantor or any other guarantor of any of the Guaranteed Obligations, the Administrative Agent, any Secured Party or any other Person, whether in connection herewith or in connection with any unrelated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 other provisions in this Guaranty, nothing in this Guaranty shall prevent the assertion of any such claim by separate suit or compulsory counterclaim;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unenforceability or invalidity of the Guaranteed Obligations or any part thereof or the lack of genuineness, enforceability or validity of any agreement relating thereto or with respect to the collateral, if any, securing the Guaranteed Obligations or any part thereof, or any other invalidity or unenforceability relating to or against the Borrower, any Subsidiary Guarantor or any other guarantor of any of the Guaranteed Obligations, for any reason, related to this Agreement or any other Loan Document, or any provision of applicable Law, decree, order or regulation of any jurisdiction purporting to prohibit the payment of any of the Guaranteed Obligations by the Borrower, any Subsidiary Guarantor or any other guarantor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disallowance, under any state or federal bankruptcy, insolvency or similar law, of all or any portion of the claims of the Secured Parties or the Administrative Agent for repayment of all or any part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failure of any other guarantor to sign or become party to this Agreement or any amendment, change, or reaffirmation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other act or omission to act or delay of any kind by the Borrower, such Guarantor, any other guarantor of the Guaranteed Obligations, the Administrative Agent, any Secured Party or any other Person or any other circumstance whatsoever which might, but for the provisions of this </w:t>
      </w:r>
      <w:r>
        <w:rPr>
          <w:rFonts w:ascii="Times New Roman;Times;Serif" w:hAnsi="Times New Roman;Times;Serif"/>
          <w:b/>
          <w:i w:val="false"/>
          <w:caps w:val="false"/>
          <w:smallCaps w:val="false"/>
          <w:sz w:val="20"/>
        </w:rPr>
        <w:t>Section 13.02</w:t>
      </w:r>
      <w:r>
        <w:rPr>
          <w:rFonts w:ascii="Times New Roman;Times;Serif" w:hAnsi="Times New Roman;Times;Serif"/>
          <w:b w:val="false"/>
          <w:i w:val="false"/>
          <w:caps w:val="false"/>
          <w:smallCaps w:val="false"/>
          <w:sz w:val="20"/>
        </w:rPr>
        <w:t xml:space="preserve"> constitute a legal or equitable discharge of any Guarantor’s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Guarantors hereby expressly waive diligence, presentment, demand of payment, protest and all notices whatsoever, and any requirement that the Administrative Agent or any Lender exhaust any right, power or remedy or proceed against the Borrower or any other Subsidiary Guarantor under this Agreement or any other agreement or instrument referred to herein, or against any other Person under any other guarantee of, or security for, any of the Guaranteed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Discharge Only Upon Payment in Full</w:t>
      </w:r>
      <w:r>
        <w:rPr>
          <w:rFonts w:ascii="Times New Roman;Times;Serif" w:hAnsi="Times New Roman;Times;Serif"/>
          <w:b w:val="false"/>
          <w:i w:val="false"/>
          <w:caps w:val="false"/>
          <w:smallCaps w:val="false"/>
          <w:sz w:val="20"/>
        </w:rPr>
        <w:t>. Subject to any prior release herefrom of any Subsidiary Guarantor by the Administrative Agent in accordance with (and pursuant to authority granted to the Administrative Agent under) the terms of this Agreement, each Subsidiary Guarantor’s obligations hereunder shall remain in full force and effect until all of the Guaranteed Obligations shall have been indefeasibly paid in full in cash (other than inchoate indemnification and expense reimbursement obligations for which no claim has been made) and all other financing arrangements among the Borrower or any Subsidiary Guarantor and the Secured Parties under or in connection with this Agreement and each other Loan Document shall have terminated (herein, the “</w:t>
      </w:r>
      <w:r>
        <w:rPr>
          <w:rFonts w:ascii="Times New Roman;Times;Serif" w:hAnsi="Times New Roman;Times;Serif"/>
          <w:b/>
          <w:i/>
          <w:caps w:val="false"/>
          <w:smallCaps w:val="false"/>
          <w:sz w:val="20"/>
        </w:rPr>
        <w:t>Termination Conditions</w:t>
      </w:r>
      <w:r>
        <w:rPr>
          <w:rFonts w:ascii="Times New Roman;Times;Serif" w:hAnsi="Times New Roman;Times;Serif"/>
          <w:b w:val="false"/>
          <w:i w:val="false"/>
          <w:caps w:val="false"/>
          <w:smallCaps w:val="false"/>
          <w:sz w:val="20"/>
        </w:rPr>
        <w:t xml:space="preserve">”), and until the prior and complete satisfaction of the Termination Conditions all of the rights and remedies under this Guaranty and the other Loan Documents shall survive. Notwithstanding the foregoing, the Administrative Agent hereby agrees to release any Subsidiary of the Borrower from its guaranty of any Obligation of any Obligor 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guarantee any Obligations pursuant to </w:t>
      </w:r>
      <w:r>
        <w:rPr>
          <w:rFonts w:ascii="Times New Roman;Times;Serif" w:hAnsi="Times New Roman;Times;Serif"/>
          <w:b/>
          <w:i w:val="false"/>
          <w:caps w:val="false"/>
          <w:smallCaps w:val="false"/>
          <w:sz w:val="20"/>
        </w:rPr>
        <w:t>Section 8.11(a)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Additional Waivers; General Waivers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Additional Waivers. </w:t>
      </w:r>
      <w:r>
        <w:rPr>
          <w:rFonts w:ascii="Times New Roman;Times;Serif" w:hAnsi="Times New Roman;Times;Serif"/>
          <w:b w:val="false"/>
          <w:i w:val="false"/>
          <w:caps w:val="false"/>
          <w:smallCaps w:val="false"/>
          <w:sz w:val="20"/>
        </w:rPr>
        <w:t>Notwithstanding anything herein to the contrary, each of the Subsidiary Guarantors hereby absolutely, unconditionally, knowingly, and expressly waives: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right it may have to revoke this Guaranty as to future indebtedness or notice of acceptance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notice of acceptance hereof; (B) notice of any other financial accommodations made or maintained under the Loan Documents or the creation or existence of any Guaranteed Obligations; (C) notice of the amount of the Guaranteed Obligations, subject, however, to each Subsidiary Guarantor’s right to make inquiry of the Administrative Agent and the Secured Parties to ascertain the amount of the Guaranteed Obligations at any reasonable time; (D) notice of any adverse change in the financial condition of the Borrower or of any other fact that might increase such Subsidiary Guarantor’s risk hereunder; (E) notice of presentment for payment, demand, protest, and notice thereof as to any instruments among the Loan Documents; (F) notice of any Event of Default; and (G) all other notices (except if such notice is specifically required to be given to such Subsidiary Guarantor under this Guaranty or under the other Loan Documents) and demands to which each Subsidiary Guarantor might otherwise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its right, if any, to require the Administrative Agent and the Secured Parties to institute suit against, or to exhaust any rights and remedies which the Administrative Agent and the Secured Parties now have or may hereafter have against, any other guarantor of the Guaranteed Obligations or any third party, or against any collateral provided by such other guarantors or any third party; and each Subsidiary Guarantor further waives any defense arising by reason of any disability or other defense (other than the defense that the Guaranteed Obligations shall have been fully and finally performed and indefeasibly paid) of any other guarantor of the Guaranteed Obligations or by reason of the cessation from any cause whatsoever of the liability of any other guarantor of the Guaranteed Obligations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any rights to assert against the Administrative Agent and the Secured Parties any defense (legal or equitable), set-off, counterclaim, or claim which such Subsidiary Guarantor may now or at any time hereafter have against any other guarantor of the Guaranteed Obligations or any third party liable to the Administrative Agent and the Secured Parties; (B) any defense, set-off, counterclaim or claim, of any kind or nature, arising directly or indirectly from the present or future lack of perfection, sufficiency, validity or enforceability of the Guaranteed Obligations or any security therefor; (C) any defense such Subsidiary Guarantor has to performance hereunder, and any right such Subsidiary Guarantor has to be exonerated, arising by reason of: (1) the impairment or suspension of the Administrative Agent’s and the Secured Parties’ rights or remedies against any other guarantor of the Guaranteed Obligations; (2) the alteration by the Administrative Agent and the Secured Parties of the Guaranteed Obligations; (3) any discharge of the obligations of any other guarantor of the Guaranteed Obligations to the Administrative Agent and the Secured Parties by operation of law as a result of the Administrative Agent’s and the Secured Parties’ intervention or omission; or (4) the acceptance by the Administrative Agent and the Secured Parties of anything in partial satisfaction of the Guaranteed Obligations; and (D) the benefit of any statute of limitations affecting such Subsidiary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Subsidiary Guarantor’s liability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defense arising by reason of or deriving from (A) any claim or defense based upon an election of remedies by the Administrative Agent and the other Secured Parties; or (B) any election by the Administrative Agent and the other Secured Parties under any provision of any state or federal bankruptcy, insolvency or similar law to limit the amount of, or any collateral securing, its claim against the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General Waivers</w:t>
      </w:r>
      <w:r>
        <w:rPr>
          <w:rFonts w:ascii="Times New Roman;Times;Serif" w:hAnsi="Times New Roman;Times;Serif"/>
          <w:b w:val="false"/>
          <w:i w:val="false"/>
          <w:caps w:val="false"/>
          <w:smallCaps w:val="false"/>
          <w:sz w:val="20"/>
        </w:rPr>
        <w:t>. Each Subsidiary Guarantor irrevocably waives, to the fullest extent permitted by law, any notice not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Reinstatement</w:t>
      </w:r>
      <w:r>
        <w:rPr>
          <w:rFonts w:ascii="Times New Roman;Times;Serif" w:hAnsi="Times New Roman;Times;Serif"/>
          <w:b w:val="false"/>
          <w:i w:val="false"/>
          <w:caps w:val="false"/>
          <w:smallCaps w:val="false"/>
          <w:sz w:val="20"/>
        </w:rPr>
        <w:t xml:space="preserve">. The obligations of the Subsidiary Guarantors under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shall be automatically reinstated if and to the extent that for any reason any payment by or on behalf of the Borrower in respect of the Guaranteed Obligations is at any time rescinded, annulled, avoided, set aside, invalidated, declared to be fraudulent or must be otherwise restored or repaid by any holder of any of the Guaranteed Obligations, whether as a result of any proceedings in bankruptcy or reorganization, equitable cause or otherwise, and the Subsidiary Guarantors jointly and severally agree that they will indemnify the Secured Parties on demand for all reasonable costs and expenses (including fees of counsel) incurred by such Persons in connection with such rescission, repayment or restoration, including any such costs and expenses incurred in defending against any claim alleging that such payment constituted a preference, fraudulent transfer or similar payment under any state or federal bankruptcy, insolvency or similar law. The provisions of this </w:t>
      </w:r>
      <w:r>
        <w:rPr>
          <w:rFonts w:ascii="Times New Roman;Times;Serif" w:hAnsi="Times New Roman;Times;Serif"/>
          <w:b/>
          <w:i w:val="false"/>
          <w:caps w:val="false"/>
          <w:smallCaps w:val="false"/>
          <w:sz w:val="20"/>
        </w:rPr>
        <w:t>Section 13.05</w:t>
      </w:r>
      <w:r>
        <w:rPr>
          <w:rFonts w:ascii="Times New Roman;Times;Serif" w:hAnsi="Times New Roman;Times;Serif"/>
          <w:b w:val="false"/>
          <w:i w:val="false"/>
          <w:caps w:val="false"/>
          <w:smallCaps w:val="false"/>
          <w:sz w:val="20"/>
        </w:rPr>
        <w:t xml:space="preserve"> shall survive termination of this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Subrogation</w:t>
      </w:r>
      <w:r>
        <w:rPr>
          <w:rFonts w:ascii="Times New Roman;Times;Serif" w:hAnsi="Times New Roman;Times;Serif"/>
          <w:b w:val="false"/>
          <w:i w:val="false"/>
          <w:caps w:val="false"/>
          <w:smallCaps w:val="false"/>
          <w:sz w:val="20"/>
        </w:rPr>
        <w:t xml:space="preserve">. The Subsidiary Guarantors hereby jointly and severally agree that, until the prior and complete satisfaction of all Termination Conditions, they (i) shall have no right of subrogation with respect to the Guaranteed Obligations and (ii) waive any right to enforce any remedy which the Secured Parties or the Administrative Agent now have or may hereafter have against the Borrower, any endorser or any other guarantor of all or any part of the Guaranteed Obligations or any other Person, and each Subsidiary Guarantor waives any benefit of, and any right to participate in, any security or collateral that may from time to time be given to the Secured Parties and the Administrative Agent to secure the payment or performance of all or any part of the Guaranteed Obligations or any other liability of the Borrower to the Secured Parties. Should any Subsidiary Guarantor have the right, notwithstanding the foregoing, to exercise its subrogation rights prior to complete satisfaction of the Termination Conditions, each Subsidiary Guarantor hereby expressly and irrevocably (A) subordinates any and all rights at law or in equity to subrogation, reimbursement, exoneration, contribution, indemnification or set-off that such Subsidiary Guarantor may have prior to the complete satisfaction of the Termination Conditions, and (B) waives any and all defenses available to a surety, guarantor or accommodation co-obligor until all Termination Conditions are satisfied in full. Each Subsidiary Guarantor acknowledges and agrees that this subordination is intended to benefit the Administrative Agent and the Secured Parties and shall not limit or otherwise affect such Subsidiary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Times New Roman;Times;Serif" w:hAnsi="Times New Roman;Times;Serif"/>
          <w:b/>
          <w:i w:val="false"/>
          <w:caps w:val="false"/>
          <w:smallCaps w:val="false"/>
          <w:sz w:val="20"/>
        </w:rPr>
        <w:t>Section 13.06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 xml:space="preserve">. The Subsidiary Guarantors jointly and severally agree that, as between the Subsidiary Guarantors, on one hand, and the Administrative Agent and the Lenders, on the other hand, the obligations of the Borrower under this Agreement and under the other Loan Documents may be declared to be forthwith due and payable as provided in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(and shall be deemed to have become automatically due and payable in the circumstances provided in </w:t>
      </w:r>
      <w:r>
        <w:rPr>
          <w:rFonts w:ascii="Times New Roman;Times;Serif" w:hAnsi="Times New Roman;Times;Serif"/>
          <w:b/>
          <w:i w:val="false"/>
          <w:caps w:val="false"/>
          <w:smallCaps w:val="false"/>
          <w:sz w:val="20"/>
        </w:rPr>
        <w:t>Section 11</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notwithstanding any stay, injunction or other prohibition, including any such stay upon an Insolvency Proceeding,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Subsidiary Guarantors for purposes of </w:t>
      </w:r>
      <w:r>
        <w:rPr>
          <w:rFonts w:ascii="Times New Roman;Times;Serif" w:hAnsi="Times New Roman;Times;Serif"/>
          <w:b/>
          <w:i w:val="false"/>
          <w:caps w:val="false"/>
          <w:smallCaps w:val="false"/>
          <w:sz w:val="20"/>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Instrument for the Payment of Money</w:t>
      </w:r>
      <w:r>
        <w:rPr>
          <w:rFonts w:ascii="Times New Roman;Times;Serif" w:hAnsi="Times New Roman;Times;Serif"/>
          <w:b w:val="false"/>
          <w:i w:val="false"/>
          <w:caps w:val="false"/>
          <w:smallCaps w:val="false"/>
          <w:sz w:val="20"/>
        </w:rPr>
        <w:t xml:space="preserve">. Each Subsidiary Guarantor hereby acknowledges that the guarantee in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constitutes an instrument for the payment of money, and consents and agrees that the Administrative Agent and the Lenders, at their sole option, in the event of a dispute by such Subsidiary Guarantor in the payment of any moneys due hereunder, shall have the right to proceed by motion for summary judgment in lieu of complaint pursuant to N.Y. Civ. Prac. L&amp;R § 3213.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Continuing Guarantee</w:t>
      </w:r>
      <w:r>
        <w:rPr>
          <w:rFonts w:ascii="Times New Roman;Times;Serif" w:hAnsi="Times New Roman;Times;Serif"/>
          <w:b w:val="false"/>
          <w:i w:val="false"/>
          <w:caps w:val="false"/>
          <w:smallCaps w:val="false"/>
          <w:sz w:val="20"/>
        </w:rPr>
        <w:t xml:space="preserve">. The guarantee in this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is a continuing guarantee, and shall apply to all Guaranteed Obligations whenever arising.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Contribution with Respect to Guaranteed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that any Subsidiary Guarantor shall make a payment under this Guaranty (a “</w:t>
      </w:r>
      <w:r>
        <w:rPr>
          <w:rFonts w:ascii="Times New Roman;Times;Serif" w:hAnsi="Times New Roman;Times;Serif"/>
          <w:b/>
          <w:i/>
          <w:caps w:val="false"/>
          <w:smallCaps w:val="false"/>
          <w:sz w:val="20"/>
        </w:rPr>
        <w:t>Guarantor Payment</w:t>
      </w:r>
      <w:r>
        <w:rPr>
          <w:rFonts w:ascii="Times New Roman;Times;Serif" w:hAnsi="Times New Roman;Times;Serif"/>
          <w:b w:val="false"/>
          <w:i w:val="false"/>
          <w:caps w:val="false"/>
          <w:smallCaps w:val="false"/>
          <w:sz w:val="20"/>
        </w:rPr>
        <w:t xml:space="preserve">”) which, taking into account all other Guarantor Payments then previously or concurrently made by any other Subsidiary Guarantor, exceeds the amount which otherwise would have been paid by or attributable to such Subsidiary Guarantor if each Subsidiary Guarantor had paid the aggregate Guaranteed Obligations satisfied by such Guarantor Payment in the same proportion as such Subsidiary Guarantor’s “Allocable Amount” (as defined below) (as determined immediately prior to such Guarantor Payment) bore to the aggregate Allocable Amounts of each of the Subsidiary Guarantors as determined immediately prior to the making of such Guarantor Payment, </w:t>
      </w:r>
      <w:r>
        <w:rPr>
          <w:rFonts w:ascii="Times New Roman;Times;Serif" w:hAnsi="Times New Roman;Times;Serif"/>
          <w:b w:val="false"/>
          <w:i/>
          <w:caps w:val="false"/>
          <w:smallCaps w:val="false"/>
          <w:sz w:val="20"/>
        </w:rPr>
        <w:t>then</w:t>
      </w:r>
      <w:r>
        <w:rPr>
          <w:rFonts w:ascii="Times New Roman;Times;Serif" w:hAnsi="Times New Roman;Times;Serif"/>
          <w:b w:val="false"/>
          <w:i w:val="false"/>
          <w:caps w:val="false"/>
          <w:smallCaps w:val="false"/>
          <w:sz w:val="20"/>
        </w:rPr>
        <w:t xml:space="preserve">, following the prior and complete satisfaction of the Termination Conditions, such Subsidiary Guarantor shall be entitled to receive contribution and indemnification payments from, and be reimbursed by, each other Subsidiary Guarantor for the amount of such excess,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upon their respective Allocable Amounts in effect immediately prior to such Guarantor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any date of determination, the “</w:t>
      </w:r>
      <w:r>
        <w:rPr>
          <w:rFonts w:ascii="Times New Roman;Times;Serif" w:hAnsi="Times New Roman;Times;Serif"/>
          <w:b/>
          <w:i/>
          <w:caps w:val="false"/>
          <w:smallCaps w:val="false"/>
          <w:sz w:val="20"/>
        </w:rPr>
        <w:t>Allocable Amount</w:t>
      </w:r>
      <w:r>
        <w:rPr>
          <w:rFonts w:ascii="Times New Roman;Times;Serif" w:hAnsi="Times New Roman;Times;Serif"/>
          <w:b w:val="false"/>
          <w:i w:val="false"/>
          <w:caps w:val="false"/>
          <w:smallCaps w:val="false"/>
          <w:sz w:val="20"/>
        </w:rPr>
        <w:t>” of any Subsidiary Guarantor shall be equal to the maximum amount of the claim which could then be recovered from such Subsidiary Guarantor under this Agreement without rendering such claim voidable or avoidable under any state or federal bankruptcy, insolvency or similar law or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w:t>
      </w:r>
      <w:r>
        <w:rPr>
          <w:rFonts w:ascii="Times New Roman;Times;Serif" w:hAnsi="Times New Roman;Times;Serif"/>
          <w:b/>
          <w:i w:val="false"/>
          <w:caps w:val="false"/>
          <w:smallCaps w:val="false"/>
          <w:sz w:val="20"/>
        </w:rPr>
        <w:t>Section 13.10</w:t>
      </w:r>
      <w:r>
        <w:rPr>
          <w:rFonts w:ascii="Times New Roman;Times;Serif" w:hAnsi="Times New Roman;Times;Serif"/>
          <w:b w:val="false"/>
          <w:i w:val="false"/>
          <w:caps w:val="false"/>
          <w:smallCaps w:val="false"/>
          <w:sz w:val="20"/>
        </w:rPr>
        <w:t xml:space="preserve"> is intended only to define the relative rights of the Subsidiary Guarantors, and nothing set forth in this </w:t>
      </w:r>
      <w:r>
        <w:rPr>
          <w:rFonts w:ascii="Times New Roman;Times;Serif" w:hAnsi="Times New Roman;Times;Serif"/>
          <w:b/>
          <w:i w:val="false"/>
          <w:caps w:val="false"/>
          <w:smallCaps w:val="false"/>
          <w:sz w:val="20"/>
        </w:rPr>
        <w:t>Section 13.10</w:t>
      </w:r>
      <w:r>
        <w:rPr>
          <w:rFonts w:ascii="Times New Roman;Times;Serif" w:hAnsi="Times New Roman;Times;Serif"/>
          <w:b w:val="false"/>
          <w:i w:val="false"/>
          <w:caps w:val="false"/>
          <w:smallCaps w:val="false"/>
          <w:sz w:val="20"/>
        </w:rPr>
        <w:t xml:space="preserve"> is intended to or shall impair the obligations of the Subsidiary Guarantors, jointly and severally, to pay any amounts as and when the same shall become due and payable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hereto acknowledge that the rights of contribution and indemnification hereunder shall constitute assets of the Subsidiary Guarantor or Subsidiary Guarantors to which such contribution and indemnification is 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rights of the indemnifying Subsidiary Guarantors against other Subsidiary Guarantors under this </w:t>
      </w:r>
      <w:r>
        <w:rPr>
          <w:rFonts w:ascii="Times New Roman;Times;Serif" w:hAnsi="Times New Roman;Times;Serif"/>
          <w:b/>
          <w:i w:val="false"/>
          <w:caps w:val="false"/>
          <w:smallCaps w:val="false"/>
          <w:sz w:val="20"/>
        </w:rPr>
        <w:t>Section 13.10</w:t>
      </w:r>
      <w:r>
        <w:rPr>
          <w:rFonts w:ascii="Times New Roman;Times;Serif" w:hAnsi="Times New Roman;Times;Serif"/>
          <w:b w:val="false"/>
          <w:i w:val="false"/>
          <w:caps w:val="false"/>
          <w:smallCaps w:val="false"/>
          <w:sz w:val="20"/>
        </w:rPr>
        <w:t xml:space="preserve"> shall be exercisable only upon the prior and complete satisfaction of the Termination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General Limitation on Guarantee Obligations</w:t>
      </w:r>
      <w:r>
        <w:rPr>
          <w:rFonts w:ascii="Times New Roman;Times;Serif" w:hAnsi="Times New Roman;Times;Serif"/>
          <w:b w:val="false"/>
          <w:i w:val="false"/>
          <w:caps w:val="false"/>
          <w:smallCaps w:val="false"/>
          <w:sz w:val="20"/>
        </w:rPr>
        <w:t xml:space="preserve">. In any action or proceeding involving any provincial, territorial or state corporate law, or any state or federal bankruptcy, insolvency, reorganization or other law affecting the rights of creditors generally, if the obligations of any Subsidiary Guarantor under </w:t>
      </w:r>
      <w:r>
        <w:rPr>
          <w:rFonts w:ascii="Times New Roman;Times;Serif" w:hAnsi="Times New Roman;Times;Serif"/>
          <w:b/>
          <w:i w:val="false"/>
          <w:caps w:val="false"/>
          <w:smallCaps w:val="false"/>
          <w:sz w:val="20"/>
        </w:rPr>
        <w:t xml:space="preserve">Section 13.01 </w:t>
      </w:r>
      <w:r>
        <w:rPr>
          <w:rFonts w:ascii="Times New Roman;Times;Serif" w:hAnsi="Times New Roman;Times;Serif"/>
          <w:b w:val="false"/>
          <w:i w:val="false"/>
          <w:caps w:val="false"/>
          <w:smallCaps w:val="false"/>
          <w:sz w:val="20"/>
        </w:rPr>
        <w:t xml:space="preserve">would otherwise be held or determined to be void, invalid or unenforceable, or subordinated to the claims of any other creditors, on account of the amount of its liability under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13.01</w:t>
      </w:r>
      <w:r>
        <w:rPr>
          <w:rFonts w:ascii="Times New Roman;Times;Serif" w:hAnsi="Times New Roman;Times;Serif"/>
          <w:b w:val="false"/>
          <w:i w:val="false"/>
          <w:caps w:val="false"/>
          <w:smallCaps w:val="false"/>
          <w:sz w:val="20"/>
        </w:rPr>
        <w:t>, then, notwithstanding any other provision hereof to the contrary, the amount of such liability shall, without any further action by such Subsidiary Guarantor, the Administrative Agent, any Lender or any other Person, be automatically limited and reduced to the highest amount that is valid and enforceable and not subordinated to the claims of other creditors as determined in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14.</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 Waiver</w:t>
      </w:r>
      <w:r>
        <w:rPr>
          <w:rFonts w:ascii="Times New Roman;Times;Serif" w:hAnsi="Times New Roman;Times;Serif"/>
          <w:b w:val="false"/>
          <w:i w:val="false"/>
          <w:caps w:val="false"/>
          <w:smallCaps w:val="false"/>
          <w:sz w:val="20"/>
        </w:rPr>
        <w:t>. 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notices, requests, instructions, directions and other communications provided for herein (including any modifications of, or waivers, requests or consents under, this Agreement) or in the other Loan Documents shall be given or made in writing (including by telecopy or email) delivered, if to the Borrower, another Obligor, the Administrative Agent or any Lender,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this </w:t>
      </w:r>
      <w:r>
        <w:rPr>
          <w:rFonts w:ascii="Times New Roman;Times;Serif" w:hAnsi="Times New Roman;Times;Serif"/>
          <w:b/>
          <w:i w:val="false"/>
          <w:caps w:val="false"/>
          <w:smallCaps w:val="false"/>
          <w:sz w:val="20"/>
        </w:rPr>
        <w:t xml:space="preserve">Section 14.02 </w:t>
      </w:r>
      <w:r>
        <w:rPr>
          <w:rFonts w:ascii="Times New Roman;Times;Serif" w:hAnsi="Times New Roman;Times;Serif"/>
          <w:b w:val="false"/>
          <w:i w:val="false"/>
          <w:caps w:val="false"/>
          <w:smallCaps w:val="false"/>
          <w:sz w:val="20"/>
        </w:rPr>
        <w:t>to the contrary, any notice, request, instruction, direction or other communication provided for herein and addressed to a QIA Lender (a “</w:t>
      </w:r>
      <w:r>
        <w:rPr>
          <w:rFonts w:ascii="Times New Roman;Times;Serif" w:hAnsi="Times New Roman;Times;Serif"/>
          <w:b w:val="false"/>
          <w:i w:val="false"/>
          <w:caps w:val="false"/>
          <w:smallCaps w:val="false"/>
          <w:sz w:val="20"/>
          <w:u w:val="single"/>
        </w:rPr>
        <w:t>QIA Lender Notice</w:t>
      </w:r>
      <w:r>
        <w:rPr>
          <w:rFonts w:ascii="Times New Roman;Times;Serif" w:hAnsi="Times New Roman;Times;Serif"/>
          <w:b w:val="false"/>
          <w:i w:val="false"/>
          <w:caps w:val="false"/>
          <w:smallCaps w:val="false"/>
          <w:sz w:val="20"/>
        </w:rPr>
        <w:t xml:space="preserve">”) shall be effective only if such QIA Lender Notice is (a) delivered either personally by hand or by an international courier service providing delivery service in Qatar to the address of such QIA Lender set forth in this Agreement under the signature pages hereto and, in each case (b) confirmed by email to such QIA Lender’s email addresses listed under the signature pages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all such email addresses listed under the signature pages hereto for copy are copied and (ii) a “failed delivery” message is not received by the sender from such QIA Lender’s primary email addresses listed under the signature pages hereto. Delivery shall be deemed effective only if completed by 1:30 p.m. on a day in which banks are open for business in Qatar (a “</w:t>
      </w:r>
      <w:r>
        <w:rPr>
          <w:rFonts w:ascii="Times New Roman;Times;Serif" w:hAnsi="Times New Roman;Times;Serif"/>
          <w:b w:val="false"/>
          <w:i w:val="false"/>
          <w:caps w:val="false"/>
          <w:smallCaps w:val="false"/>
          <w:sz w:val="20"/>
          <w:u w:val="single"/>
        </w:rPr>
        <w:t>Qatari Business Day</w:t>
      </w:r>
      <w:r>
        <w:rPr>
          <w:rFonts w:ascii="Times New Roman;Times;Serif" w:hAnsi="Times New Roman;Times;Serif"/>
          <w:b w:val="false"/>
          <w:i w:val="false"/>
          <w:caps w:val="false"/>
          <w:smallCaps w:val="false"/>
          <w:sz w:val="20"/>
        </w:rPr>
        <w:t>”) or on the following Qatari Business Day if completed later.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Expenses, Indemnification,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Each Obligor, jointly and severally, agrees to pay or reimburse (i) the Administrative Agent and the Lenders and their respective Affiliates for all of their reasonable and documented out of pocket costs and expenses (including the fees, expenses, charges and disbursements of Sullivan &amp; Cromwell LLP, counsel to the Lenders, the fees (if necessary) of local and regulatory counsel for both of the Administrative Agent and the Lenders in each relevant material jurisdiction, and any sales, goods and services or other similar Taxes applicable thereto, and reasonable and documented printing, reproduction, document delivery, communication and travel costs) in connection with (x) the negotiation, preparation, execution and delivery of this Agreement and the other Loan Documents and the making of the Loans (exclusive of post-closing costs), (y) post-closing costs (including costs of the administration of this Agreement and the other Loan Documents) and (z) the negotiation or preparation of any modification, supplement or waiver of any of the terms of this Agreement or any of the other Loan Documents (whether or not consummated);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such costs and expenses obligated to be paid by the Obligors for activities prior to the Closing Date, shall not exceed $700,000 (or such greater amount as may be reasonably agreed to by the Borrower), plus the actual cost of any collateral filing and recordation fees and searches and (ii) each of the Administrative Agent and the Lenders for all of their documented out of pocket costs and expenses (including the fees and expenses of any legal counsel) in connection with the enforcement, exercise or protection of their rights in connection with this Agreement and the other Loan Documents, including their rights under this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or in connection with the Loans made hereunder, including such out-of-pocket expenses incurred during any workout, restructuring or negotiations in respect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Each Obligor, jointly and severally, hereby indemnifies the Administrative Agent (and any sub-agent thereof), the Lenders and their respective Affiliates, directors, officers, employees, attorneys, agents, advisors and controlling parties (each, an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xml:space="preserve">”) from and against, and agrees to hold them harmless against, any and all Claims and Losses of any kind including reasonable and documented out of pocket fees and disbursements of any counsel for each Indemnified Party (limited to, at most, two legal counsels in each relevant jurisdiction, one for each of (A) the Oaktree Lenders and (B) the QIA Lenders), that may be incurred by or asserted or awarded against any Indemnified Party, in each case arising out of or in connection with or relating to (i) Agreement or any of the other Loan Documents or the Transactions, (ii) any use made or proposed to be made with the proceeds of the Loans, (iii) any actual or alleged presence or release of Hazardous Materials on or from any property owned or operated by any Obligor or any of its Subsidiaries, or (iv) any actual or prospective claim, investigation, litigation or proceeding relating to any of the foregoing, whether based on contract, tort, or any other theory, whether or not such investigation, litigation or proceeding is brought by any Obligor, any of its Subsidiaries, shareholders or creditors, an Indemnified Party or any other Person, or an Indemnified Party is otherwise a party thereto, and whether or not any of the conditions precedent set forth in </w:t>
      </w:r>
      <w:r>
        <w:rPr>
          <w:rFonts w:ascii="Times New Roman;Times;Serif" w:hAnsi="Times New Roman;Times;Serif"/>
          <w:b/>
          <w:i w:val="false"/>
          <w:caps w:val="false"/>
          <w:smallCaps w:val="false"/>
          <w:sz w:val="20"/>
        </w:rPr>
        <w:t>Section 6</w:t>
      </w:r>
      <w:r>
        <w:rPr>
          <w:rFonts w:ascii="Times New Roman;Times;Serif" w:hAnsi="Times New Roman;Times;Serif"/>
          <w:b w:val="false"/>
          <w:i w:val="false"/>
          <w:caps w:val="false"/>
          <w:smallCaps w:val="false"/>
          <w:sz w:val="20"/>
        </w:rPr>
        <w:t xml:space="preserve"> are satisfied or the other transactions contemplated by this Agreement are consummated, except to the extent such Claim or Loss is found in a final, non-appealable judgment by a court of competent jurisdiction to have resulted from such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Loans. The Borrower, its Subsidiaries and Affiliates and their respective directors, officers, employees, attorneys, agents, advisors and controlling parties are each sometimes referred to in this Agreement as a “</w:t>
      </w:r>
      <w:r>
        <w:rPr>
          <w:rFonts w:ascii="Times New Roman;Times;Serif" w:hAnsi="Times New Roman;Times;Serif"/>
          <w:b/>
          <w:i/>
          <w:caps w:val="false"/>
          <w:smallCaps w:val="false"/>
          <w:sz w:val="20"/>
        </w:rPr>
        <w:t>Borrower Party</w:t>
      </w:r>
      <w:r>
        <w:rPr>
          <w:rFonts w:ascii="Times New Roman;Times;Serif" w:hAnsi="Times New Roman;Times;Serif"/>
          <w:b w:val="false"/>
          <w:i w:val="false"/>
          <w:caps w:val="false"/>
          <w:smallCaps w:val="false"/>
          <w:sz w:val="20"/>
        </w:rPr>
        <w:t xml:space="preserve">”. No Lender shall assert any claim against any Borrower Party, on any theory of liability, for consequential, indirect, special or punitive damages arising out of or otherwise relating to this Agreement or any of the other Loan Documents or any of the Transactions or the actual or proposed use of the proceeds of the Loans. This Section shall not apply to Taxes other than Taxes relating to a non-Tax Claim or Loss governed by this </w:t>
      </w:r>
      <w:r>
        <w:rPr>
          <w:rFonts w:ascii="Times New Roman;Times;Serif" w:hAnsi="Times New Roman;Times;Serif"/>
          <w:b/>
          <w:i w:val="false"/>
          <w:caps w:val="false"/>
          <w:smallCaps w:val="false"/>
          <w:sz w:val="20"/>
        </w:rPr>
        <w:t>Section 14.03(b)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Amendments, Etc.</w:t>
      </w:r>
      <w:r>
        <w:rPr>
          <w:rFonts w:ascii="Times New Roman;Times;Serif" w:hAnsi="Times New Roman;Times;Serif"/>
          <w:b w:val="false"/>
          <w:i w:val="false"/>
          <w:caps w:val="false"/>
          <w:smallCaps w:val="false"/>
          <w:sz w:val="20"/>
        </w:rPr>
        <w:t xml:space="preserve"> Except as otherwise expressly provided in this Agreement, any provision of this Agreement and any other Loan Document (except for the Company Warrants or the 701 Warrants, which may be amended, waived or supplemented in accordance with the terms thereof) may be modified or supplemented only by agreement of the Borrower, the Administrative Agent and the Majority Lenders, which may be evidenced by an instrument in writing signed by such Persons or by email confirmation from such Persons;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such modification or supplement that is disproportionately adverse to any Lender as compared to other Lenders or subjects any Lender to any additional obligation shall not be effective without the consent of such affected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all of the Lenders shall be required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modify, discharge, terminate or waive any of the terms of this Agreement or any other Loan Agreement (including by modifying any defined term used therein or any provision referenced therein) if such amendment, modification, discharge, termination or waiver would increase the amount of the Loans or Commitment, reduce the fees payable hereunder, reduce interest rates or other amounts payable with respect to the Loans, extend any date fixed for payment of principal (it being understood that the waiver of any prepayment of Loans shall not constitute an extension of any date fixed for payment of principal), interest or other amounts payable relating to the Loans, extend the repayment dates of the Loans, modify the Commitments, modify the definition of “Proportionate Share” or extend the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amend, modify, discharge, terminate or waive any Security Document or Guarantee if the effect is to release all or substantially all of the Collateral, or to release all or substantially all of the value of the Guarantee, subject thereto other than pursuant to the terms hereof or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amend this </w:t>
      </w:r>
      <w:r>
        <w:rPr>
          <w:rFonts w:ascii="Times New Roman;Times;Serif" w:hAnsi="Times New Roman;Times;Serif"/>
          <w:b/>
          <w:i w:val="false"/>
          <w:caps w:val="false"/>
          <w:smallCaps w:val="false"/>
          <w:sz w:val="20"/>
        </w:rPr>
        <w:t>Section 14.04</w:t>
      </w:r>
      <w:r>
        <w:rPr>
          <w:rFonts w:ascii="Times New Roman;Times;Serif" w:hAnsi="Times New Roman;Times;Serif"/>
          <w:b w:val="false"/>
          <w:i w:val="false"/>
          <w:caps w:val="false"/>
          <w:smallCaps w:val="false"/>
          <w:sz w:val="20"/>
        </w:rPr>
        <w:t xml:space="preserve"> or the definition of “Majority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xml:space="preserve">. The provisions of this Agreement and the other Loan Documents shall be binding upon and inure to the benefit of the parties hereto or thereto and their respective successors and assigns permitted hereby or thereby, except that no Obligor may assign or otherwise transfer any of its rights or obligations hereunder (except in connection with an event permitted under </w:t>
      </w:r>
      <w:r>
        <w:rPr>
          <w:rFonts w:ascii="Times New Roman;Times;Serif" w:hAnsi="Times New Roman;Times;Serif"/>
          <w:b/>
          <w:i w:val="false"/>
          <w:caps w:val="false"/>
          <w:smallCaps w:val="false"/>
          <w:sz w:val="20"/>
        </w:rPr>
        <w:t>Section 9.03</w:t>
      </w:r>
      <w:r>
        <w:rPr>
          <w:rFonts w:ascii="Times New Roman;Times;Serif" w:hAnsi="Times New Roman;Times;Serif"/>
          <w:b w:val="false"/>
          <w:i w:val="false"/>
          <w:caps w:val="false"/>
          <w:smallCaps w:val="false"/>
          <w:sz w:val="20"/>
        </w:rPr>
        <w:t xml:space="preserve">) without the prior written consent of each Lender. Any Lender may assign or otherwise transfer any of its rights or obligations hereunder or under any of the other Loan Documents (i) to an assignee in accordance with the provisions of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(ii) by way of participation in accordance with the provisions of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xml:space="preserve">, or (iii) by way of pledge or assignment of a security interest subject to the restrictions of </w:t>
      </w:r>
      <w:r>
        <w:rPr>
          <w:rFonts w:ascii="Times New Roman;Times;Serif" w:hAnsi="Times New Roman;Times;Serif"/>
          <w:b/>
          <w:i w:val="false"/>
          <w:caps w:val="false"/>
          <w:smallCaps w:val="false"/>
          <w:sz w:val="20"/>
        </w:rPr>
        <w:t>Section 14.05(f)</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 and, to the extent expressly contemplated hereby, the Related Parties of each of the Administrative Agent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Assignments by Lender</w:t>
      </w:r>
      <w:r>
        <w:rPr>
          <w:rFonts w:ascii="Times New Roman;Times;Serif" w:hAnsi="Times New Roman;Times;Serif"/>
          <w:b w:val="false"/>
          <w:i w:val="false"/>
          <w:caps w:val="false"/>
          <w:smallCaps w:val="false"/>
          <w:sz w:val="20"/>
        </w:rPr>
        <w:t xml:space="preserve">. Any Lender may at any time assign to one or more Eligible Transferees (or, if an Event of Default has occurred and is continuing, to any Person) all or a portion of its rights and obligations under this Agreement (including all or a portion of the Loans at the time owing to it) and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such assignment shall be made to any Obligor, any Affiliate of any Obligor, any employees or directors of any Obligor at any time and (ii) no such assignment shall be made without the prior written consent of the Administrative Agent, not to be unreasonably withheld, conditioned or delayed. The consent of the Borrower (such consent not to be unreasonably withheld, conditioned or delayed) shall be required unless (x) a Default or Event of Default has occurred and is continuing at the time of such assignment or (y) such assignment is to an Eligible Transferee;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be deemed to have consented to any such assignment unless it shall object thereto by written notice to the Administrative Agent within five (5) Business Days after having received written notice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consent of the Borrower shall not be required for any assignment to (x) Oaktree Capital Management, L.P. or any of its managed funds or accounts or (y) any Affiliate of the foregoing. Subject to the recording thereof by the Administrative Agent pursuant to </w:t>
      </w:r>
      <w:r>
        <w:rPr>
          <w:rFonts w:ascii="Times New Roman;Times;Serif" w:hAnsi="Times New Roman;Times;Serif"/>
          <w:b/>
          <w:i w:val="false"/>
          <w:caps w:val="false"/>
          <w:smallCaps w:val="false"/>
          <w:sz w:val="20"/>
        </w:rPr>
        <w:t>Section 14.05(d)</w:t>
      </w:r>
      <w:r>
        <w:rPr>
          <w:rFonts w:ascii="Times New Roman;Times;Serif" w:hAnsi="Times New Roman;Times;Serif"/>
          <w:b w:val="false"/>
          <w:i w:val="false"/>
          <w:caps w:val="false"/>
          <w:smallCaps w:val="false"/>
          <w:sz w:val="20"/>
        </w:rPr>
        <w:t xml:space="preserve">, and to receipt by the Administrative Agent of a processing and recordation fee in the amount of $3,500 (provided that the Administrative Agent may, in its sole discretion, elect to waive such processing and recordation fee in the case of any assignment) from and after the date such Assignment and Assumption is recorded in the Register,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w:t>
      </w:r>
      <w:r>
        <w:rPr>
          <w:rFonts w:ascii="Times New Roman;Times;Serif" w:hAnsi="Times New Roman;Times;Serif"/>
          <w:b/>
          <w:i w:val="false"/>
          <w:caps w:val="false"/>
          <w:smallCaps w:val="false"/>
          <w:sz w:val="20"/>
        </w:rPr>
        <w:t>Section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14.03</w:t>
      </w:r>
      <w:r>
        <w:rPr>
          <w:rFonts w:ascii="Times New Roman;Times;Serif" w:hAnsi="Times New Roman;Times;Serif"/>
          <w:b w:val="false"/>
          <w:i w:val="false"/>
          <w:caps w:val="false"/>
          <w:smallCaps w:val="false"/>
          <w:sz w:val="20"/>
        </w:rPr>
        <w:t xml:space="preserve">. Any assignment or transfer by the Lender of rights or obligations under this Agreement that does not comply with this </w:t>
      </w:r>
      <w:r>
        <w:rPr>
          <w:rFonts w:ascii="Times New Roman;Times;Serif" w:hAnsi="Times New Roman;Times;Serif"/>
          <w:b/>
          <w:i w:val="false"/>
          <w:caps w:val="false"/>
          <w:smallCaps w:val="false"/>
          <w:sz w:val="20"/>
        </w:rPr>
        <w:t>Section 14.05(b) </w:t>
      </w:r>
      <w:r>
        <w:rPr>
          <w:rFonts w:ascii="Times New Roman;Times;Serif" w:hAnsi="Times New Roman;Times;Serif"/>
          <w:b w:val="false"/>
          <w:i w:val="false"/>
          <w:caps w:val="false"/>
          <w:smallCaps w:val="false"/>
          <w:sz w:val="20"/>
        </w:rPr>
        <w:t xml:space="preserve">shall be treated for purposes of this Agreement as a sale by such Lender of a participation in such rights and obligations in accordance with </w:t>
      </w:r>
      <w:r>
        <w:rPr>
          <w:rFonts w:ascii="Times New Roman;Times;Serif" w:hAnsi="Times New Roman;Times;Serif"/>
          <w:b/>
          <w:i w:val="false"/>
          <w:caps w:val="false"/>
          <w:smallCaps w:val="false"/>
          <w:sz w:val="20"/>
        </w:rPr>
        <w:t>Section 14.05(e)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Amendments to Loan Documents</w:t>
      </w:r>
      <w:r>
        <w:rPr>
          <w:rFonts w:ascii="Times New Roman;Times;Serif" w:hAnsi="Times New Roman;Times;Serif"/>
          <w:b w:val="false"/>
          <w:i w:val="false"/>
          <w:caps w:val="false"/>
          <w:smallCaps w:val="false"/>
          <w:sz w:val="20"/>
        </w:rPr>
        <w:t xml:space="preserve">. Each of the Administrative Agent, the Lenders and the Obligors agrees to enter into such amendments to the Loan Documents, and such additional Security Documents and other instruments and agreements, in each case in form and substance reasonably acceptable to the Administrative Agent, the Lenders and the Obligors, as shall reasonably be necessary to implement and give effect to any assignment made under this </w:t>
      </w:r>
      <w:r>
        <w:rPr>
          <w:rFonts w:ascii="Times New Roman;Times;Serif" w:hAnsi="Times New Roman;Times;Serif"/>
          <w:b/>
          <w:i w:val="false"/>
          <w:caps w:val="false"/>
          <w:smallCaps w:val="false"/>
          <w:sz w:val="20"/>
        </w:rPr>
        <w:t>Section 14.05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The Administrative Agent, acting solely for this purpose as a non-fiduciary agent of the Borrower, shall maintain at one of its 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written notice. Notwithstanding anything to the contrary, any assignment of any Loan shall be effective only upon appropriate entries with respect thereto being made in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Participations</w:t>
      </w:r>
      <w:r>
        <w:rPr>
          <w:rFonts w:ascii="Times New Roman;Times;Serif" w:hAnsi="Times New Roman;Times;Serif"/>
          <w:b w:val="false"/>
          <w:i w:val="false"/>
          <w:caps w:val="false"/>
          <w:smallCaps w:val="false"/>
          <w:sz w:val="20"/>
        </w:rPr>
        <w:t>. Any Lender may at any time, without the consent of, or notice to, the Borrower, sell participations to any Eligible Transferee (other than a natural person or any Obligor or any of its Affiliates or Subsidiaries) (each,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in all or a portion of the Lender’s rights and/or obligations under this Agreement (including all or a portion of the Commitment and/or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Lender’s obligations under this Agreement shall remain unchanged, (ii) such Lender shall remain solely responsible to the other parties hereto for the performance of such obligations and (iii)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Loans or any portion of any fee hereunder payable to the Participant, (iii) reduce the amount of any such payment of principal, or (iv) reduce the rate at which interest is payable thereon to a level below the rate at which the Participant is entitled to receive such interest. Subject to </w:t>
      </w:r>
      <w:r>
        <w:rPr>
          <w:rFonts w:ascii="Times New Roman;Times;Serif" w:hAnsi="Times New Roman;Times;Serif"/>
          <w:b/>
          <w:i w:val="false"/>
          <w:caps w:val="false"/>
          <w:smallCaps w:val="false"/>
          <w:sz w:val="20"/>
        </w:rPr>
        <w:t>Section 14.05(f)</w:t>
      </w:r>
      <w:r>
        <w:rPr>
          <w:rFonts w:ascii="Times New Roman;Times;Serif" w:hAnsi="Times New Roman;Times;Serif"/>
          <w:b w:val="false"/>
          <w:i w:val="false"/>
          <w:caps w:val="false"/>
          <w:smallCaps w:val="false"/>
          <w:sz w:val="20"/>
        </w:rPr>
        <w:t xml:space="preserve">, the Borrower agrees that each Participant shall be entitled to the benefits of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(subject to the requirements and limitations therein, including the requirements under </w:t>
      </w:r>
      <w:r>
        <w:rPr>
          <w:rFonts w:ascii="Times New Roman;Times;Serif" w:hAnsi="Times New Roman;Times;Serif"/>
          <w:b/>
          <w:i w:val="false"/>
          <w:caps w:val="false"/>
          <w:smallCaps w:val="false"/>
          <w:sz w:val="20"/>
        </w:rPr>
        <w:t>Section 5.03(f) </w:t>
      </w:r>
      <w:r>
        <w:rPr>
          <w:rFonts w:ascii="Times New Roman;Times;Serif" w:hAnsi="Times New Roman;Times;Serif"/>
          <w:b w:val="false"/>
          <w:i w:val="false"/>
          <w:caps w:val="false"/>
          <w:smallCaps w:val="false"/>
          <w:sz w:val="20"/>
        </w:rPr>
        <w:t xml:space="preserve">(it being understood that the documentation required under </w:t>
      </w:r>
      <w:r>
        <w:rPr>
          <w:rFonts w:ascii="Times New Roman;Times;Serif" w:hAnsi="Times New Roman;Times;Serif"/>
          <w:b/>
          <w:i w:val="false"/>
          <w:caps w:val="false"/>
          <w:smallCaps w:val="false"/>
          <w:sz w:val="20"/>
        </w:rPr>
        <w:t>Section 5.03(f) </w:t>
      </w:r>
      <w:r>
        <w:rPr>
          <w:rFonts w:ascii="Times New Roman;Times;Serif" w:hAnsi="Times New Roman;Times;Serif"/>
          <w:b w:val="false"/>
          <w:i w:val="false"/>
          <w:caps w:val="false"/>
          <w:smallCaps w:val="false"/>
          <w:sz w:val="20"/>
        </w:rPr>
        <w:t xml:space="preserve">shall be delivered to the participating Lender)) to the same extent as if it were a Lender and had acquired its interest by assignment pursuant to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(i) agrees to be subject to the provisions of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 xml:space="preserve"> as if it were an assignee under </w:t>
      </w:r>
      <w:r>
        <w:rPr>
          <w:rFonts w:ascii="Times New Roman;Times;Serif" w:hAnsi="Times New Roman;Times;Serif"/>
          <w:b/>
          <w:i w:val="false"/>
          <w:caps w:val="false"/>
          <w:smallCaps w:val="false"/>
          <w:sz w:val="20"/>
        </w:rPr>
        <w:t>Section 14.05(b) </w:t>
      </w:r>
      <w:r>
        <w:rPr>
          <w:rFonts w:ascii="Times New Roman;Times;Serif" w:hAnsi="Times New Roman;Times;Serif"/>
          <w:b w:val="false"/>
          <w:i w:val="false"/>
          <w:caps w:val="false"/>
          <w:smallCaps w:val="false"/>
          <w:sz w:val="20"/>
        </w:rPr>
        <w:t xml:space="preserve">and (ii) shall not be entitled to receive any greater payment under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or the sale of the participation to such Participant is made with the Borrower’s prior written consent. To the extent permitted by Law, each Participant also shall be entitled to the benefits of </w:t>
      </w:r>
      <w:r>
        <w:rPr>
          <w:rFonts w:ascii="Times New Roman;Times;Serif" w:hAnsi="Times New Roman;Times;Serif"/>
          <w:b/>
          <w:i w:val="false"/>
          <w:caps w:val="false"/>
          <w:smallCaps w:val="false"/>
          <w:sz w:val="20"/>
        </w:rPr>
        <w:t>Section 4.03(a) </w:t>
      </w:r>
      <w:r>
        <w:rPr>
          <w:rFonts w:ascii="Times New Roman;Times;Serif" w:hAnsi="Times New Roman;Times;Serif"/>
          <w:b w:val="false"/>
          <w:i w:val="false"/>
          <w:caps w:val="false"/>
          <w:smallCaps w:val="false"/>
          <w:sz w:val="20"/>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the Loan Documents to secure obligations of such Lender, including any pledge or assignment to secure obligations to a Federal Reserve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Notwithstanding anything to the contrary contained in this Agreement, any other Loan Document or any other agreement, instrument or arrangement (and regardless of whether the Obligors have complied with Section 4(d)(i) of the Tenth Amendment within the time period specified therein), the Obligors hereby agree that each Lender shall be permitted, at any time and from time to time, in its sole discretion, to negotiate, solicit, market, enter into, and consummate one or more Transfers (as defined in the Tenth Amendment) of all or any portion of its Subject Interests (as defined in the Tenth Amendment) to any party, in each case without any notice to, or any consent, approval, acknowledgment or other action of or by, the Obligors, and the Obligors hereby irrevocably waive any and all such notice, consent, approval, acknowledgment and similar rights and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xml:space="preserve">. The obligations of the Borrower under </w:t>
      </w:r>
      <w:r>
        <w:rPr>
          <w:rFonts w:ascii="Times New Roman;Times;Serif" w:hAnsi="Times New Roman;Times;Serif"/>
          <w:b/>
          <w:i w:val="false"/>
          <w:caps w:val="false"/>
          <w:smallCaps w:val="false"/>
          <w:sz w:val="20"/>
        </w:rPr>
        <w:t>Sections 5.01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14.09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14.14</w:t>
      </w:r>
      <w:r>
        <w:rPr>
          <w:rFonts w:ascii="Times New Roman;Times;Serif" w:hAnsi="Times New Roman;Times;Serif"/>
          <w:b w:val="false"/>
          <w:i w:val="false"/>
          <w:caps w:val="false"/>
          <w:smallCaps w:val="false"/>
          <w:sz w:val="20"/>
        </w:rPr>
        <w:t xml:space="preserve"> and the obligations of the Subsidiary Guarantors under </w:t>
      </w:r>
      <w:r>
        <w:rPr>
          <w:rFonts w:ascii="Times New Roman;Times;Serif" w:hAnsi="Times New Roman;Times;Serif"/>
          <w:b/>
          <w:i w:val="false"/>
          <w:caps w:val="false"/>
          <w:smallCaps w:val="false"/>
          <w:sz w:val="20"/>
        </w:rPr>
        <w:t>Section 13</w:t>
      </w:r>
      <w:r>
        <w:rPr>
          <w:rFonts w:ascii="Times New Roman;Times;Serif" w:hAnsi="Times New Roman;Times;Serif"/>
          <w:b w:val="false"/>
          <w:i w:val="false"/>
          <w:caps w:val="false"/>
          <w:smallCaps w:val="false"/>
          <w:sz w:val="20"/>
        </w:rPr>
        <w:t xml:space="preserve"> (solely to the extent guaranteeing any of the obligations under the foregoing Sections) shall survive the repayment of the Obligations and the termination of the Commitments and, in the case of the Lenders’ assignment of any interest in the Commitments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Captions</w:t>
      </w:r>
      <w:r>
        <w:rPr>
          <w:rFonts w:ascii="Times New Roman;Times;Serif" w:hAnsi="Times New Roman;Times;Serif"/>
          <w:b w:val="false"/>
          <w:i w:val="false"/>
          <w:caps w:val="false"/>
          <w:smallCaps w:val="false"/>
          <w:sz w:val="20"/>
        </w:rPr>
        <w:t>. The table of contents and captions and section headings appearing herein are included solely for convenience of reference and are not intended to affect the interpretation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Counterparts, Effectiveness</w:t>
      </w:r>
      <w:r>
        <w:rPr>
          <w:rFonts w:ascii="Times New Roman;Times;Serif" w:hAnsi="Times New Roman;Times;Serif"/>
          <w:b w:val="false"/>
          <w:i w:val="false"/>
          <w:caps w:val="false"/>
          <w:smallCaps w:val="false"/>
          <w:sz w:val="20"/>
        </w:rPr>
        <w:t>.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or electronic transmission (in PDF format) shall be effective as delivery of a manually executed counterpart hereof. This Agreement shall become effective when counterparts hereof executed on behalf of the Obligors, the Administrative Agent and the Lender shall have been received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and the rights and obligations of the parties hereunder shall be governed by, and construed in accordance with,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Jurisdiction, Service of Process and 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Submission to Jurisdiction</w:t>
      </w:r>
      <w:r>
        <w:rPr>
          <w:rFonts w:ascii="Times New Roman;Times;Serif" w:hAnsi="Times New Roman;Times;Serif"/>
          <w:b w:val="false"/>
          <w:i w:val="false"/>
          <w:caps w:val="false"/>
          <w:smallCaps w:val="false"/>
          <w:sz w:val="20"/>
        </w:rPr>
        <w:t>. Each party hereby irrevocably and unconditionally agrees that it will not commence any action, litigation or 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Waiver of Venue, Etc</w:t>
      </w:r>
      <w:r>
        <w:rPr>
          <w:rFonts w:ascii="Times New Roman;Times;Serif" w:hAnsi="Times New Roman;Times;Serif"/>
          <w:b w:val="false"/>
          <w:i w:val="false"/>
          <w:caps w:val="false"/>
          <w:smallCaps w:val="false"/>
          <w:sz w:val="20"/>
        </w:rPr>
        <w:t>. Each party hereto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Waiver of Immunity</w:t>
      </w:r>
      <w:r>
        <w:rPr>
          <w:rFonts w:ascii="Times New Roman;Times;Serif" w:hAnsi="Times New Roman;Times;Serif"/>
          <w:b w:val="false"/>
          <w:i w:val="false"/>
          <w:caps w:val="false"/>
          <w:smallCaps w:val="false"/>
          <w:sz w:val="20"/>
        </w:rPr>
        <w:t>.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and the other Loan Documents constitute the entire agreement among the parties with respect to the subject 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ADMINISTRATIVE AGENT OR THE LENDERS OTHER THAN THOSE EXPRESSLY SET FORTH IN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provision hereof is found by a court to be invalid or unenforceable, to the fullest extent permitted by any Law the parties agree that such invalidity or unenforceability shall not impair the validity or enforceability of any other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 Fiduciary Relationship</w:t>
      </w:r>
      <w:r>
        <w:rPr>
          <w:rFonts w:ascii="Times New Roman;Times;Serif" w:hAnsi="Times New Roman;Times;Serif"/>
          <w:b w:val="false"/>
          <w:i w:val="false"/>
          <w:caps w:val="false"/>
          <w:smallCaps w:val="false"/>
          <w:sz w:val="20"/>
        </w:rPr>
        <w:t>. The Borrower acknowledges that the Administrative Agent and the Lenders have no fiduciary relationship with, or 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Administrative Agent and each Lender agree to keep confidential all non-public information provided to them by any Obligor pursuant to this Agreement that is designated by such Obligor as confidential in accordance with its customary procedures for handling its own confidential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the Administrative Agent or any Lender from disclosing any such information (i) to the Administrative Agent, any other Lender or any Affiliate of a Lender, (ii) subject to an agreement to comply with the provisions of this Section, to any Eligible Transferee or assignee permitted under </w:t>
      </w:r>
      <w:r>
        <w:rPr>
          <w:rFonts w:ascii="Times New Roman;Times;Serif" w:hAnsi="Times New Roman;Times;Serif"/>
          <w:b/>
          <w:i w:val="false"/>
          <w:caps w:val="false"/>
          <w:smallCaps w:val="false"/>
          <w:sz w:val="20"/>
        </w:rPr>
        <w:t>Section 14.05(b)</w:t>
      </w:r>
      <w:r>
        <w:rPr>
          <w:rFonts w:ascii="Times New Roman;Times;Serif" w:hAnsi="Times New Roman;Times;Serif"/>
          <w:b w:val="false"/>
          <w:i w:val="false"/>
          <w:caps w:val="false"/>
          <w:smallCaps w:val="false"/>
          <w:sz w:val="20"/>
        </w:rPr>
        <w:t>, and any actual or prospective direct or indirect counterparty to any Hedging Agreement (or any professional advisor to such counterparty), (iii) to its employees, officers, directors, agents, attorneys, accountants, trustees and other professional advisors or those of any of its affiliates (collectively, its “</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xml:space="preserve">”), in each case on a need-to-know basis, (iv) upon the requirement or demand of any Governmental Authority or any Regulatory Authority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Law, (vi) if required to do so in connection with any litigation or similar proceeding, (vii) that has been publicly disclosed (other than as a result of a disclosure in violation of this </w:t>
      </w:r>
      <w:r>
        <w:rPr>
          <w:rFonts w:ascii="Times New Roman;Times;Serif" w:hAnsi="Times New Roman;Times;Serif"/>
          <w:b/>
          <w:i w:val="false"/>
          <w:caps w:val="false"/>
          <w:smallCaps w:val="false"/>
          <w:sz w:val="20"/>
        </w:rPr>
        <w:t>Section 14.16</w:t>
      </w:r>
      <w:r>
        <w:rPr>
          <w:rFonts w:ascii="Times New Roman;Times;Serif" w:hAnsi="Times New Roman;Times;Serif"/>
          <w:b w:val="false"/>
          <w:i w:val="false"/>
          <w:caps w:val="false"/>
          <w:smallCaps w:val="false"/>
          <w:sz w:val="20"/>
        </w:rPr>
        <w:t xml:space="preserve">), (viii) to the National Association of Insurance Commissioners or any similar organization or any nationally recognized rating agency that requires access to information about a Lender’s investment portfolio in connection with ratings issued with respect to such Lender, (ix) to the extent necessary in connection with the exercise of any remedy hereunder or under any other Loan Document, (x) on a confidential basis to (A) any rating agency in connection with rating the Borrower or its Subsidiaries or the Loans or (B) the CUSIP Service Bureau or any similar agency in connection with the issuance and monitoring of CUSIP numbers of other market identifiers with respect to the Loans or (xi) to any other party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disclosure pursuant to </w:t>
      </w:r>
      <w:r>
        <w:rPr>
          <w:rFonts w:ascii="Times New Roman;Times;Serif" w:hAnsi="Times New Roman;Times;Serif"/>
          <w:b/>
          <w:i w:val="false"/>
          <w:caps w:val="false"/>
          <w:smallCaps w:val="false"/>
          <w:sz w:val="20"/>
        </w:rPr>
        <w:t>clause (iv), (v)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above, the Administrative Agent or applicable Lender, as applicable, shall promptly provide notice to the Borrower to the extent reasonable and not prohibited by Law or any applicable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provision of this Agreement otherwise requiring any QIA Lender to provide any information or documents to any Loan Party or any third party, such QIA Lender shall be entitled to withhold, edit, redact and/or otherwise limit disclosure of any such information or documents on the grounds of national security and/or financial or economic sensitivity and such QIA Lender shall have no liability whatsoever and shall be free and harmless from any claims whatsoever for exercising its rights pursuant to this </w:t>
      </w:r>
      <w:r>
        <w:rPr>
          <w:rFonts w:ascii="Times New Roman;Times;Serif" w:hAnsi="Times New Roman;Times;Serif"/>
          <w:b/>
          <w:i w:val="false"/>
          <w:caps w:val="false"/>
          <w:smallCaps w:val="false"/>
          <w:sz w:val="20"/>
        </w:rPr>
        <w:t>Section 14.16(b)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that are treated as interest on such Loan under applicable Law (collectively, “</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that may be contracted for, charged, taken, received or reserved by the Administrative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Obligors in respect of any sum due to the Administrative Agent hereunder and under the other Loan Documents 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Borrower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The Administrative Agent and the Lenders hereby notify the Obligors that pursuant to the requirements of the USA PATRIOT Act (Title III of Pub. L. 107-56 (signed into law October 26, 2001)) (the “</w:t>
      </w:r>
      <w:r>
        <w:rPr>
          <w:rFonts w:ascii="Times New Roman;Times;Serif" w:hAnsi="Times New Roman;Times;Serif"/>
          <w:b/>
          <w:i/>
          <w:caps w:val="false"/>
          <w:smallCaps w:val="false"/>
          <w:sz w:val="20"/>
        </w:rPr>
        <w:t>Patriot Act</w:t>
      </w:r>
      <w:r>
        <w:rPr>
          <w:rFonts w:ascii="Times New Roman;Times;Serif" w:hAnsi="Times New Roman;Times;Serif"/>
          <w:b w:val="false"/>
          <w:i w:val="false"/>
          <w:caps w:val="false"/>
          <w:smallCaps w:val="false"/>
          <w:sz w:val="20"/>
        </w:rPr>
        <w:t>”), they are required to obtain, verify and record information that identifies the Obligors, which information includes the name and address of each Obligor and other information that will allow such Person to identify such Obligor in accordance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 to Credit Agreement</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10" w:type="dxa"/>
        <w:tblLayout w:type="fixed"/>
        <w:tblCellMar>
          <w:top w:w="28" w:type="dxa"/>
          <w:left w:w="28" w:type="dxa"/>
          <w:bottom w:w="80" w:type="dxa"/>
          <w:right w:w="28" w:type="dxa"/>
        </w:tblCellMar>
      </w:tblPr>
      <w:tblGrid>
        <w:gridCol w:w="4445"/>
        <w:gridCol w:w="1700"/>
      </w:tblGrid>
      <w:tr>
        <w:trPr/>
        <w:tc>
          <w:tcPr>
            <w:tcW w:w="44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Lenders</w:t>
            </w:r>
          </w:p>
        </w:tc>
        <w:tc>
          <w:tcPr>
            <w:tcW w:w="1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Commitments</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Oaktree-Forrest Multi-Strategy, LLC</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$918,983.78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Oaktree-TBMR Strategic Credit Fund C, LLC</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$554,011.92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Oaktree-TBMR Strategic Credit Fund F, LLC</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$868,214.05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Oaktree-TBMR Strategic Credit Fund G, LLC</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$1,417,612.87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Oaktree-TCDRS Strategic Credit, LLC</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r>
              <w:rPr>
                <w:rFonts w:ascii="Times New Roman;Times;Serif" w:hAnsi="Times New Roman;Times;Serif"/>
                <w:sz w:val="20"/>
              </w:rPr>
              <w:t xml:space="preserve">$1,139,016.44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Oaktree-TSE 16 Strategic Credit, LLC</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$1,423,812.60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INPRS Strategic Credit Holdings, LLC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$434,522.77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 AZ Strategic Lending Fund, L.P.</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$8,101,800.78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 Diversified Income Fund Inc.</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$1,382,306.37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Oaktree GCP Fund Delaware Holdings, L.P.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$631,580.87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Oaktree LSL Fund Delaware Holdings EURRC, L.P.</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$6,582,394.50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Oaktree LSL Fund Holdings EURRC S.à r.l.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$16,455,947.14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Oaktree Specialty Lending Corporation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$10,359,092.69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Oaktree Strategic Credit Fund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$4,936,794.70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Q Boost Holding LLC </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$55,206,087.09 </w:t>
            </w:r>
          </w:p>
        </w:tc>
      </w:tr>
      <w:tr>
        <w:trPr/>
        <w:tc>
          <w:tcPr>
            <w:tcW w:w="44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rFonts w:ascii="Times New Roman;Times;Serif" w:hAnsi="Times New Roman;Times;Serif"/>
                <w:b/>
                <w:sz w:val="20"/>
              </w:rPr>
              <w:t>$</w:t>
            </w:r>
            <w:r>
              <w:rPr>
                <w:rFonts w:ascii="Times New Roman;Times;Serif" w:hAnsi="Times New Roman;Times;Serif"/>
                <w:b/>
              </w:rPr>
              <w:t xml:space="preserve">110,412,178.58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69605</Words>
  <Characters>373614</Characters>
  <CharactersWithSpaces>448359</CharactersWithSpaces>
  <Paragraphs>4201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