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125095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5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144145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04" w:lineRule="exact"/>
        <w:rPr>
          <w:sz w:val="24"/>
          <w:szCs w:val="24"/>
          <w:color w:val="auto"/>
        </w:rPr>
      </w:pPr>
    </w:p>
    <w:p>
      <w:pPr>
        <w:ind w:left="3140" w:right="280" w:hanging="2862"/>
        <w:spacing w:after="0" w:line="375" w:lineRule="auto"/>
        <w:tabs>
          <w:tab w:leader="none" w:pos="72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4" w:lineRule="exact"/>
        <w:rPr>
          <w:sz w:val="24"/>
          <w:szCs w:val="24"/>
          <w:color w:val="auto"/>
        </w:rPr>
      </w:pPr>
    </w:p>
    <w:p>
      <w:pPr>
        <w:ind w:left="720" w:hanging="442"/>
        <w:spacing w:after="0"/>
        <w:tabs>
          <w:tab w:leader="none" w:pos="72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45" w:lineRule="exact"/>
        <w:rPr>
          <w:sz w:val="24"/>
          <w:szCs w:val="24"/>
          <w:color w:val="auto"/>
        </w:rPr>
      </w:pPr>
    </w:p>
    <w:tbl>
      <w:tblPr>
        <w:tblLayout w:type="fixed"/>
        <w:tblInd w:w="1460" w:type="dxa"/>
        <w:tblCellMar>
          <w:top w:w="0" w:type="dxa"/>
          <w:left w:w="0" w:type="dxa"/>
          <w:bottom w:w="0" w:type="dxa"/>
          <w:right w:w="0" w:type="dxa"/>
        </w:tblCellMar>
      </w:tblPr>
      <w:tr>
        <w:trPr>
          <w:trHeight w:val="238"/>
        </w:trPr>
        <w:tc>
          <w:tcPr>
            <w:tcW w:w="5440" w:type="dxa"/>
            <w:vAlign w:val="bottom"/>
            <w:gridSpan w:val="3"/>
          </w:tcPr>
          <w:p>
            <w:pPr>
              <w:ind w:left="19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13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w:t>
            </w:r>
          </w:p>
        </w:tc>
        <w:tc>
          <w:tcPr>
            <w:tcW w:w="0" w:type="dxa"/>
            <w:vAlign w:val="bottom"/>
          </w:tcPr>
          <w:p>
            <w:pPr>
              <w:spacing w:after="0"/>
              <w:rPr>
                <w:sz w:val="1"/>
                <w:szCs w:val="1"/>
                <w:color w:val="auto"/>
              </w:rPr>
            </w:pPr>
          </w:p>
        </w:tc>
      </w:tr>
      <w:tr>
        <w:trPr>
          <w:trHeight w:val="236"/>
        </w:trPr>
        <w:tc>
          <w:tcPr>
            <w:tcW w:w="2360" w:type="dxa"/>
            <w:vAlign w:val="bottom"/>
          </w:tcPr>
          <w:p>
            <w:pPr>
              <w:spacing w:after="0"/>
              <w:rPr>
                <w:sz w:val="20"/>
                <w:szCs w:val="20"/>
                <w:color w:val="auto"/>
              </w:rPr>
            </w:pPr>
          </w:p>
        </w:tc>
        <w:tc>
          <w:tcPr>
            <w:tcW w:w="30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Commission File Number: 001-38410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
        </w:trPr>
        <w:tc>
          <w:tcPr>
            <w:tcW w:w="2360" w:type="dxa"/>
            <w:vAlign w:val="bottom"/>
          </w:tcPr>
          <w:p>
            <w:pPr>
              <w:spacing w:after="0"/>
              <w:rPr>
                <w:sz w:val="7"/>
                <w:szCs w:val="7"/>
                <w:color w:val="auto"/>
              </w:rPr>
            </w:pPr>
          </w:p>
        </w:tc>
        <w:tc>
          <w:tcPr>
            <w:tcW w:w="256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2"/>
        </w:trPr>
        <w:tc>
          <w:tcPr>
            <w:tcW w:w="5440" w:type="dxa"/>
            <w:vAlign w:val="bottom"/>
            <w:gridSpan w:val="3"/>
          </w:tcPr>
          <w:p>
            <w:pPr>
              <w:jc w:val="center"/>
              <w:ind w:left="1781"/>
              <w:spacing w:after="0"/>
              <w:rPr>
                <w:sz w:val="20"/>
                <w:szCs w:val="20"/>
                <w:color w:val="auto"/>
              </w:rPr>
            </w:pPr>
            <w:r>
              <w:rPr>
                <w:rFonts w:ascii="Times New Roman" w:cs="Times New Roman" w:eastAsia="Times New Roman" w:hAnsi="Times New Roman"/>
                <w:sz w:val="25"/>
                <w:szCs w:val="25"/>
                <w:b w:val="1"/>
                <w:bCs w:val="1"/>
                <w:color w:val="auto"/>
              </w:rPr>
              <w:t>BioXcel Therapeutics, Inc.</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440" w:type="dxa"/>
            <w:vAlign w:val="bottom"/>
            <w:gridSpan w:val="3"/>
          </w:tcPr>
          <w:p>
            <w:pPr>
              <w:jc w:val="center"/>
              <w:ind w:left="1781"/>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360" w:type="dxa"/>
            <w:vAlign w:val="bottom"/>
          </w:tcPr>
          <w:p>
            <w:pPr>
              <w:spacing w:after="0"/>
              <w:rPr>
                <w:sz w:val="7"/>
                <w:szCs w:val="7"/>
                <w:color w:val="auto"/>
              </w:rPr>
            </w:pPr>
          </w:p>
        </w:tc>
        <w:tc>
          <w:tcPr>
            <w:tcW w:w="256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5440" w:type="dxa"/>
            <w:vAlign w:val="bottom"/>
            <w:gridSpan w:val="3"/>
          </w:tcPr>
          <w:p>
            <w:pPr>
              <w:jc w:val="center"/>
              <w:ind w:right="314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360" w:type="dxa"/>
            <w:vAlign w:val="bottom"/>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82-1386754</w:t>
            </w:r>
          </w:p>
        </w:tc>
        <w:tc>
          <w:tcPr>
            <w:tcW w:w="0" w:type="dxa"/>
            <w:vAlign w:val="bottom"/>
          </w:tcPr>
          <w:p>
            <w:pPr>
              <w:spacing w:after="0"/>
              <w:rPr>
                <w:sz w:val="1"/>
                <w:szCs w:val="1"/>
                <w:color w:val="auto"/>
              </w:rPr>
            </w:pPr>
          </w:p>
        </w:tc>
      </w:tr>
      <w:tr>
        <w:trPr>
          <w:trHeight w:val="148"/>
        </w:trPr>
        <w:tc>
          <w:tcPr>
            <w:tcW w:w="5440" w:type="dxa"/>
            <w:vAlign w:val="bottom"/>
            <w:gridSpan w:val="3"/>
          </w:tcPr>
          <w:p>
            <w:pPr>
              <w:jc w:val="center"/>
              <w:ind w:right="3140"/>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1360" w:type="dxa"/>
            <w:vAlign w:val="bottom"/>
          </w:tcPr>
          <w:p>
            <w:pPr>
              <w:jc w:val="center"/>
              <w:ind w:left="185"/>
              <w:spacing w:after="0" w:line="149"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8"/>
        </w:trPr>
        <w:tc>
          <w:tcPr>
            <w:tcW w:w="544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360" w:type="dxa"/>
            <w:vAlign w:val="bottom"/>
          </w:tcPr>
          <w:p>
            <w:pPr>
              <w:jc w:val="center"/>
              <w:ind w:left="205"/>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201"/>
        </w:trPr>
        <w:tc>
          <w:tcPr>
            <w:tcW w:w="5440" w:type="dxa"/>
            <w:vAlign w:val="bottom"/>
            <w:gridSpan w:val="3"/>
          </w:tcPr>
          <w:p>
            <w:pPr>
              <w:jc w:val="center"/>
              <w:ind w:right="3160"/>
              <w:spacing w:after="0"/>
              <w:rPr>
                <w:sz w:val="20"/>
                <w:szCs w:val="20"/>
                <w:color w:val="auto"/>
              </w:rPr>
            </w:pPr>
            <w:r>
              <w:rPr>
                <w:rFonts w:ascii="Times New Roman" w:cs="Times New Roman" w:eastAsia="Times New Roman" w:hAnsi="Times New Roman"/>
                <w:sz w:val="14"/>
                <w:szCs w:val="14"/>
                <w:b w:val="1"/>
                <w:bCs w:val="1"/>
                <w:color w:val="auto"/>
              </w:rPr>
              <w:t>555 Long Wharf Drive</w:t>
            </w:r>
          </w:p>
        </w:tc>
        <w:tc>
          <w:tcPr>
            <w:tcW w:w="1360" w:type="dxa"/>
            <w:vAlign w:val="bottom"/>
            <w:vMerge w:val="restart"/>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06511</w:t>
            </w:r>
          </w:p>
        </w:tc>
        <w:tc>
          <w:tcPr>
            <w:tcW w:w="0" w:type="dxa"/>
            <w:vAlign w:val="bottom"/>
          </w:tcPr>
          <w:p>
            <w:pPr>
              <w:spacing w:after="0"/>
              <w:rPr>
                <w:sz w:val="1"/>
                <w:szCs w:val="1"/>
                <w:color w:val="auto"/>
              </w:rPr>
            </w:pPr>
          </w:p>
        </w:tc>
      </w:tr>
      <w:tr>
        <w:trPr>
          <w:trHeight w:val="151"/>
        </w:trPr>
        <w:tc>
          <w:tcPr>
            <w:tcW w:w="5440" w:type="dxa"/>
            <w:vAlign w:val="bottom"/>
            <w:gridSpan w:val="3"/>
          </w:tcPr>
          <w:p>
            <w:pPr>
              <w:jc w:val="center"/>
              <w:ind w:right="3140"/>
              <w:spacing w:after="0" w:line="151" w:lineRule="exact"/>
              <w:rPr>
                <w:sz w:val="20"/>
                <w:szCs w:val="20"/>
                <w:color w:val="auto"/>
              </w:rPr>
            </w:pPr>
            <w:r>
              <w:rPr>
                <w:rFonts w:ascii="Times New Roman" w:cs="Times New Roman" w:eastAsia="Times New Roman" w:hAnsi="Times New Roman"/>
                <w:sz w:val="14"/>
                <w:szCs w:val="14"/>
                <w:b w:val="1"/>
                <w:bCs w:val="1"/>
                <w:color w:val="auto"/>
              </w:rPr>
              <w:t>New Haven, CT</w:t>
            </w: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440" w:type="dxa"/>
            <w:vAlign w:val="bottom"/>
            <w:gridSpan w:val="3"/>
          </w:tcPr>
          <w:p>
            <w:pPr>
              <w:jc w:val="center"/>
              <w:ind w:right="316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360" w:type="dxa"/>
            <w:vAlign w:val="bottom"/>
          </w:tcPr>
          <w:p>
            <w:pPr>
              <w:jc w:val="center"/>
              <w:ind w:left="205"/>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03"/>
        </w:trPr>
        <w:tc>
          <w:tcPr>
            <w:tcW w:w="4920" w:type="dxa"/>
            <w:vAlign w:val="bottom"/>
            <w:gridSpan w:val="2"/>
          </w:tcPr>
          <w:p>
            <w:pPr>
              <w:jc w:val="center"/>
              <w:ind w:left="2301"/>
              <w:spacing w:after="0"/>
              <w:rPr>
                <w:sz w:val="20"/>
                <w:szCs w:val="20"/>
                <w:color w:val="auto"/>
              </w:rPr>
            </w:pPr>
            <w:r>
              <w:rPr>
                <w:rFonts w:ascii="Times New Roman" w:cs="Times New Roman" w:eastAsia="Times New Roman" w:hAnsi="Times New Roman"/>
                <w:sz w:val="14"/>
                <w:szCs w:val="14"/>
                <w:b w:val="1"/>
                <w:bCs w:val="1"/>
                <w:color w:val="auto"/>
              </w:rPr>
              <w:t>(475) 238-6837</w:t>
            </w:r>
          </w:p>
        </w:tc>
        <w:tc>
          <w:tcPr>
            <w:tcW w:w="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440" w:type="dxa"/>
            <w:vAlign w:val="bottom"/>
            <w:gridSpan w:val="3"/>
          </w:tcPr>
          <w:p>
            <w:pPr>
              <w:jc w:val="center"/>
              <w:ind w:left="1761"/>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125095</wp:posOffset>
            </wp:positionV>
            <wp:extent cx="162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3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ectPr>
          <w:pgSz w:w="11900" w:h="16838" w:orient="portrait"/>
          <w:cols w:equalWidth="0" w:num="1">
            <w:col w:w="10140"/>
          </w:cols>
          <w:pgMar w:left="840" w:top="661" w:right="919" w:bottom="1440" w:gutter="0" w:footer="0" w:header="0"/>
        </w:sectPr>
      </w:pPr>
    </w:p>
    <w:p>
      <w:pPr>
        <w:spacing w:after="0" w:line="10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6"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Common Stock,</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6"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4"/>
          <w:szCs w:val="14"/>
          <w:color w:val="auto"/>
        </w:rPr>
        <w:t>BTAI</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6"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4"/>
          <w:szCs w:val="14"/>
          <w:color w:val="auto"/>
        </w:rPr>
        <w:t>Nasdaq Capital Market</w:t>
      </w:r>
    </w:p>
    <w:p>
      <w:pPr>
        <w:spacing w:after="0" w:line="1" w:lineRule="exact"/>
        <w:rPr>
          <w:sz w:val="24"/>
          <w:szCs w:val="24"/>
          <w:color w:val="auto"/>
        </w:rPr>
      </w:pPr>
    </w:p>
    <w:p>
      <w:pPr>
        <w:sectPr>
          <w:pgSz w:w="11900" w:h="16838" w:orient="portrait"/>
          <w:cols w:equalWidth="0" w:num="3">
            <w:col w:w="3520" w:space="720"/>
            <w:col w:w="1920" w:space="720"/>
            <w:col w:w="3260"/>
          </w:cols>
          <w:pgMar w:left="840" w:top="661" w:right="919" w:bottom="1440" w:gutter="0" w:footer="0" w:header="0"/>
          <w:type w:val="continuous"/>
        </w:sectPr>
      </w:pPr>
    </w:p>
    <w:p>
      <w:pPr>
        <w:ind w:left="940"/>
        <w:spacing w:after="0" w:line="238" w:lineRule="auto"/>
        <w:rPr>
          <w:sz w:val="20"/>
          <w:szCs w:val="20"/>
          <w:color w:val="auto"/>
        </w:rPr>
      </w:pPr>
      <w:r>
        <w:rPr>
          <w:rFonts w:ascii="Times New Roman" w:cs="Times New Roman" w:eastAsia="Times New Roman" w:hAnsi="Times New Roman"/>
          <w:sz w:val="14"/>
          <w:szCs w:val="14"/>
          <w:color w:val="auto"/>
        </w:rPr>
        <w:t>$0.001 par value per share</w:t>
      </w:r>
    </w:p>
    <w:p>
      <w:pPr>
        <w:sectPr>
          <w:pgSz w:w="11900" w:h="16838" w:orient="portrait"/>
          <w:cols w:equalWidth="0" w:num="1">
            <w:col w:w="10140"/>
          </w:cols>
          <w:pgMar w:left="840" w:top="661" w:right="919" w:bottom="1440" w:gutter="0" w:footer="0" w:header="0"/>
          <w:type w:val="continuous"/>
        </w:sectPr>
      </w:pPr>
    </w:p>
    <w:p>
      <w:pPr>
        <w:spacing w:after="0" w:line="176"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47" w:lineRule="exact"/>
        <w:rPr>
          <w:sz w:val="24"/>
          <w:szCs w:val="24"/>
          <w:color w:val="auto"/>
        </w:rPr>
      </w:pPr>
    </w:p>
    <w:p>
      <w:pPr>
        <w:ind w:right="3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47"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40"/>
          </w:cols>
          <w:pgMar w:left="840" w:top="661" w:right="919" w:bottom="1440" w:gutter="0" w:footer="0" w:header="0"/>
          <w:type w:val="continuous"/>
        </w:sectPr>
      </w:pPr>
    </w:p>
    <w:p>
      <w:pPr>
        <w:spacing w:after="0" w:line="37" w:lineRule="exact"/>
        <w:rPr>
          <w:sz w:val="24"/>
          <w:szCs w:val="24"/>
          <w:color w:val="auto"/>
        </w:rPr>
      </w:pPr>
    </w:p>
    <w:p>
      <w:pPr>
        <w:ind w:left="1820"/>
        <w:spacing w:after="0" w:line="188"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Arial Unicode MS" w:cs="Arial Unicode MS" w:eastAsia="Arial Unicode MS" w:hAnsi="Arial Unicode MS"/>
          <w:sz w:val="14"/>
          <w:szCs w:val="14"/>
          <w:color w:val="auto"/>
        </w:rPr>
        <w:t>☐</w:t>
      </w:r>
    </w:p>
    <w:p>
      <w:pPr>
        <w:spacing w:after="0" w:line="82" w:lineRule="exact"/>
        <w:rPr>
          <w:sz w:val="24"/>
          <w:szCs w:val="24"/>
          <w:color w:val="auto"/>
        </w:rPr>
      </w:pPr>
    </w:p>
    <w:p>
      <w:pPr>
        <w:sectPr>
          <w:pgSz w:w="11900" w:h="16838" w:orient="portrait"/>
          <w:cols w:equalWidth="0" w:num="2">
            <w:col w:w="6380" w:space="720"/>
            <w:col w:w="3040"/>
          </w:cols>
          <w:pgMar w:left="840" w:top="661" w:right="919" w:bottom="1440" w:gutter="0" w:footer="0" w:header="0"/>
          <w:type w:val="continuous"/>
        </w:sectPr>
      </w:pPr>
    </w:p>
    <w:p>
      <w:pPr>
        <w:ind w:left="1860"/>
        <w:spacing w:after="0" w:line="188"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168"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Arial Unicode MS" w:cs="Arial Unicode MS" w:eastAsia="Arial Unicode MS" w:hAnsi="Arial Unicode MS"/>
          <w:sz w:val="14"/>
          <w:szCs w:val="14"/>
          <w:color w:val="auto"/>
        </w:rPr>
        <w:t>☒</w:t>
      </w:r>
    </w:p>
    <w:p>
      <w:pPr>
        <w:spacing w:after="0" w:line="136" w:lineRule="exact"/>
        <w:rPr>
          <w:sz w:val="24"/>
          <w:szCs w:val="24"/>
          <w:color w:val="auto"/>
        </w:rPr>
      </w:pPr>
    </w:p>
    <w:p>
      <w:pPr>
        <w:sectPr>
          <w:pgSz w:w="11900" w:h="16838" w:orient="portrait"/>
          <w:cols w:equalWidth="0" w:num="2">
            <w:col w:w="6080" w:space="720"/>
            <w:col w:w="3340"/>
          </w:cols>
          <w:pgMar w:left="840" w:top="661" w:right="919" w:bottom="1440" w:gutter="0" w:footer="0" w:header="0"/>
          <w:type w:val="continuous"/>
        </w:sectPr>
      </w:pPr>
    </w:p>
    <w:p>
      <w:pPr>
        <w:ind w:left="6800"/>
        <w:spacing w:after="0" w:line="188"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Arial Unicode MS" w:cs="Arial Unicode MS" w:eastAsia="Arial Unicode MS" w:hAnsi="Arial Unicode MS"/>
          <w:sz w:val="14"/>
          <w:szCs w:val="14"/>
          <w:color w:val="auto"/>
        </w:rPr>
        <w:t>☐</w:t>
      </w:r>
    </w:p>
    <w:p>
      <w:pPr>
        <w:sectPr>
          <w:pgSz w:w="11900" w:h="16838" w:orient="portrait"/>
          <w:cols w:equalWidth="0" w:num="1">
            <w:col w:w="10140"/>
          </w:cols>
          <w:pgMar w:left="840" w:top="661" w:right="919" w:bottom="1440" w:gutter="0" w:footer="0" w:header="0"/>
          <w:type w:val="continuous"/>
        </w:sectPr>
      </w:pPr>
    </w:p>
    <w:p>
      <w:pPr>
        <w:spacing w:after="0" w:line="222" w:lineRule="exact"/>
        <w:rPr>
          <w:sz w:val="24"/>
          <w:szCs w:val="24"/>
          <w:color w:val="auto"/>
        </w:rPr>
      </w:pPr>
    </w:p>
    <w:p>
      <w:pPr>
        <w:ind w:right="1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29"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the registrant’s common stock, $0.001 par value per share, outstanding at October 31, 2024 was 42,748,364.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503555</wp:posOffset>
            </wp:positionV>
            <wp:extent cx="649795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66675</wp:posOffset>
            </wp:positionV>
            <wp:extent cx="6497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100965</wp:posOffset>
            </wp:positionV>
            <wp:extent cx="6497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40"/>
          </w:cols>
          <w:pgMar w:left="840" w:top="661" w:right="91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40" w:type="dxa"/>
            <w:vAlign w:val="bottom"/>
            <w:gridSpan w:val="9"/>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60" w:type="dxa"/>
            <w:vAlign w:val="bottom"/>
            <w:gridSpan w:val="11"/>
            <w:vMerge w:val="restart"/>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8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160" w:type="dxa"/>
            <w:vAlign w:val="bottom"/>
            <w:gridSpan w:val="11"/>
            <w:vMerge w:val="continue"/>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7"/>
              </w:rPr>
              <w:t>Forward Looking Statements</w:t>
            </w:r>
          </w:p>
        </w:tc>
        <w:tc>
          <w:tcPr>
            <w:tcW w:w="5160" w:type="dxa"/>
            <w:vAlign w:val="bottom"/>
            <w:gridSpan w:val="11"/>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Summary Risk Factors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1.</w:t>
            </w: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 as of September 30, 2024 and December 31, 2023</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and nine months ended September</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98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30, 2024 and 2023</w:t>
            </w:r>
          </w:p>
        </w:tc>
        <w:tc>
          <w:tcPr>
            <w:tcW w:w="160" w:type="dxa"/>
            <w:vAlign w:val="bottom"/>
            <w:gridSpan w:val="3"/>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(Deficit) Equity for the three and</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02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nine months ended September 30, 2024 and 2023</w:t>
            </w:r>
          </w:p>
        </w:tc>
        <w:tc>
          <w:tcPr>
            <w:tcW w:w="1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nine months ended September 30, 2024</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00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and 2023</w:t>
            </w:r>
          </w:p>
        </w:tc>
        <w:tc>
          <w:tcPr>
            <w:tcW w:w="140" w:type="dxa"/>
            <w:vAlign w:val="bottom"/>
            <w:gridSpan w:val="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920" w:type="dxa"/>
            <w:vAlign w:val="bottom"/>
            <w:tcBorders>
              <w:left w:val="single" w:sz="8" w:color="0000EE"/>
            </w:tcBorders>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453"/>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5160" w:type="dxa"/>
            <w:vAlign w:val="bottom"/>
            <w:gridSpan w:val="11"/>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8"/>
              </w:rPr>
              <w:t>PART II OTHER INFORMATION</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72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140" w:type="dxa"/>
            <w:vAlign w:val="bottom"/>
          </w:tcPr>
          <w:p>
            <w:pPr>
              <w:spacing w:after="0"/>
              <w:rPr>
                <w:sz w:val="17"/>
                <w:szCs w:val="17"/>
                <w:color w:val="auto"/>
              </w:rPr>
            </w:pP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140" w:type="dxa"/>
            <w:vAlign w:val="bottom"/>
          </w:tcPr>
          <w:p>
            <w:pPr>
              <w:spacing w:after="0"/>
              <w:rPr>
                <w:sz w:val="17"/>
                <w:szCs w:val="17"/>
                <w:color w:val="auto"/>
              </w:rPr>
            </w:pP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5"/>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5"/>
            <w:shd w:val="clear" w:color="auto" w:fill="0000EE"/>
          </w:tcPr>
          <w:p>
            <w:pPr>
              <w:spacing w:after="0" w:line="20" w:lineRule="exact"/>
              <w:rPr>
                <w:sz w:val="1"/>
                <w:szCs w:val="1"/>
                <w:color w:val="auto"/>
              </w:rPr>
            </w:pPr>
          </w:p>
        </w:tc>
        <w:tc>
          <w:tcPr>
            <w:tcW w:w="4940" w:type="dxa"/>
            <w:vAlign w:val="bottom"/>
            <w:gridSpan w:val="1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500" w:type="dxa"/>
            <w:vAlign w:val="bottom"/>
            <w:gridSpan w:val="1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960" w:type="dxa"/>
            <w:vAlign w:val="bottom"/>
            <w:gridSpan w:val="1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660" w:type="dxa"/>
            <w:vAlign w:val="bottom"/>
            <w:gridSpan w:val="1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Signatures</w:t>
            </w:r>
          </w:p>
        </w:tc>
        <w:tc>
          <w:tcPr>
            <w:tcW w:w="7220" w:type="dxa"/>
            <w:vAlign w:val="bottom"/>
            <w:gridSpan w:val="20"/>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ind w:left="60" w:right="199" w:firstLine="324"/>
        <w:spacing w:after="0" w:line="23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The words “anticipate,” “believe,” “can,” “continue,” “could,” “designed,” “estimate,” “expect,” “forecast,” “goal,” “intend,” “may,” “might,” “plan,” “possible,” “potential,” “predict,” “project,” “should,” “target,” “will,” “would” and similar expressions are intended to identify forward-looking statements, though not all forward-looking statements use these words or expressions. All statements contained in this Quarterly Report on Form 10-Q, other than statements of historical fact, are forward-looking statements, including, without limitation, statements regarding:</w:t>
      </w:r>
    </w:p>
    <w:p>
      <w:pPr>
        <w:spacing w:after="0" w:line="5" w:lineRule="exact"/>
        <w:rPr>
          <w:sz w:val="20"/>
          <w:szCs w:val="20"/>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strategy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strategy relating to, anticipated benefits from, and cost savings from our Reprioritization (as defined herein);</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and continue as a going concern;</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TRANQUILITY program;</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total addressable markets and related underlying estimates;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clinical trials and marketing applications for our product candidates;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and commercialize our current and future product candidates;</w:t>
      </w:r>
    </w:p>
    <w:p>
      <w:pPr>
        <w:ind w:left="720" w:right="599" w:hanging="319"/>
        <w:spacing w:after="0" w:line="22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seek to enter into collaborations for the development and commercialization of certain product candidates;</w:t>
      </w:r>
    </w:p>
    <w:p>
      <w:pPr>
        <w:spacing w:after="0" w:line="1" w:lineRule="exact"/>
        <w:rPr>
          <w:rFonts w:ascii="Times New Roman" w:cs="Times New Roman" w:eastAsia="Times New Roman" w:hAnsi="Times New Roman"/>
          <w:sz w:val="18"/>
          <w:szCs w:val="18"/>
          <w:color w:val="auto"/>
        </w:rPr>
      </w:pP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any future collaboration;</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our product candidates;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results of discussions we have with regulators;</w:t>
      </w:r>
    </w:p>
    <w:p>
      <w:pPr>
        <w:ind w:left="720" w:right="959" w:hanging="319"/>
        <w:spacing w:after="0" w:line="185"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clinical utility, number of prescribers and formulary wins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any product candidates for which we receive marketing approval;</w:t>
      </w:r>
    </w:p>
    <w:p>
      <w:pPr>
        <w:spacing w:after="0" w:line="1" w:lineRule="exact"/>
        <w:rPr>
          <w:rFonts w:ascii="Times New Roman" w:cs="Times New Roman" w:eastAsia="Times New Roman" w:hAnsi="Times New Roman"/>
          <w:sz w:val="18"/>
          <w:szCs w:val="18"/>
          <w:color w:val="auto"/>
        </w:rPr>
      </w:pPr>
    </w:p>
    <w:p>
      <w:pPr>
        <w:ind w:left="720" w:right="359" w:hanging="319"/>
        <w:spacing w:after="0" w:line="22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 including the potential benefits from any advertising campaigns;</w:t>
      </w:r>
    </w:p>
    <w:p>
      <w:pPr>
        <w:spacing w:after="0" w:line="1" w:lineRule="exact"/>
        <w:rPr>
          <w:rFonts w:ascii="Times New Roman" w:cs="Times New Roman" w:eastAsia="Times New Roman" w:hAnsi="Times New Roman"/>
          <w:sz w:val="18"/>
          <w:szCs w:val="18"/>
          <w:color w:val="auto"/>
        </w:rPr>
      </w:pP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participation in, and any potential benefits from, events, conferences, presentations and conventions;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 strategy;</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 for additional financing;</w:t>
      </w:r>
    </w:p>
    <w:p>
      <w:pPr>
        <w:ind w:left="720" w:right="1039" w:hanging="319"/>
        <w:spacing w:after="0" w:line="22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investments in, or other strategic options for, our subsidiary, OnkosXcel Therapeutics, LLC (“OnkosXcel”);</w:t>
      </w:r>
    </w:p>
    <w:p>
      <w:pPr>
        <w:spacing w:after="0" w:line="1" w:lineRule="exact"/>
        <w:rPr>
          <w:rFonts w:ascii="Times New Roman" w:cs="Times New Roman" w:eastAsia="Times New Roman" w:hAnsi="Times New Roman"/>
          <w:sz w:val="18"/>
          <w:szCs w:val="18"/>
          <w:color w:val="auto"/>
        </w:rPr>
      </w:pP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covenants under our financing arrangements;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legal proceedings and investigations; and</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 with BioXcel LLC.</w:t>
      </w:r>
    </w:p>
    <w:p>
      <w:pPr>
        <w:spacing w:after="0" w:line="84" w:lineRule="exact"/>
        <w:rPr>
          <w:sz w:val="20"/>
          <w:szCs w:val="20"/>
          <w:color w:val="auto"/>
        </w:rPr>
      </w:pPr>
    </w:p>
    <w:p>
      <w:pPr>
        <w:ind w:left="60" w:right="199" w:firstLine="324"/>
        <w:spacing w:after="0" w:line="232" w:lineRule="auto"/>
        <w:rPr>
          <w:sz w:val="20"/>
          <w:szCs w:val="20"/>
          <w:color w:val="auto"/>
        </w:rPr>
      </w:pPr>
      <w:r>
        <w:rPr>
          <w:rFonts w:ascii="Times New Roman" w:cs="Times New Roman" w:eastAsia="Times New Roman" w:hAnsi="Times New Roman"/>
          <w:sz w:val="18"/>
          <w:szCs w:val="18"/>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those listed under “Summary Risk Factors,” Part II, Item 1A. “Risk Factors,” and Part I, Item 2. “Management’s Discussion and Analysis of Financial Condition and Results of Operations” and elsewhere in this Quarterly Report on Form 10-Q. These and other important factors discussed under the caption “Risk Factors” in our other filings with the Securities and Exchange Commission (“SEC”) could cause actual results to differ materially from those indicated by the forward-looking statements made in this filing. Given these uncertainties, you should not rely on these forward-looking statements as predictions of future events. While we may elect to update forward-looking statements at some point in the future, we disclaim any obligation to do so, even if subsequent events cause our views to change.</w:t>
      </w:r>
    </w:p>
    <w:p>
      <w:pPr>
        <w:spacing w:after="0" w:line="81" w:lineRule="exact"/>
        <w:rPr>
          <w:sz w:val="20"/>
          <w:szCs w:val="20"/>
          <w:color w:val="auto"/>
        </w:rPr>
      </w:pPr>
    </w:p>
    <w:p>
      <w:pPr>
        <w:ind w:left="60" w:right="299" w:firstLine="324"/>
        <w:spacing w:after="0" w:line="264" w:lineRule="auto"/>
        <w:rPr>
          <w:sz w:val="20"/>
          <w:szCs w:val="20"/>
          <w:color w:val="auto"/>
        </w:rPr>
      </w:pPr>
      <w:r>
        <w:rPr>
          <w:rFonts w:ascii="Times New Roman" w:cs="Times New Roman" w:eastAsia="Times New Roman" w:hAnsi="Times New Roman"/>
          <w:sz w:val="17"/>
          <w:szCs w:val="17"/>
          <w:color w:val="auto"/>
        </w:rPr>
        <w:t>As used in this Quarterly Report on Form 10-Q, unless otherwise specified or the context otherwise requires, the terms “we,” “our,” “us,” the “Company” or “BTI” refer to BioXcel Therapeutics, Inc. and “BioXcel LLC” refers to the Company’s former parent company and significant stockholder, BioXcel LLC and its predecessor, BioXcel Corporation.</w:t>
      </w:r>
    </w:p>
    <w:p>
      <w:pPr>
        <w:spacing w:after="0" w:line="3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179" w:firstLine="324"/>
        <w:spacing w:after="0" w:line="239" w:lineRule="auto"/>
        <w:rPr>
          <w:sz w:val="20"/>
          <w:szCs w:val="20"/>
          <w:color w:val="auto"/>
        </w:rPr>
      </w:pPr>
      <w:r>
        <w:rPr>
          <w:rFonts w:ascii="Times New Roman" w:cs="Times New Roman" w:eastAsia="Times New Roman" w:hAnsi="Times New Roman"/>
          <w:sz w:val="18"/>
          <w:szCs w:val="18"/>
          <w:color w:val="auto"/>
        </w:rPr>
        <w:t xml:space="preserve">We may use our website as a distribution channel for material information about the Company. Financial and other important information regarding the Company is routinely posted on and accessible through the Investors &amp; Media section of its website at </w:t>
      </w:r>
      <w:r>
        <w:rPr>
          <w:rFonts w:ascii="Times New Roman" w:cs="Times New Roman" w:eastAsia="Times New Roman" w:hAnsi="Times New Roman"/>
          <w:sz w:val="18"/>
          <w:szCs w:val="18"/>
          <w:i w:val="1"/>
          <w:iCs w:val="1"/>
          <w:color w:val="auto"/>
        </w:rPr>
        <w:t>www.bioxceltherapeutics.com</w:t>
      </w:r>
      <w:r>
        <w:rPr>
          <w:rFonts w:ascii="Times New Roman" w:cs="Times New Roman" w:eastAsia="Times New Roman" w:hAnsi="Times New Roman"/>
          <w:sz w:val="18"/>
          <w:szCs w:val="18"/>
          <w:color w:val="auto"/>
        </w:rPr>
        <w:t xml:space="preserve">. In addition, you may automatically receive email alerts and other information about the Company when you enroll your email address by visiting the “Email Alerts” option under the News / Events menu of the Investors &amp; Media section of our website at </w:t>
      </w:r>
      <w:r>
        <w:rPr>
          <w:rFonts w:ascii="Times New Roman" w:cs="Times New Roman" w:eastAsia="Times New Roman" w:hAnsi="Times New Roman"/>
          <w:sz w:val="18"/>
          <w:szCs w:val="18"/>
          <w:i w:val="1"/>
          <w:iCs w:val="1"/>
          <w:color w:val="auto"/>
        </w:rPr>
        <w:t>www.bioxceltherapeutics.com</w:t>
      </w:r>
      <w:r>
        <w:rPr>
          <w:rFonts w:ascii="Times New Roman" w:cs="Times New Roman" w:eastAsia="Times New Roman" w:hAnsi="Times New Roman"/>
          <w:sz w:val="18"/>
          <w:szCs w:val="18"/>
          <w:color w:val="auto"/>
        </w:rPr>
        <w:t>.</w:t>
      </w:r>
    </w:p>
    <w:p>
      <w:pPr>
        <w:spacing w:after="0" w:line="35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75" w:lineRule="exact"/>
        <w:rPr>
          <w:sz w:val="20"/>
          <w:szCs w:val="20"/>
          <w:color w:val="auto"/>
        </w:rPr>
      </w:pPr>
    </w:p>
    <w:p>
      <w:pPr>
        <w:ind w:left="60" w:right="599" w:firstLine="324"/>
        <w:spacing w:after="0" w:line="289" w:lineRule="auto"/>
        <w:rPr>
          <w:sz w:val="20"/>
          <w:szCs w:val="20"/>
          <w:color w:val="auto"/>
        </w:rPr>
      </w:pPr>
      <w:r>
        <w:rPr>
          <w:rFonts w:ascii="Times New Roman" w:cs="Times New Roman" w:eastAsia="Times New Roman" w:hAnsi="Times New Roman"/>
          <w:sz w:val="17"/>
          <w:szCs w:val="17"/>
          <w:color w:val="auto"/>
        </w:rPr>
        <w:t>Our business is subject to numerous risks and uncertainties, including those described in Part II, Item 1A. “Risk Factors” in this Quarterly Report on Form 10-Q. You should carefully consider these risks and uncertainties when investing in our common stock. The principal risks and uncertainties affecting our business include the following:</w:t>
      </w:r>
    </w:p>
    <w:p>
      <w:pPr>
        <w:spacing w:after="0" w:line="117" w:lineRule="exact"/>
        <w:rPr>
          <w:sz w:val="20"/>
          <w:szCs w:val="20"/>
          <w:color w:val="auto"/>
        </w:rPr>
      </w:pPr>
    </w:p>
    <w:p>
      <w:pPr>
        <w:ind w:left="720" w:right="49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have not generated substantial product revenues to date, which may make it difficult to evaluate the success of our business to date and to assess our future viability.</w:t>
      </w:r>
    </w:p>
    <w:p>
      <w:pPr>
        <w:spacing w:after="0" w:line="121" w:lineRule="exact"/>
        <w:rPr>
          <w:rFonts w:ascii="Times New Roman" w:cs="Times New Roman" w:eastAsia="Times New Roman" w:hAnsi="Times New Roman"/>
          <w:sz w:val="18"/>
          <w:szCs w:val="18"/>
          <w:color w:val="auto"/>
        </w:rPr>
      </w:pPr>
    </w:p>
    <w:p>
      <w:pPr>
        <w:ind w:left="720" w:right="679" w:hanging="319"/>
        <w:spacing w:after="0" w:line="312" w:lineRule="auto"/>
        <w:tabs>
          <w:tab w:leader="none" w:pos="7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significant operating losses since inception and anticipate that we will continue to incur substantial operating losses for the foreseeable future and may never achieve or maintain profitability.</w:t>
      </w:r>
    </w:p>
    <w:p>
      <w:pPr>
        <w:spacing w:after="0" w:line="112" w:lineRule="exact"/>
        <w:rPr>
          <w:rFonts w:ascii="Times New Roman" w:cs="Times New Roman" w:eastAsia="Times New Roman" w:hAnsi="Times New Roman"/>
          <w:sz w:val="17"/>
          <w:szCs w:val="17"/>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reprioritization and other workforce reductions may not achieve our intended outcome.</w:t>
      </w:r>
    </w:p>
    <w:p>
      <w:pPr>
        <w:spacing w:after="0" w:line="184" w:lineRule="exact"/>
        <w:rPr>
          <w:rFonts w:ascii="Times New Roman" w:cs="Times New Roman" w:eastAsia="Times New Roman" w:hAnsi="Times New Roman"/>
          <w:sz w:val="18"/>
          <w:szCs w:val="18"/>
          <w:color w:val="auto"/>
        </w:rPr>
      </w:pPr>
    </w:p>
    <w:p>
      <w:pPr>
        <w:ind w:left="720" w:right="139" w:hanging="319"/>
        <w:spacing w:after="0" w:line="258"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and if we are unable to raise capital when needed, we could be forced to delay, reduce or eliminate our product development programs or commercialization efforts or otherwise seek strategic alternatives. In addition, the failure to raise additional financing in accordance with the minimum capital raising requirements of our Credit Agreement (as defined herein) would trigger an event of default thereunder.</w:t>
      </w:r>
    </w:p>
    <w:p>
      <w:pPr>
        <w:spacing w:after="0" w:line="142" w:lineRule="exact"/>
        <w:rPr>
          <w:rFonts w:ascii="Times New Roman" w:cs="Times New Roman" w:eastAsia="Times New Roman" w:hAnsi="Times New Roman"/>
          <w:sz w:val="18"/>
          <w:szCs w:val="18"/>
          <w:color w:val="auto"/>
        </w:rPr>
      </w:pPr>
    </w:p>
    <w:p>
      <w:pPr>
        <w:ind w:left="720" w:right="31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significant indebtedness and other contractual obligations that could impair our liquidity, restrict our ability to do business and thereby harm our business, results of operations and financial condition. We may not have sufficient cash flow from operations to satisfy our obligations under our financing facilities.</w:t>
      </w:r>
    </w:p>
    <w:p>
      <w:pPr>
        <w:spacing w:after="0" w:line="148" w:lineRule="exact"/>
        <w:rPr>
          <w:rFonts w:ascii="Times New Roman" w:cs="Times New Roman" w:eastAsia="Times New Roman" w:hAnsi="Times New Roman"/>
          <w:sz w:val="18"/>
          <w:szCs w:val="18"/>
          <w:color w:val="auto"/>
        </w:rPr>
      </w:pPr>
    </w:p>
    <w:p>
      <w:pPr>
        <w:ind w:left="720" w:right="49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conditions and events that raise substantial doubt about our ability to continue as a going concern.</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in drug discovery and drug development.</w:t>
      </w:r>
    </w:p>
    <w:p>
      <w:pPr>
        <w:spacing w:after="0" w:line="184" w:lineRule="exact"/>
        <w:rPr>
          <w:rFonts w:ascii="Times New Roman" w:cs="Times New Roman" w:eastAsia="Times New Roman" w:hAnsi="Times New Roman"/>
          <w:sz w:val="18"/>
          <w:szCs w:val="18"/>
          <w:color w:val="auto"/>
        </w:rPr>
      </w:pPr>
    </w:p>
    <w:p>
      <w:pPr>
        <w:ind w:left="720" w:right="219" w:hanging="319"/>
        <w:spacing w:after="0" w:line="258"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TRANQUILITY II Phase 3 trial may impact the timing of our development plans for, and prospects for seeking or obtaining regulatory approval of, BXCL501 for the acute treatment of agitation (non-daily) associated with dementia in patients with probable Alzheimer’s disease and may also subject us to additional risks and uncertainties, including regulatory, stockholder or other actions, loss of investor confidence and negative impacts on the trading price of our common stock.</w:t>
      </w:r>
    </w:p>
    <w:p>
      <w:pPr>
        <w:spacing w:after="0" w:line="148" w:lineRule="exact"/>
        <w:rPr>
          <w:rFonts w:ascii="Times New Roman" w:cs="Times New Roman" w:eastAsia="Times New Roman" w:hAnsi="Times New Roman"/>
          <w:sz w:val="18"/>
          <w:szCs w:val="18"/>
          <w:color w:val="auto"/>
        </w:rPr>
      </w:pPr>
    </w:p>
    <w:p>
      <w:pPr>
        <w:ind w:left="720" w:right="179" w:hanging="319"/>
        <w:spacing w:after="0" w:line="217"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near term, we are dependent on the success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and four of our product candidates, BXCL501, BXCL502, BXCL701 and BXCL702. If we are unable to complete the clinical development of or obtain marketing approval for our product candidates or successfully commercialize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our product candidates, either alone or with a collaborator, or if we experience significant delays in doing so, our business could be substantially harmed.</w:t>
      </w:r>
    </w:p>
    <w:p>
      <w:pPr>
        <w:spacing w:after="0" w:line="161" w:lineRule="exact"/>
        <w:rPr>
          <w:rFonts w:ascii="Times New Roman" w:cs="Times New Roman" w:eastAsia="Times New Roman" w:hAnsi="Times New Roman"/>
          <w:sz w:val="18"/>
          <w:szCs w:val="18"/>
          <w:color w:val="auto"/>
        </w:rPr>
      </w:pPr>
    </w:p>
    <w:p>
      <w:pPr>
        <w:ind w:left="720" w:right="15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35" w:lineRule="exact"/>
        <w:rPr>
          <w:rFonts w:ascii="Times New Roman" w:cs="Times New Roman" w:eastAsia="Times New Roman" w:hAnsi="Times New Roman"/>
          <w:sz w:val="18"/>
          <w:szCs w:val="18"/>
          <w:color w:val="auto"/>
        </w:rPr>
      </w:pPr>
    </w:p>
    <w:p>
      <w:pPr>
        <w:ind w:left="720" w:right="219" w:hanging="319"/>
        <w:spacing w:after="0" w:line="261"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United States (“U.S.”) Food and Drug Administration (“FDA”), and comparable foreign authorities are lengthy, time consuming, expensive and inherently unpredictable, and if we are ultimately unable to obtain regulatory approval for our product candidates, our business will be substantially harmed.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are expensive, difficult to design, difficult to conduct and involve an uncertain outcome.</w:t>
      </w:r>
    </w:p>
    <w:p>
      <w:pPr>
        <w:spacing w:after="0" w:line="198" w:lineRule="exact"/>
        <w:rPr>
          <w:rFonts w:ascii="Times New Roman" w:cs="Times New Roman" w:eastAsia="Times New Roman" w:hAnsi="Times New Roman"/>
          <w:sz w:val="18"/>
          <w:szCs w:val="18"/>
          <w:color w:val="auto"/>
        </w:rPr>
      </w:pPr>
    </w:p>
    <w:p>
      <w:pPr>
        <w:ind w:left="720" w:right="2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enrollment of patients in our clinical trials to continue development of our product candidates. If we are unable to enroll patients in our clinical trials, our research and development efforts could be adversely affected.</w:t>
      </w:r>
    </w:p>
    <w:p>
      <w:pPr>
        <w:spacing w:after="0" w:line="135" w:lineRule="exact"/>
        <w:rPr>
          <w:rFonts w:ascii="Times New Roman" w:cs="Times New Roman" w:eastAsia="Times New Roman" w:hAnsi="Times New Roman"/>
          <w:sz w:val="18"/>
          <w:szCs w:val="18"/>
          <w:color w:val="auto"/>
        </w:rPr>
      </w:pPr>
    </w:p>
    <w:p>
      <w:pPr>
        <w:ind w:left="720" w:right="299" w:hanging="319"/>
        <w:spacing w:after="0" w:line="258"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estimated number of episodes of agitation and our corresponding estimated total addressable market are subject to inherent challenges and uncertainties. If we have overestimated the number of episodes or the size of our total addressable market for our current and potential future products or product candidates, or if any approval that we obtain is based on a narrower definition of the patient population, our revenue and ability to achieve profitability may be harmed.</w:t>
      </w:r>
    </w:p>
    <w:p>
      <w:pPr>
        <w:spacing w:after="0" w:line="142" w:lineRule="exact"/>
        <w:rPr>
          <w:rFonts w:ascii="Times New Roman" w:cs="Times New Roman" w:eastAsia="Times New Roman" w:hAnsi="Times New Roman"/>
          <w:sz w:val="18"/>
          <w:szCs w:val="18"/>
          <w:color w:val="auto"/>
        </w:rPr>
      </w:pPr>
    </w:p>
    <w:p>
      <w:pPr>
        <w:ind w:left="720" w:right="31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discovery and development of product candidates based on EvolverAI, BioXcel LLC’s proprietary pharmaceutical discovery and development engine, as well as our own AI platform is novel and unproven, and we do not know whether we will be able to develop any products of commercial value.</w:t>
      </w:r>
    </w:p>
    <w:p>
      <w:pPr>
        <w:spacing w:after="0" w:line="148" w:lineRule="exact"/>
        <w:rPr>
          <w:rFonts w:ascii="Times New Roman" w:cs="Times New Roman" w:eastAsia="Times New Roman" w:hAnsi="Times New Roman"/>
          <w:sz w:val="18"/>
          <w:szCs w:val="18"/>
          <w:color w:val="auto"/>
        </w:rPr>
      </w:pPr>
    </w:p>
    <w:p>
      <w:pPr>
        <w:ind w:left="720" w:right="21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limit our ability to develop or implement our proprietary AI algorithms and/or may eliminate or restrict the confidentiality of our proprietary technology, which could have an adverse effect on our business, results of operations, and financial condition.</w:t>
      </w:r>
    </w:p>
    <w:p>
      <w:pPr>
        <w:spacing w:after="0" w:line="127" w:lineRule="exact"/>
        <w:rPr>
          <w:rFonts w:ascii="Times New Roman" w:cs="Times New Roman" w:eastAsia="Times New Roman" w:hAnsi="Times New Roman"/>
          <w:sz w:val="18"/>
          <w:szCs w:val="18"/>
          <w:color w:val="auto"/>
        </w:rPr>
      </w:pPr>
    </w:p>
    <w:p>
      <w:pPr>
        <w:jc w:val="both"/>
        <w:ind w:left="720" w:right="319" w:hanging="319"/>
        <w:spacing w:after="0" w:line="234"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FDA has approved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for the acute treatment of agitation associated with schizophrenia or bipolar I or II disorder, we will still face extensive and ongoing regulatory requirements and obligations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for any product candidates for which we obtain approval.</w:t>
      </w:r>
    </w:p>
    <w:p>
      <w:pPr>
        <w:spacing w:after="0" w:line="38" w:lineRule="exact"/>
        <w:rPr>
          <w:rFonts w:ascii="Times New Roman" w:cs="Times New Roman" w:eastAsia="Times New Roman" w:hAnsi="Times New Roman"/>
          <w:sz w:val="18"/>
          <w:szCs w:val="18"/>
          <w:color w:val="auto"/>
        </w:rPr>
      </w:pPr>
    </w:p>
    <w:p>
      <w:pPr>
        <w:ind w:left="720" w:right="239" w:hanging="319"/>
        <w:spacing w:after="0" w:line="22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obtained FDA approval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our products and product candidates may not be accepted by physicians or the medical community in general, and there may be insufficient insurance coverage and reimbursement.</w:t>
      </w:r>
    </w:p>
    <w:p>
      <w:pPr>
        <w:spacing w:after="0" w:line="173" w:lineRule="exact"/>
        <w:rPr>
          <w:rFonts w:ascii="Times New Roman" w:cs="Times New Roman" w:eastAsia="Times New Roman" w:hAnsi="Times New Roman"/>
          <w:sz w:val="18"/>
          <w:szCs w:val="18"/>
          <w:color w:val="auto"/>
        </w:rPr>
      </w:pPr>
    </w:p>
    <w:p>
      <w:pPr>
        <w:ind w:left="720" w:right="15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found in violation of federal, state or foreign health care “fraud and abuse” laws, we may be required to pay significant fines and penalties, which may adversely affect our business, financial condition and results of operations.</w:t>
      </w:r>
    </w:p>
    <w:p>
      <w:pPr>
        <w:spacing w:after="0" w:line="13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depend on BioXcel LLC to provide us with certain services for our business.</w:t>
      </w:r>
    </w:p>
    <w:p>
      <w:pPr>
        <w:spacing w:after="0" w:line="184"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BioXcel LLC has significant influence over the direction of our business, and the concentrated ownership of our common stock will prevent you and other stockholders from influencing significant decisions.</w:t>
      </w:r>
    </w:p>
    <w:p>
      <w:pPr>
        <w:spacing w:after="0" w:line="134" w:lineRule="exact"/>
        <w:rPr>
          <w:rFonts w:ascii="Times New Roman" w:cs="Times New Roman" w:eastAsia="Times New Roman" w:hAnsi="Times New Roman"/>
          <w:sz w:val="18"/>
          <w:szCs w:val="18"/>
          <w:color w:val="auto"/>
        </w:rPr>
      </w:pPr>
    </w:p>
    <w:p>
      <w:pPr>
        <w:jc w:val="both"/>
        <w:ind w:left="720" w:right="699" w:hanging="319"/>
        <w:spacing w:after="0" w:line="224"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third parties for the manufacture of our clinical supplies of our product candidates, and our commercial supplies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and we intend to rely on third parties to produce commercial supplies of any other approved product candidate.</w:t>
      </w:r>
    </w:p>
    <w:p>
      <w:pPr>
        <w:spacing w:after="0" w:line="158" w:lineRule="exact"/>
        <w:rPr>
          <w:rFonts w:ascii="Times New Roman" w:cs="Times New Roman" w:eastAsia="Times New Roman" w:hAnsi="Times New Roman"/>
          <w:sz w:val="18"/>
          <w:szCs w:val="18"/>
          <w:color w:val="auto"/>
        </w:rPr>
      </w:pPr>
    </w:p>
    <w:p>
      <w:pPr>
        <w:ind w:left="720" w:right="159" w:hanging="319"/>
        <w:spacing w:after="0" w:line="289" w:lineRule="auto"/>
        <w:tabs>
          <w:tab w:leader="none" w:pos="7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third parties to conduct our preclinical and clinical trials. If these third parties do not successfully perform their contractual legal and regulatory duties or meet expected deadlines, we may not be able to obtain regulatory approval for or commercialize our product candidates and our business could be substantially harmed.</w:t>
      </w:r>
    </w:p>
    <w:p>
      <w:pPr>
        <w:spacing w:after="0" w:line="117" w:lineRule="exact"/>
        <w:rPr>
          <w:rFonts w:ascii="Times New Roman" w:cs="Times New Roman" w:eastAsia="Times New Roman" w:hAnsi="Times New Roman"/>
          <w:sz w:val="17"/>
          <w:szCs w:val="17"/>
          <w:color w:val="auto"/>
        </w:rPr>
      </w:pPr>
    </w:p>
    <w:p>
      <w:pPr>
        <w:ind w:left="720" w:right="29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breaches or cyber-attacks could disrupt our business, operations and information technology systems, and financial results, or result in the loss or exposure of confidential or sensitive Company information.</w:t>
      </w:r>
    </w:p>
    <w:p>
      <w:pPr>
        <w:spacing w:after="0" w:line="134" w:lineRule="exact"/>
        <w:rPr>
          <w:rFonts w:ascii="Times New Roman" w:cs="Times New Roman" w:eastAsia="Times New Roman" w:hAnsi="Times New Roman"/>
          <w:sz w:val="18"/>
          <w:szCs w:val="18"/>
          <w:color w:val="auto"/>
        </w:rPr>
      </w:pPr>
    </w:p>
    <w:p>
      <w:pPr>
        <w:ind w:left="720" w:right="179" w:hanging="319"/>
        <w:spacing w:after="0" w:line="261"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and may in the future be subject to legal proceedings, claims and investigations in or outside the ordinary course of business. Such proceedings, claims and investigations could be costly and time-consuming to defend and could result in unfavorable outcomes, which may have a material adverse effect on our business, operating results and financial condition, and negatively affect the price of our common stock.</w:t>
      </w:r>
    </w:p>
    <w:p>
      <w:pPr>
        <w:spacing w:after="0" w:line="3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439" w:hanging="319"/>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global political or economic events and conditions could adversely affect our business, financial condition or results of operations.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associated with the increased scrutiny relating to environmental, social and governance matters.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difficult and costly to protect our proprietary rights, and we may not be able to ensure their protection.</w:t>
      </w:r>
    </w:p>
    <w:p>
      <w:pPr>
        <w:spacing w:after="0" w:line="200" w:lineRule="exact"/>
        <w:rPr>
          <w:sz w:val="20"/>
          <w:szCs w:val="20"/>
          <w:color w:val="auto"/>
        </w:rPr>
      </w:pPr>
    </w:p>
    <w:p>
      <w:pPr>
        <w:spacing w:after="0" w:line="386"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TRADEMARKS, TRADE NAMES AND SERVICE MARKS</w:t>
      </w:r>
    </w:p>
    <w:p>
      <w:pPr>
        <w:spacing w:after="0" w:line="189" w:lineRule="exact"/>
        <w:rPr>
          <w:sz w:val="20"/>
          <w:szCs w:val="20"/>
          <w:color w:val="auto"/>
        </w:rPr>
      </w:pPr>
    </w:p>
    <w:p>
      <w:pPr>
        <w:ind w:left="60" w:right="139" w:firstLine="324"/>
        <w:spacing w:after="0" w:line="216" w:lineRule="auto"/>
        <w:rPr>
          <w:sz w:val="20"/>
          <w:szCs w:val="20"/>
          <w:color w:val="auto"/>
        </w:rPr>
      </w:pPr>
      <w:r>
        <w:rPr>
          <w:rFonts w:ascii="Times New Roman" w:cs="Times New Roman" w:eastAsia="Times New Roman" w:hAnsi="Times New Roman"/>
          <w:sz w:val="18"/>
          <w:szCs w:val="18"/>
          <w:color w:val="auto"/>
        </w:rPr>
        <w:t>This Quarterly Report includes our trademarks, trade names and service marks, including, without limitation,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our logo, which are our property and are protected under applicable intellectual property laws. Solely for convenience, trademarks, trade names and service marks may appear in this Quarterly Report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symbols, but such references are not intended to indicate, in any way, that we or the applicable owner forgo or will not assert, to the fullest extent permitted under applicable law, our rights or the rights of any applicable licensors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6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INDUSTRY AND OTHER DATA</w:t>
      </w:r>
    </w:p>
    <w:p>
      <w:pPr>
        <w:spacing w:after="0" w:line="202"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Unless otherwise indicated, information contained in this Quarterly Report concerning our industry and the markets in which we operate, including our general expectations, market position and market opportunity, is based on our management’s estimates and research, as well as industry and general publications and research, surveys and studies conducted by third parties. While we believe the information from these third-party publications, research, surveys and studies included in this Quarterly Report is reliable, we do not guarantee the accuracy or completeness of such information, and we have not independently verified this information. Management’s estimates are derived from publicly available information, their knowledge of our industry and their assumptions based on such information and knowledge, which we believe to be reasonable. This data involves a number of assumptions and limitations which are necessarily subject to a high degree of uncertainty and risk due to a variety of factors, including those described in this Quarterly Report under “Forward-Looking Statements” and Part II, Item 1A “Risk Factors.” These and other factors could cause our future performance and market expectations to differ materially from our assumptions and estimates.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1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6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5"/>
                <w:szCs w:val="15"/>
                <w:color w:val="auto"/>
              </w:rPr>
            </w:pPr>
          </w:p>
        </w:tc>
        <w:tc>
          <w:tcPr>
            <w:tcW w:w="76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65,221</w:t>
            </w:r>
          </w:p>
        </w:tc>
        <w:tc>
          <w:tcPr>
            <w:tcW w:w="0" w:type="dxa"/>
            <w:vAlign w:val="bottom"/>
          </w:tcPr>
          <w:p>
            <w:pPr>
              <w:spacing w:after="0"/>
              <w:rPr>
                <w:sz w:val="1"/>
                <w:szCs w:val="1"/>
                <w:color w:val="auto"/>
              </w:rPr>
            </w:pPr>
          </w:p>
        </w:tc>
      </w:tr>
      <w:tr>
        <w:trPr>
          <w:trHeight w:val="216"/>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0" w:type="dxa"/>
            <w:vAlign w:val="bottom"/>
          </w:tcPr>
          <w:p>
            <w:pPr>
              <w:spacing w:after="0"/>
              <w:rPr>
                <w:sz w:val="1"/>
                <w:szCs w:val="1"/>
                <w:color w:val="auto"/>
              </w:rPr>
            </w:pPr>
          </w:p>
        </w:tc>
      </w:tr>
      <w:tr>
        <w:trPr>
          <w:trHeight w:val="216"/>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0" w:type="dxa"/>
            <w:vAlign w:val="bottom"/>
          </w:tcPr>
          <w:p>
            <w:pPr>
              <w:spacing w:after="0"/>
              <w:rPr>
                <w:sz w:val="1"/>
                <w:szCs w:val="1"/>
                <w:color w:val="auto"/>
              </w:rPr>
            </w:pPr>
          </w:p>
        </w:tc>
      </w:tr>
      <w:tr>
        <w:trPr>
          <w:trHeight w:val="209"/>
        </w:trPr>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47,792</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72,143</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50"/>
        </w:trPr>
        <w:tc>
          <w:tcPr>
            <w:tcW w:w="66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48,892</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73,702</w:t>
            </w:r>
          </w:p>
        </w:tc>
        <w:tc>
          <w:tcPr>
            <w:tcW w:w="0" w:type="dxa"/>
            <w:vAlign w:val="bottom"/>
          </w:tcPr>
          <w:p>
            <w:pPr>
              <w:spacing w:after="0"/>
              <w:rPr>
                <w:sz w:val="1"/>
                <w:szCs w:val="1"/>
                <w:color w:val="auto"/>
              </w:rPr>
            </w:pPr>
          </w:p>
        </w:tc>
      </w:tr>
      <w:tr>
        <w:trPr>
          <w:trHeight w:val="196"/>
        </w:trPr>
        <w:tc>
          <w:tcPr>
            <w:tcW w:w="6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 EQUITY</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14,889</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13,654</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12,424</w:t>
            </w:r>
          </w:p>
        </w:tc>
        <w:tc>
          <w:tcPr>
            <w:tcW w:w="0" w:type="dxa"/>
            <w:vAlign w:val="bottom"/>
          </w:tcPr>
          <w:p>
            <w:pPr>
              <w:spacing w:after="0"/>
              <w:rPr>
                <w:sz w:val="1"/>
                <w:szCs w:val="1"/>
                <w:color w:val="auto"/>
              </w:rPr>
            </w:pPr>
          </w:p>
        </w:tc>
      </w:tr>
      <w:tr>
        <w:trPr>
          <w:trHeight w:val="216"/>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Due to related parties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interest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16"/>
        </w:trPr>
        <w:tc>
          <w:tcPr>
            <w:tcW w:w="6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27,267</w:t>
            </w:r>
          </w:p>
        </w:tc>
        <w:tc>
          <w:tcPr>
            <w:tcW w:w="0" w:type="dxa"/>
            <w:vAlign w:val="bottom"/>
          </w:tcPr>
          <w:p>
            <w:pPr>
              <w:spacing w:after="0"/>
              <w:rPr>
                <w:sz w:val="1"/>
                <w:szCs w:val="1"/>
                <w:color w:val="auto"/>
              </w:rPr>
            </w:pP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portion of operating lease liabilities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0" w:type="dxa"/>
            <w:vAlign w:val="bottom"/>
          </w:tcPr>
          <w:p>
            <w:pPr>
              <w:spacing w:after="0"/>
              <w:rPr>
                <w:sz w:val="1"/>
                <w:szCs w:val="1"/>
                <w:color w:val="auto"/>
              </w:rPr>
            </w:pPr>
          </w:p>
        </w:tc>
      </w:tr>
      <w:tr>
        <w:trPr>
          <w:trHeight w:val="216"/>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104,440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100,598</w:t>
            </w:r>
          </w:p>
        </w:tc>
        <w:tc>
          <w:tcPr>
            <w:tcW w:w="0" w:type="dxa"/>
            <w:vAlign w:val="bottom"/>
          </w:tcPr>
          <w:p>
            <w:pPr>
              <w:spacing w:after="0"/>
              <w:rPr>
                <w:sz w:val="1"/>
                <w:szCs w:val="1"/>
                <w:color w:val="auto"/>
              </w:rPr>
            </w:pPr>
          </w:p>
        </w:tc>
      </w:tr>
      <w:tr>
        <w:trPr>
          <w:trHeight w:val="209"/>
        </w:trPr>
        <w:tc>
          <w:tcPr>
            <w:tcW w:w="6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134,525</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130,210</w:t>
            </w:r>
          </w:p>
        </w:tc>
        <w:tc>
          <w:tcPr>
            <w:tcW w:w="0" w:type="dxa"/>
            <w:vAlign w:val="bottom"/>
          </w:tcPr>
          <w:p>
            <w:pPr>
              <w:spacing w:after="0"/>
              <w:rPr>
                <w:sz w:val="1"/>
                <w:szCs w:val="1"/>
                <w:color w:val="auto"/>
              </w:rPr>
            </w:pPr>
          </w:p>
        </w:tc>
      </w:tr>
      <w:tr>
        <w:trPr>
          <w:trHeight w:val="210"/>
        </w:trPr>
        <w:tc>
          <w:tcPr>
            <w:tcW w:w="6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 shares authorized; no shares issued and</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outstanding as of September 30, 2024 and December 31, 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6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$0.001 par value, 200,000 and 100,000 shares authorized as of</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September 30, 2024 and December 31, 2023, respectively; 42,462 and 29,930 shares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issued and outstanding as of September 30, 2024 and December 31, 2023, respectively</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553,663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534,060</w:t>
            </w:r>
          </w:p>
        </w:tc>
        <w:tc>
          <w:tcPr>
            <w:tcW w:w="0" w:type="dxa"/>
            <w:vAlign w:val="bottom"/>
          </w:tcPr>
          <w:p>
            <w:pPr>
              <w:spacing w:after="0"/>
              <w:rPr>
                <w:sz w:val="1"/>
                <w:szCs w:val="1"/>
                <w:color w:val="auto"/>
              </w:rPr>
            </w:pPr>
          </w:p>
        </w:tc>
      </w:tr>
      <w:tr>
        <w:trPr>
          <w:trHeight w:val="216"/>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(639,338)</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(590,598)</w:t>
            </w:r>
          </w:p>
        </w:tc>
        <w:tc>
          <w:tcPr>
            <w:tcW w:w="0" w:type="dxa"/>
            <w:vAlign w:val="bottom"/>
          </w:tcPr>
          <w:p>
            <w:pPr>
              <w:spacing w:after="0"/>
              <w:rPr>
                <w:sz w:val="1"/>
                <w:szCs w:val="1"/>
                <w:color w:val="auto"/>
              </w:rPr>
            </w:pPr>
          </w:p>
        </w:tc>
      </w:tr>
      <w:tr>
        <w:trPr>
          <w:trHeight w:val="209"/>
        </w:trPr>
        <w:tc>
          <w:tcPr>
            <w:tcW w:w="6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(85,633)</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(56,508)</w:t>
            </w:r>
          </w:p>
        </w:tc>
        <w:tc>
          <w:tcPr>
            <w:tcW w:w="0" w:type="dxa"/>
            <w:vAlign w:val="bottom"/>
          </w:tcPr>
          <w:p>
            <w:pPr>
              <w:spacing w:after="0"/>
              <w:rPr>
                <w:sz w:val="1"/>
                <w:szCs w:val="1"/>
                <w:color w:val="auto"/>
              </w:rPr>
            </w:pPr>
          </w:p>
        </w:tc>
      </w:tr>
      <w:tr>
        <w:trPr>
          <w:trHeight w:val="210"/>
        </w:trPr>
        <w:tc>
          <w:tcPr>
            <w:tcW w:w="6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liabilities and stockholders' (deficit)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48,892</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73,702</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9059"/>
          </w:cols>
          <w:pgMar w:left="140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360045</wp:posOffset>
            </wp:positionV>
            <wp:extent cx="56064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59"/>
          </w:cols>
          <w:pgMar w:left="140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21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425"/>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Product revenue, net</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4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4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48,638</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58,652</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(16,875)</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50"/>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(13,650)</w:t>
            </w:r>
          </w:p>
        </w:tc>
        <w:tc>
          <w:tcPr>
            <w:tcW w:w="200" w:type="dxa"/>
            <w:vAlign w:val="bottom"/>
          </w:tcPr>
          <w:p>
            <w:pPr>
              <w:spacing w:after="0"/>
              <w:rPr>
                <w:sz w:val="21"/>
                <w:szCs w:val="21"/>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(50,486)</w:t>
            </w: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(48,740)</w:t>
            </w:r>
          </w:p>
        </w:tc>
        <w:tc>
          <w:tcPr>
            <w:tcW w:w="200" w:type="dxa"/>
            <w:vAlign w:val="bottom"/>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(156,797)</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40" w:type="dxa"/>
            <w:vAlign w:val="bottom"/>
            <w:tcBorders>
              <w:top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Basic and diluted net loss per share attributable to</w:t>
            </w: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stockholders</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4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42,390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29,268</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29,026</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(DEFICIT) EQUITY</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860" w:type="dxa"/>
            <w:vAlign w:val="bottom"/>
            <w:gridSpan w:val="5"/>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86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860" w:type="dxa"/>
            <w:vAlign w:val="bottom"/>
            <w:tcBorders>
              <w:top w:val="single" w:sz="8" w:color="auto"/>
            </w:tcBorders>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90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2"/>
                <w:szCs w:val="12"/>
                <w:color w:val="auto"/>
              </w:rPr>
            </w:pPr>
          </w:p>
        </w:tc>
        <w:tc>
          <w:tcPr>
            <w:tcW w:w="680" w:type="dxa"/>
            <w:vAlign w:val="bottom"/>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488,292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(411,545)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76,775</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shares, net of offering costs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23,918</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198"/>
        </w:trPr>
        <w:tc>
          <w:tcPr>
            <w:tcW w:w="40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net of employee tax</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(52,796)</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(52,796)</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2023</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517,317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(464,341)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53,005</w:t>
            </w:r>
          </w:p>
        </w:tc>
        <w:tc>
          <w:tcPr>
            <w:tcW w:w="0" w:type="dxa"/>
            <w:vAlign w:val="bottom"/>
          </w:tcPr>
          <w:p>
            <w:pPr>
              <w:spacing w:after="0"/>
              <w:rPr>
                <w:sz w:val="1"/>
                <w:szCs w:val="1"/>
                <w:color w:val="auto"/>
              </w:rPr>
            </w:pPr>
          </w:p>
        </w:tc>
      </w:tr>
      <w:tr>
        <w:trPr>
          <w:trHeight w:val="20"/>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7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80" w:type="dxa"/>
            <w:vAlign w:val="bottom"/>
            <w:vMerge w:val="continue"/>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6,124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6,124</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stock purchase warrants</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198"/>
        </w:trPr>
        <w:tc>
          <w:tcPr>
            <w:tcW w:w="40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net of employee tax</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(53,515)</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(53,515)</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2023</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523,691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(517,856)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0" w:type="dxa"/>
            <w:vAlign w:val="bottom"/>
          </w:tcPr>
          <w:p>
            <w:pPr>
              <w:spacing w:after="0"/>
              <w:rPr>
                <w:sz w:val="1"/>
                <w:szCs w:val="1"/>
                <w:color w:val="auto"/>
              </w:rPr>
            </w:pPr>
          </w:p>
        </w:tc>
      </w:tr>
      <w:tr>
        <w:trPr>
          <w:trHeight w:val="20"/>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7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vMerge w:val="continue"/>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4,014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4,014</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(50,486)</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(50,486)</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2023</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527,705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(568,342)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(40,608)</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080" w:type="dxa"/>
            <w:vAlign w:val="bottom"/>
          </w:tcPr>
          <w:p>
            <w:pPr>
              <w:spacing w:after="0"/>
              <w:rPr>
                <w:sz w:val="17"/>
                <w:szCs w:val="17"/>
                <w:color w:val="auto"/>
              </w:rPr>
            </w:pPr>
          </w:p>
        </w:tc>
        <w:tc>
          <w:tcPr>
            <w:tcW w:w="18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860" w:type="dxa"/>
            <w:vAlign w:val="bottom"/>
            <w:tcBorders>
              <w:top w:val="single" w:sz="8" w:color="auto"/>
            </w:tcBorders>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90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2"/>
                <w:szCs w:val="12"/>
                <w:color w:val="auto"/>
              </w:rPr>
            </w:pPr>
          </w:p>
        </w:tc>
        <w:tc>
          <w:tcPr>
            <w:tcW w:w="680" w:type="dxa"/>
            <w:vAlign w:val="bottom"/>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534,060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(590,598)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(56,508)</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shares, net of offering costs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stock purchase warrants</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pre-funded stock purchase warrants</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(26,791)</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(26,791)</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544,992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(617,389)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(72,363)</w:t>
            </w:r>
          </w:p>
        </w:tc>
        <w:tc>
          <w:tcPr>
            <w:tcW w:w="0" w:type="dxa"/>
            <w:vAlign w:val="bottom"/>
          </w:tcPr>
          <w:p>
            <w:pPr>
              <w:spacing w:after="0"/>
              <w:rPr>
                <w:sz w:val="1"/>
                <w:szCs w:val="1"/>
                <w:color w:val="auto"/>
              </w:rPr>
            </w:pPr>
          </w:p>
        </w:tc>
      </w:tr>
      <w:tr>
        <w:trPr>
          <w:trHeight w:val="20"/>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Issuance of common shares, net of offering costs</w:t>
            </w: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80" w:type="dxa"/>
            <w:vAlign w:val="bottom"/>
            <w:vMerge w:val="continue"/>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6,699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5,306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5,312</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198"/>
        </w:trPr>
        <w:tc>
          <w:tcPr>
            <w:tcW w:w="40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net of employee tax</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(8,299)</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(8,299)</w:t>
            </w: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40,383</w:t>
            </w: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551,347</w:t>
            </w: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(625,688)</w:t>
            </w:r>
          </w:p>
        </w:tc>
        <w:tc>
          <w:tcPr>
            <w:tcW w:w="1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(74,301)</w:t>
            </w:r>
          </w:p>
        </w:tc>
        <w:tc>
          <w:tcPr>
            <w:tcW w:w="0" w:type="dxa"/>
            <w:vAlign w:val="bottom"/>
          </w:tcPr>
          <w:p>
            <w:pPr>
              <w:spacing w:after="0"/>
              <w:rPr>
                <w:sz w:val="1"/>
                <w:szCs w:val="1"/>
                <w:color w:val="auto"/>
              </w:rPr>
            </w:pPr>
          </w:p>
        </w:tc>
      </w:tr>
      <w:tr>
        <w:trPr>
          <w:trHeight w:val="196"/>
        </w:trPr>
        <w:tc>
          <w:tcPr>
            <w:tcW w:w="40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Issuance of common shares, net of offering costs</w:t>
            </w:r>
          </w:p>
        </w:tc>
        <w:tc>
          <w:tcPr>
            <w:tcW w:w="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2,066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451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0" w:type="dxa"/>
            <w:vAlign w:val="bottom"/>
          </w:tcPr>
          <w:p>
            <w:pPr>
              <w:spacing w:after="0"/>
              <w:rPr>
                <w:sz w:val="1"/>
                <w:szCs w:val="1"/>
                <w:color w:val="auto"/>
              </w:rPr>
            </w:pPr>
          </w:p>
        </w:tc>
      </w:tr>
      <w:tr>
        <w:trPr>
          <w:trHeight w:val="198"/>
        </w:trPr>
        <w:tc>
          <w:tcPr>
            <w:tcW w:w="40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net of employee tax</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(13,650)</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(13,650)</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553,663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(639,338)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(85,633)</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17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8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230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656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CASH FLOW ACTIVITIES: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(48,740)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Reconciliation of net loss to net cash used in operating activities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Accretion of debt discount and amortization of financing costs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(16,884)</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Payable-in-kind interest on Credit Agreement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disposal of equipment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other current assets and other assets</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(1,017)</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56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Accounts payable, accrued expenses, due to related parties, and other current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(997)</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interest</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(736)</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(258)</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(57,218)</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CASH FLOW ACTIVITIES: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Purchases of equipment and leasehold improvements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cash from investing activities</w:t>
            </w: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CASH FLOW ACTIVITIES: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issuance of common stock and warrants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Offering costs for common stock and warrants issuance</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(295)</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 of employee tax obligations related to vesting restricted stock units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(24,834)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the period</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65,221</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the period</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40,387</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 of stock purchase warrants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 and where otherwise noted)</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Nature of the Business</w:t>
      </w:r>
    </w:p>
    <w:p>
      <w:pPr>
        <w:spacing w:after="0" w:line="202"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BioXcel Therapeutics, Inc. (“BTI” or the “Company”) is a biopharmaceutical company utilizing artificial intelligence (“AI”) approaches to develop transformative medicines in neuroscience and immuno-oncology. The Company is focused on utilizing cutting-edge technology and innovative research to develop high-value therapeutics aimed at transforming patients’ lives. BTI employs a unique AI platform to reduce therapeutic development costs and potentially accelerate timelines. The Company’s approach leverages existing approved drugs and/or clinically evaluated product candidates together with big data and proprietary machine learning algorithms to identify new therapeutic indices. BTI management believes this differentiated approach has the potential to reduce the expense and time associated with drug development in diseases with substantial unmet medical needs.</w:t>
      </w:r>
    </w:p>
    <w:p>
      <w:pPr>
        <w:spacing w:after="0" w:line="151" w:lineRule="exact"/>
        <w:rPr>
          <w:sz w:val="20"/>
          <w:szCs w:val="20"/>
          <w:color w:val="auto"/>
        </w:rPr>
      </w:pPr>
    </w:p>
    <w:p>
      <w:pPr>
        <w:jc w:val="both"/>
        <w:ind w:left="60" w:right="379" w:firstLine="324"/>
        <w:spacing w:after="0" w:line="261" w:lineRule="auto"/>
        <w:rPr>
          <w:sz w:val="20"/>
          <w:szCs w:val="20"/>
          <w:color w:val="auto"/>
        </w:rPr>
      </w:pPr>
      <w:r>
        <w:rPr>
          <w:rFonts w:ascii="Times New Roman" w:cs="Times New Roman" w:eastAsia="Times New Roman" w:hAnsi="Times New Roman"/>
          <w:sz w:val="18"/>
          <w:szCs w:val="18"/>
          <w:color w:val="auto"/>
        </w:rPr>
        <w:t>As used in these condensed consolidated financial statements, unless otherwise specified or the context otherwise requires, the terms “BioXcel LLC” refers to the Company’s former parent and current significant stockholder, BioXcel LLC and, its predecessor, BioXcel Corporation. “OnkosXcel” refers to BTI’s wholly owned subsidiary for its advanced immuno-oncology assets, OnkosXcel Therapeutics, LLC.</w:t>
      </w:r>
    </w:p>
    <w:p>
      <w:pPr>
        <w:spacing w:after="0" w:line="139" w:lineRule="exact"/>
        <w:rPr>
          <w:sz w:val="20"/>
          <w:szCs w:val="20"/>
          <w:color w:val="auto"/>
        </w:rPr>
      </w:pPr>
    </w:p>
    <w:p>
      <w:pPr>
        <w:ind w:left="60" w:right="319" w:firstLine="324"/>
        <w:spacing w:after="0" w:line="201" w:lineRule="auto"/>
        <w:rPr>
          <w:sz w:val="20"/>
          <w:szCs w:val="20"/>
          <w:color w:val="auto"/>
        </w:rPr>
      </w:pPr>
      <w:r>
        <w:rPr>
          <w:rFonts w:ascii="Times New Roman" w:cs="Times New Roman" w:eastAsia="Times New Roman" w:hAnsi="Times New Roman"/>
          <w:sz w:val="18"/>
          <w:szCs w:val="18"/>
          <w:color w:val="auto"/>
        </w:rPr>
        <w:t>On April 6, 2022, BTI announced that the United States (“U.S.”) Food and Drug Administration (“FDA”) approved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(dexmedetomidine or “Dex”) sublingual film for the acute treatment of agitation associated with schizophrenia or bipolar I or II disorder in adults.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is approved to be self-administrated by patients under the supervision of a health care provider. On July 6, 2022, BTI announced that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was commercially available in doses of 120 and 180 micrograms.</w:t>
      </w:r>
    </w:p>
    <w:p>
      <w:pPr>
        <w:spacing w:after="0" w:line="171" w:lineRule="exact"/>
        <w:rPr>
          <w:sz w:val="20"/>
          <w:szCs w:val="20"/>
          <w:color w:val="auto"/>
        </w:rPr>
      </w:pPr>
    </w:p>
    <w:p>
      <w:pPr>
        <w:ind w:left="60" w:right="159" w:firstLine="324"/>
        <w:spacing w:after="0" w:line="224" w:lineRule="auto"/>
        <w:rPr>
          <w:sz w:val="20"/>
          <w:szCs w:val="20"/>
          <w:color w:val="auto"/>
        </w:rPr>
      </w:pPr>
      <w:r>
        <w:rPr>
          <w:rFonts w:ascii="Times New Roman" w:cs="Times New Roman" w:eastAsia="Times New Roman" w:hAnsi="Times New Roman"/>
          <w:sz w:val="18"/>
          <w:szCs w:val="18"/>
          <w:color w:val="auto"/>
        </w:rPr>
        <w:t>The Company’s most advanced neuroscience clinical development program is BXCL501. In indications other than those approved by the FDA as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BXCL501 is an investigational proprietary, orally dissolving, film formulation of Dex for the treatment of agitation associated with psychiatric and neurological disorders.</w:t>
      </w:r>
    </w:p>
    <w:p>
      <w:pPr>
        <w:spacing w:after="0" w:line="158" w:lineRule="exact"/>
        <w:rPr>
          <w:sz w:val="20"/>
          <w:szCs w:val="20"/>
          <w:color w:val="auto"/>
        </w:rPr>
      </w:pPr>
    </w:p>
    <w:p>
      <w:pPr>
        <w:ind w:left="60" w:right="399" w:firstLine="324"/>
        <w:spacing w:after="0" w:line="266" w:lineRule="auto"/>
        <w:rPr>
          <w:sz w:val="20"/>
          <w:szCs w:val="20"/>
          <w:color w:val="auto"/>
        </w:rPr>
      </w:pPr>
      <w:r>
        <w:rPr>
          <w:rFonts w:ascii="Times New Roman" w:cs="Times New Roman" w:eastAsia="Times New Roman" w:hAnsi="Times New Roman"/>
          <w:sz w:val="18"/>
          <w:szCs w:val="18"/>
          <w:color w:val="auto"/>
        </w:rPr>
        <w:t>The Company’s most advanced immuno-oncology asset, BXCL701, is an investigational, orally administered systemic innate immune activator for the treatment of a rare form of prostate cancer and advanced solid tumors that are refractory or treatment naïve to checkpoint inhibitors.</w:t>
      </w:r>
    </w:p>
    <w:p>
      <w:pPr>
        <w:spacing w:after="0" w:line="135"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BTI was incorporated under the laws of the State of Delaware on March 29, 2017. The Company’s principal office is in New Haven, Connecticut.</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Basis of Presentation</w:t>
      </w:r>
    </w:p>
    <w:p>
      <w:pPr>
        <w:spacing w:after="0" w:line="189"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do not include all the information and notes required by Generally Accepted Accounting Principles (“GAAP”) in the U.S. The accompanying year-end balance sheet was derived from audited financial statements but does not include all disclosures required by U.S. GAAP. The unaudited interim condensed consolidated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September 30, 2024, the results of its operations for the three and nine months ended September 30, 2024 and 2023 and its cash flows for the nine months ended September 30, 2024 and 2023. The results for the three and nine months ended September 30, 2024 are not necessarily indicative of results to be expected for the year ending December 31, 2024, any other interim periods or any future year or period. The accompanying unaudited interim condensed consolidated financial statements of the Company should be read in conjunction with the audited financial statements and notes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thereto included in the Company’s Annual Report on Form 10-K for the year ended December 31, 2023 filed with the Securities and Exchange Commission on March 22, 2024.</w:t>
      </w:r>
    </w:p>
    <w:p>
      <w:pPr>
        <w:spacing w:after="0" w:line="135"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for the Company and all entities where BTI has a controlling financial interest after elimination of all intercompany accounts and transactions and have been prepared in conformity with U.S. GAAP.</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September 30, 2024, the Company had cash and cash equivalents of $40,387 and an accumulated deficit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$639,338. BTI has incurred substantial net losses and negative cash flows from operating activities in nearly every fiscal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period since inception and expects this trend to continue for the foreseeable future. The Company recognized net losses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$13,650 and $50,486 for the three months ended September 30, 2024 and 2023, respectively, and $48,740 and $156,797</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nine months ended September 30, 2024 and 2023, respectively, and had net cash used in operating activities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$57,218 and $128,143 for the nine months ended September, 2024 and 2023, respectively.</w:t>
      </w:r>
    </w:p>
    <w:p>
      <w:pPr>
        <w:spacing w:after="0" w:line="166" w:lineRule="exact"/>
        <w:rPr>
          <w:sz w:val="20"/>
          <w:szCs w:val="20"/>
          <w:color w:val="auto"/>
        </w:rPr>
      </w:pPr>
    </w:p>
    <w:p>
      <w:pPr>
        <w:jc w:val="both"/>
        <w:ind w:left="60" w:right="379" w:firstLine="324"/>
        <w:spacing w:after="0" w:line="271" w:lineRule="auto"/>
        <w:rPr>
          <w:sz w:val="20"/>
          <w:szCs w:val="20"/>
          <w:color w:val="auto"/>
        </w:rPr>
      </w:pPr>
      <w:r>
        <w:rPr>
          <w:rFonts w:ascii="Times New Roman" w:cs="Times New Roman" w:eastAsia="Times New Roman" w:hAnsi="Times New Roman"/>
          <w:sz w:val="18"/>
          <w:szCs w:val="18"/>
          <w:color w:val="auto"/>
        </w:rPr>
        <w:t>Under ASC Topic 205-40, Presentation of Financial Statements - Going Concern, management is required at each reporting period to evaluate whether there are conditions and events, considered in the aggregate, that raise substantial doubt about an entity’s ability to continue as a going concern within one year after the date that the financial statements are issued.</w:t>
      </w:r>
    </w:p>
    <w:p>
      <w:pPr>
        <w:spacing w:after="0" w:line="118" w:lineRule="exact"/>
        <w:rPr>
          <w:sz w:val="20"/>
          <w:szCs w:val="20"/>
          <w:color w:val="auto"/>
        </w:rPr>
      </w:pPr>
    </w:p>
    <w:p>
      <w:pPr>
        <w:ind w:left="60" w:right="179" w:firstLine="324"/>
        <w:spacing w:after="0" w:line="284" w:lineRule="auto"/>
        <w:rPr>
          <w:sz w:val="20"/>
          <w:szCs w:val="20"/>
          <w:color w:val="auto"/>
        </w:rPr>
      </w:pPr>
      <w:r>
        <w:rPr>
          <w:rFonts w:ascii="Times New Roman" w:cs="Times New Roman" w:eastAsia="Times New Roman" w:hAnsi="Times New Roman"/>
          <w:sz w:val="17"/>
          <w:szCs w:val="17"/>
          <w:color w:val="auto"/>
        </w:rPr>
        <w:t xml:space="preserve">The Company’s history of significant losses, its negative cash flows from operations, potential near-term increased covenant-driven payments under its Credit Agreement (as defined in Note 9, </w:t>
      </w:r>
      <w:r>
        <w:rPr>
          <w:rFonts w:ascii="Times New Roman" w:cs="Times New Roman" w:eastAsia="Times New Roman" w:hAnsi="Times New Roman"/>
          <w:sz w:val="17"/>
          <w:szCs w:val="17"/>
          <w:i w:val="1"/>
          <w:iCs w:val="1"/>
          <w:color w:val="auto"/>
        </w:rPr>
        <w:t>Debt and Credit Facilities</w:t>
      </w:r>
      <w:r>
        <w:rPr>
          <w:rFonts w:ascii="Times New Roman" w:cs="Times New Roman" w:eastAsia="Times New Roman" w:hAnsi="Times New Roman"/>
          <w:sz w:val="17"/>
          <w:szCs w:val="17"/>
          <w:color w:val="auto"/>
        </w:rPr>
        <w:t>), its limited liquidity resources currently on hand, and its dependence on its ability to obtain additional financing to fund its operations after the current resources are exhausted, about which there can be no certainty, have resulted in management’s assessment that there is substantial doubt about the Company’s ability to continue as a going concern for a period of at least 12 months from the issuance date of the financial statements included in this Quarterly Report on Form 10-Q.</w:t>
      </w:r>
    </w:p>
    <w:p>
      <w:pPr>
        <w:spacing w:after="0" w:line="97" w:lineRule="exact"/>
        <w:rPr>
          <w:sz w:val="20"/>
          <w:szCs w:val="20"/>
          <w:color w:val="auto"/>
        </w:rPr>
      </w:pPr>
    </w:p>
    <w:p>
      <w:pPr>
        <w:ind w:left="60" w:right="159" w:firstLine="324"/>
        <w:spacing w:after="0" w:line="264" w:lineRule="auto"/>
        <w:rPr>
          <w:sz w:val="20"/>
          <w:szCs w:val="20"/>
          <w:color w:val="auto"/>
        </w:rPr>
      </w:pPr>
      <w:r>
        <w:rPr>
          <w:rFonts w:ascii="Times New Roman" w:cs="Times New Roman" w:eastAsia="Times New Roman" w:hAnsi="Times New Roman"/>
          <w:sz w:val="18"/>
          <w:szCs w:val="18"/>
          <w:color w:val="auto"/>
        </w:rPr>
        <w:t xml:space="preserve">This going concern evaluation takes into consideration the potential mitigating effect of management’s Reprioritization (as defined in Note 4,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and the additional restructuring actions taken in the second and third quarters of 2024. When substantial doubt exists, management evaluates whether the mitigating effect of its plans sufficiently alleviates the substantial doubt about the Company’s ability to continue as a going concern. The mitigating effect of management’s plans, however, is only considered if both (i) it is probable that the plans will be effectively implemented within one year after the date that the financial statements are issued and (ii) it is probable that the plans, when implemented, will mitigate the relevant conditions or events that raise substantial doubt about the entity’s ability to continue as a going concern within one year after the date that the financial statements are issued. Generally, to be considered probable of being effectively implemented, the plans need to be approved by the Company’s Board of Directors. The Company’s Reprioritization was approved by the Board of Directors on August 8, 2023; however, such plans, including the additional restructuring actions taken in the second and third quarters of 2024, will not mitigate the entity’s ability to continue as a going concern within one year after the date that the financial statements are issued.</w:t>
      </w:r>
    </w:p>
    <w:p>
      <w:pPr>
        <w:spacing w:after="0" w:line="116"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accompanying condensed consolidated financial statements have been prepared on a going concern basis, which contemplates the realization of assets and the satisfaction of liabilities in the normal course of business and does not include any adjustments that may result from the outcome of this uncertainty. The going concern analysis does not consider possible future amendments to or restructuring of the Credit Agreement (as defined in Note 9, </w:t>
      </w:r>
      <w:r>
        <w:rPr>
          <w:rFonts w:ascii="Times New Roman" w:cs="Times New Roman" w:eastAsia="Times New Roman" w:hAnsi="Times New Roman"/>
          <w:sz w:val="18"/>
          <w:szCs w:val="18"/>
          <w:i w:val="1"/>
          <w:iCs w:val="1"/>
          <w:color w:val="auto"/>
        </w:rPr>
        <w:t>Debt and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Facilities</w:t>
      </w:r>
      <w:r>
        <w:rPr>
          <w:rFonts w:ascii="Times New Roman" w:cs="Times New Roman" w:eastAsia="Times New Roman" w:hAnsi="Times New Roman"/>
          <w:sz w:val="18"/>
          <w:szCs w:val="18"/>
          <w:color w:val="auto"/>
        </w:rPr>
        <w:t>) or other potential sources of debt or equity capital.</w:t>
      </w:r>
    </w:p>
    <w:p>
      <w:pPr>
        <w:spacing w:after="0" w:line="143" w:lineRule="exact"/>
        <w:rPr>
          <w:sz w:val="20"/>
          <w:szCs w:val="20"/>
          <w:color w:val="auto"/>
        </w:rPr>
      </w:pPr>
    </w:p>
    <w:p>
      <w:pPr>
        <w:ind w:left="60" w:right="299" w:firstLine="324"/>
        <w:spacing w:after="0" w:line="270" w:lineRule="auto"/>
        <w:rPr>
          <w:sz w:val="20"/>
          <w:szCs w:val="20"/>
          <w:color w:val="auto"/>
        </w:rPr>
      </w:pPr>
      <w:r>
        <w:rPr>
          <w:rFonts w:ascii="Times New Roman" w:cs="Times New Roman" w:eastAsia="Times New Roman" w:hAnsi="Times New Roman"/>
          <w:sz w:val="18"/>
          <w:szCs w:val="18"/>
          <w:color w:val="auto"/>
        </w:rPr>
        <w:t>Successful completion of the Company’s development programs and, ultimately, the attainment of profitable operations are dependent upon future events, including obtaining adequate financing to support the Company’s cost structure and operating plan. Management’s plans to improve the Company’s liquidity and reduce its operating expenses and capital requirements include, among other actions, pursuing one or more of the following steps to raise additional capital, none of which can be guaranteed or are entirely within the Company’s control:</w:t>
      </w:r>
    </w:p>
    <w:p>
      <w:pPr>
        <w:spacing w:after="0" w:line="105" w:lineRule="exact"/>
        <w:rPr>
          <w:sz w:val="20"/>
          <w:szCs w:val="20"/>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the sale of the Company’s equity securities;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third-party investments in or other strategic options for OnkosXcel;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debt financing and/or restructuring of its existing Credit Agreement;</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collaborations with potential partners to advance the Company’s product pipeline;</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collaborations with potential marketing partners;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overhead and headcount to focus on core priorities; and/or</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247"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If the Company is unable to raise capital when needed or on acceptable terms, refinance or restructure its existing Credit Agreement or if it is unable to procure collaboration arrangements to advance its programs, the Company would evaluate alternative strategies or initiatives regarding the Company’s future. These options are not limited to but could include plans to discontinue some of its operations or develop and implement a plan, beyond its Reprioritization initiatives, to further extend payables, reduce overhead, scale back or cease some or all of its revised operating plan until sufficient additional capital is raised to support further operations.</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ind w:left="60" w:right="199" w:firstLine="324"/>
        <w:spacing w:after="0" w:line="277" w:lineRule="auto"/>
        <w:rPr>
          <w:sz w:val="20"/>
          <w:szCs w:val="20"/>
          <w:color w:val="auto"/>
        </w:rPr>
      </w:pPr>
      <w:r>
        <w:rPr>
          <w:rFonts w:ascii="Times New Roman" w:cs="Times New Roman" w:eastAsia="Times New Roman" w:hAnsi="Times New Roman"/>
          <w:sz w:val="17"/>
          <w:szCs w:val="17"/>
          <w:color w:val="auto"/>
        </w:rPr>
        <w:t>The preparation of financial statements in accordance with U.S. GAAP requires management to make estimates and assumptions that affect amounts reported in the condensed consolidated financial statements and notes thereto. Estimates are used in the following areas, among others: revenue recognition, derivative liabilities, stock-based compensation expense, accrued expenses and income taxes. Although these estimates are based on the Company’s knowledge of current events and actions it may undertake in the future, actual results may ultimately materially differ from these estimates.</w:t>
      </w:r>
    </w:p>
    <w:p>
      <w:pPr>
        <w:spacing w:after="0" w:line="1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89" w:lineRule="exact"/>
        <w:rPr>
          <w:sz w:val="20"/>
          <w:szCs w:val="20"/>
          <w:color w:val="auto"/>
        </w:rPr>
      </w:pPr>
    </w:p>
    <w:p>
      <w:pPr>
        <w:ind w:left="60" w:right="299" w:firstLine="324"/>
        <w:spacing w:after="0" w:line="281" w:lineRule="auto"/>
        <w:rPr>
          <w:sz w:val="20"/>
          <w:szCs w:val="20"/>
          <w:color w:val="auto"/>
        </w:rPr>
      </w:pPr>
      <w:r>
        <w:rPr>
          <w:rFonts w:ascii="Times New Roman" w:cs="Times New Roman" w:eastAsia="Times New Roman" w:hAnsi="Times New Roman"/>
          <w:sz w:val="17"/>
          <w:szCs w:val="17"/>
          <w:color w:val="auto"/>
        </w:rPr>
        <w:t>The Company considers all highly liquid investments with an original maturity of three months or less at the date of purchase to be cash equivalents. As of September 30, 2024 and December 31, 2023, cash equivalents were comprised primarily of money market funds. Cash and cash equivalents held at financial institutions may at times exceed federally insured amounts. BTI management believes it mitigates such risk by investing in or through major financial institutions.</w:t>
      </w:r>
    </w:p>
    <w:p>
      <w:pPr>
        <w:spacing w:after="0" w:line="1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194" w:lineRule="exact"/>
        <w:rPr>
          <w:sz w:val="20"/>
          <w:szCs w:val="20"/>
          <w:color w:val="auto"/>
        </w:rPr>
      </w:pPr>
    </w:p>
    <w:p>
      <w:pPr>
        <w:ind w:left="60" w:right="199" w:firstLine="324"/>
        <w:spacing w:after="0" w:line="243" w:lineRule="auto"/>
        <w:rPr>
          <w:sz w:val="20"/>
          <w:szCs w:val="20"/>
          <w:color w:val="auto"/>
        </w:rPr>
      </w:pPr>
      <w:r>
        <w:rPr>
          <w:rFonts w:ascii="Times New Roman" w:cs="Times New Roman" w:eastAsia="Times New Roman" w:hAnsi="Times New Roman"/>
          <w:sz w:val="18"/>
          <w:szCs w:val="18"/>
          <w:color w:val="auto"/>
        </w:rPr>
        <w:t>Accounts receivable arise from sales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represent amounts due from distributors and group purchasing organizations (“GPOs”). Payment terms generally range from 30 to 90 days from the date of the sale transaction, and accordingly, do not involve a significant financing component. Receivables from product sales are recorded net of allowances which generally include distribution fees, prompt payment discounts, chargebacks, and credit losses. Allowances for distribution fees, prompt payment discounts and chargebacks are based on contractual terms. The Company estimated the current expected credit losses of its accounts receivable by assessing the risk of loss and available relevant information about collectability, existing contractual payment terms, actual payment patterns of its customers, individual customer circumstances, and reasonable and supportable forecast of economic conditions expected to exist throughout the contractual life of the receivable. Based on its assessment, as of September 30, 2024, the Company determined that an allowance for credit losses was not required.</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81" w:lineRule="exact"/>
        <w:rPr>
          <w:sz w:val="20"/>
          <w:szCs w:val="20"/>
          <w:color w:val="auto"/>
        </w:rPr>
      </w:pPr>
    </w:p>
    <w:p>
      <w:pPr>
        <w:ind w:left="60" w:right="399" w:firstLine="324"/>
        <w:spacing w:after="0" w:line="245" w:lineRule="auto"/>
        <w:rPr>
          <w:sz w:val="20"/>
          <w:szCs w:val="20"/>
          <w:color w:val="auto"/>
        </w:rPr>
      </w:pPr>
      <w:r>
        <w:rPr>
          <w:rFonts w:ascii="Times New Roman" w:cs="Times New Roman" w:eastAsia="Times New Roman" w:hAnsi="Times New Roman"/>
          <w:sz w:val="17"/>
          <w:szCs w:val="17"/>
          <w:color w:val="auto"/>
        </w:rPr>
        <w:t>The Company sells IGALMI</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through a drop-ship program under which orders from hospitals and similar health care institutions are processed through wholesalers, but shipments of the product are sent directly to the individual hospitals and similar health care institutions. BTI also contracts directly with certain hospitals, and GPOs. All trade accounts receivables are due from the distributor that fulfills orders on behalf of the Company and other customers.</w:t>
      </w:r>
    </w:p>
    <w:p>
      <w:pPr>
        <w:spacing w:after="0" w:line="200" w:lineRule="exact"/>
        <w:rPr>
          <w:sz w:val="20"/>
          <w:szCs w:val="20"/>
          <w:color w:val="auto"/>
        </w:rPr>
      </w:pPr>
    </w:p>
    <w:p>
      <w:pPr>
        <w:spacing w:after="0" w:line="2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202"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Inventory is stated at the lower of cost or net realizable value. Cost of inventory is determined on a first-in, first-out basis.</w:t>
      </w:r>
    </w:p>
    <w:p>
      <w:pPr>
        <w:spacing w:after="0" w:line="121"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BTI capitalizes inventory costs associated with the Company’s products prior to regulatory approval, when, based on management’s judgment, future commercialization is considered probable and the future economic benefit is expected to be realized; otherwise, such costs are expensed as Research and development expense in the Condensed Consolidated Statements of Operations.</w:t>
      </w:r>
    </w:p>
    <w:p>
      <w:pPr>
        <w:spacing w:after="0" w:line="139" w:lineRule="exact"/>
        <w:rPr>
          <w:sz w:val="20"/>
          <w:szCs w:val="20"/>
          <w:color w:val="auto"/>
        </w:rPr>
      </w:pPr>
    </w:p>
    <w:p>
      <w:pPr>
        <w:ind w:left="60" w:right="199" w:firstLine="324"/>
        <w:spacing w:after="0" w:line="277" w:lineRule="auto"/>
        <w:rPr>
          <w:sz w:val="20"/>
          <w:szCs w:val="20"/>
          <w:color w:val="auto"/>
        </w:rPr>
      </w:pPr>
      <w:r>
        <w:rPr>
          <w:rFonts w:ascii="Times New Roman" w:cs="Times New Roman" w:eastAsia="Times New Roman" w:hAnsi="Times New Roman"/>
          <w:sz w:val="17"/>
          <w:szCs w:val="17"/>
          <w:color w:val="auto"/>
        </w:rPr>
        <w:t>The Company performs an assessment of the recoverability of capitalized inventory during each reporting period and writes down any excess and obsolete inventories to their estimated realizable value in the period in which the impairment is first identified. Such impairment charges are recorded within Cost of goods sold in the Condensed Consolidated Statements of Operations. The determination of whether inventory costs will be realizable requires estimates by management. If actual market conditions are less favorable than projected, write-downs of inventory may be required.</w:t>
      </w:r>
    </w:p>
    <w:p>
      <w:pPr>
        <w:spacing w:after="0" w:line="1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Deferred Initial Public Offering Costs</w:t>
      </w:r>
    </w:p>
    <w:p>
      <w:pPr>
        <w:spacing w:after="0" w:line="189" w:lineRule="exact"/>
        <w:rPr>
          <w:sz w:val="20"/>
          <w:szCs w:val="20"/>
          <w:color w:val="auto"/>
        </w:rPr>
      </w:pPr>
    </w:p>
    <w:p>
      <w:pPr>
        <w:ind w:left="60" w:right="599" w:firstLine="324"/>
        <w:spacing w:after="0" w:line="281" w:lineRule="auto"/>
        <w:rPr>
          <w:sz w:val="20"/>
          <w:szCs w:val="20"/>
          <w:color w:val="auto"/>
        </w:rPr>
      </w:pPr>
      <w:r>
        <w:rPr>
          <w:rFonts w:ascii="Times New Roman" w:cs="Times New Roman" w:eastAsia="Times New Roman" w:hAnsi="Times New Roman"/>
          <w:sz w:val="17"/>
          <w:szCs w:val="17"/>
          <w:color w:val="auto"/>
        </w:rPr>
        <w:t>Deferred initial public offering costs of $2,570 consisted of legal, accounting, and other costs that were directly related to the Company’s proposed initial public offering of OnkosXcel. These costs were charged to the Condensed Consolidated Statements of Operations during the year ended December 31, 2023 as the initial public offering was delayed for an extended period of time. The costs were recorded as Selling, general and administrative expenses.</w:t>
      </w:r>
    </w:p>
    <w:p>
      <w:pPr>
        <w:spacing w:after="0" w:line="1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02"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and depreciated over the shorter of their remaining lease term or their estimated useful life on a straight-line basis as follows: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5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years</w:t>
            </w: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years</w:t>
            </w:r>
          </w:p>
        </w:tc>
      </w:tr>
      <w:tr>
        <w:trPr>
          <w:trHeight w:val="21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Lesser of life of improvement or lease term</w:t>
            </w:r>
          </w:p>
        </w:tc>
      </w:tr>
    </w:tbl>
    <w:p>
      <w:pPr>
        <w:spacing w:after="0" w:line="198"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Expenditures for maintenance and repairs which do not improve or extend the useful lives of the respective assets are expensed as incurred. When assets are sold or retired, the related cost and accumulated depreciation are removed from their respective accounts and any resulting gain or loss is included within Other (income) expense, net in the Condensed Consolidated Statements of Operations.</w:t>
      </w:r>
    </w:p>
    <w:p>
      <w:pPr>
        <w:spacing w:after="0" w:line="139"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from its use and disposition. Impairment charges are recognized at the amount by which the carrying amount of an asset exceeds the fair value of the asset. Assets to be disposed of are reported at the lower of the carrying amount or the fair value less costs to sell.</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89"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leases are included in Operating lease right-of-use (“ROU”) assets, Other current liabilities, and the Long-term portion of operating lease liabilities in the Condensed Consolidated Balance Sheets.</w:t>
      </w:r>
    </w:p>
    <w:p>
      <w:pPr>
        <w:spacing w:after="0" w:line="135"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ROU assets represent BTI’s right to use an underlying asset for the lease term and lease liabilities represent the Company’s obligation to make lease payments arising from the lease. Operating lease ROU assets and lease liabilities are recognized at commencement date based on the present value of lease payments over the lease term. The Company uses the implicit rate when readily determinable. As BTI’s leases do not provide an implicit rate, it used an incremental borrowing rate based on the information available at commencement date in determining the present value of lease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19"/>
        <w:spacing w:after="0" w:line="261" w:lineRule="auto"/>
        <w:rPr>
          <w:sz w:val="20"/>
          <w:szCs w:val="20"/>
          <w:color w:val="auto"/>
        </w:rPr>
      </w:pPr>
      <w:r>
        <w:rPr>
          <w:rFonts w:ascii="Times New Roman" w:cs="Times New Roman" w:eastAsia="Times New Roman" w:hAnsi="Times New Roman"/>
          <w:sz w:val="18"/>
          <w:szCs w:val="18"/>
          <w:color w:val="auto"/>
        </w:rPr>
        <w:t>payments. The operating lease ROU asset also includes any prepaid lease payments made and excludes lease incentives. The Company’s leases may include options to extend the lease; such options are included in determining the lease term when it is reasonably certain that BTI will exercise that option. Lease expense is recognized on a straight-line basis over the lease term.</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Debt and Detachable Warrants</w:t>
      </w:r>
    </w:p>
    <w:p>
      <w:pPr>
        <w:spacing w:after="0" w:line="189"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Detachable warrants are evaluated for classification as either equity instruments, derivative liabilities, or liabilities depending on the specific terms of the warrant agreement. In circumstances in which debt is issued with equity-classified warrants, the proceeds from the issuance of debt are first allocated to the debt and then the warrants at their estimated fair values. The portion of the proceeds allocated to the warrants are accounted for as paid-in capital and a debt discount. The remaining proceeds, as further reduced by discounts created by the bifurcation of any embedded derivatives, are allocated to the debt. Detachable warrants classified as derivative liabilities are accounted for as indicated under “</w:t>
      </w:r>
      <w:r>
        <w:rPr>
          <w:rFonts w:ascii="Times New Roman" w:cs="Times New Roman" w:eastAsia="Times New Roman" w:hAnsi="Times New Roman"/>
          <w:sz w:val="18"/>
          <w:szCs w:val="18"/>
          <w:i w:val="1"/>
          <w:iCs w:val="1"/>
          <w:color w:val="auto"/>
        </w:rPr>
        <w:t>Derivative Assets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Liabilities</w:t>
      </w:r>
      <w:r>
        <w:rPr>
          <w:rFonts w:ascii="Times New Roman" w:cs="Times New Roman" w:eastAsia="Times New Roman" w:hAnsi="Times New Roman"/>
          <w:sz w:val="18"/>
          <w:szCs w:val="18"/>
          <w:color w:val="auto"/>
        </w:rPr>
        <w:t>” section of this Note and as a debt discount. The Company accounts for debt as liabilities measured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amortized cost and amortizes the resulting debt discount from the allocation of proceeds to interest expense using the effective interest method over the expected term of the debt instrument. The Company considers whether there are any embedded features in debt instruments that require bifurcation and separately accounts for them as derivative financial instruments.</w:t>
      </w:r>
    </w:p>
    <w:p>
      <w:pPr>
        <w:spacing w:after="0" w:line="14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As discussed in Note 9, </w:t>
      </w:r>
      <w:r>
        <w:rPr>
          <w:rFonts w:ascii="Times New Roman" w:cs="Times New Roman" w:eastAsia="Times New Roman" w:hAnsi="Times New Roman"/>
          <w:sz w:val="18"/>
          <w:szCs w:val="18"/>
          <w:i w:val="1"/>
          <w:iCs w:val="1"/>
          <w:color w:val="auto"/>
        </w:rPr>
        <w:t>Debt and Credit Facilities</w:t>
      </w:r>
      <w:r>
        <w:rPr>
          <w:rFonts w:ascii="Times New Roman" w:cs="Times New Roman" w:eastAsia="Times New Roman" w:hAnsi="Times New Roman"/>
          <w:sz w:val="18"/>
          <w:szCs w:val="18"/>
          <w:color w:val="auto"/>
        </w:rPr>
        <w:t>, on April 19, 2022, the Company entered into the Revenue Interest Financing Agreement (the “RIFA”), the terms of which involved significant assumptions and estimates, including future net product sales, in determining interest expense, amortization period of the debt discount, as well as the classification between current and long-term portions. In estimating future net product sales, the Company assessed prevailing market conditions using various external market data against the Company’s anticipated sales and planned commercial activities. Consequently, the Company imputed interest on the carrying value of the debt and records interest expense using an imputed effective interest rate. The Company reassessed the expected payments during each reporting period and accounted for any changes through an adjustment to the effective interest rate on a prospective basis, with a corresponding impact to the classification of the Company’s current and long-term portions of the debt. The RIFA was terminated on December 5, 2023.</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Derivative Assets and Liabilities</w:t>
      </w:r>
    </w:p>
    <w:p>
      <w:pPr>
        <w:spacing w:after="0" w:line="189" w:lineRule="exact"/>
        <w:rPr>
          <w:sz w:val="20"/>
          <w:szCs w:val="20"/>
          <w:color w:val="auto"/>
        </w:rPr>
      </w:pPr>
    </w:p>
    <w:p>
      <w:pPr>
        <w:jc w:val="both"/>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Derivative assets and liabilities are recorded on the Company`s Condensed Consolidated Balance Sheets at their fair value on the date of issuance and are revalued on each balance sheet date until such instruments are settled or expire, with changes in the fair value between reporting periods recorded as other income or expense within Other (income) expense, net in the Condensed Consolidated Statements of Operations.</w:t>
      </w:r>
    </w:p>
    <w:p>
      <w:pPr>
        <w:spacing w:after="0" w:line="139" w:lineRule="exact"/>
        <w:rPr>
          <w:sz w:val="20"/>
          <w:szCs w:val="20"/>
          <w:color w:val="auto"/>
        </w:rPr>
      </w:pPr>
    </w:p>
    <w:p>
      <w:pPr>
        <w:ind w:left="60" w:right="379" w:firstLine="324"/>
        <w:spacing w:after="0" w:line="266" w:lineRule="auto"/>
        <w:rPr>
          <w:sz w:val="20"/>
          <w:szCs w:val="20"/>
          <w:color w:val="auto"/>
        </w:rPr>
      </w:pPr>
      <w:r>
        <w:rPr>
          <w:rFonts w:ascii="Times New Roman" w:cs="Times New Roman" w:eastAsia="Times New Roman" w:hAnsi="Times New Roman"/>
          <w:sz w:val="18"/>
          <w:szCs w:val="18"/>
          <w:color w:val="auto"/>
        </w:rPr>
        <w:t>The Company does not use derivative instruments for speculative purposes or to hedge exposures to cash flow or market risks. Certain financing facilities entered into by the Company include freestanding financial instruments and/or embedded features that require separate accounting as derivative assets and/or liabilities.</w:t>
      </w:r>
    </w:p>
    <w:p>
      <w:pPr>
        <w:spacing w:after="0" w:line="149" w:lineRule="exact"/>
        <w:rPr>
          <w:sz w:val="20"/>
          <w:szCs w:val="20"/>
          <w:color w:val="auto"/>
        </w:rPr>
      </w:pPr>
    </w:p>
    <w:p>
      <w:pPr>
        <w:ind w:left="60" w:right="399"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a registered direct offering completed in March 2024, the Company issued accompanying warrants to purchase 8,620 shares of its common stock that are classified as derivative liabilities, and were measured at fair value upon issuance, with subsequent changes in fair value reported in the Condensed Consolidated Statement of Operations each reporting period.</w:t>
      </w:r>
    </w:p>
    <w:p>
      <w:pPr>
        <w:spacing w:after="0" w:line="139"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revenues consist of product sales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w:t>
      </w:r>
    </w:p>
    <w:p>
      <w:pPr>
        <w:spacing w:after="0" w:line="100" w:lineRule="exact"/>
        <w:rPr>
          <w:sz w:val="20"/>
          <w:szCs w:val="20"/>
          <w:color w:val="auto"/>
        </w:rPr>
      </w:pPr>
    </w:p>
    <w:p>
      <w:pPr>
        <w:ind w:left="60" w:right="339" w:firstLine="324"/>
        <w:spacing w:after="0" w:line="289" w:lineRule="auto"/>
        <w:rPr>
          <w:sz w:val="20"/>
          <w:szCs w:val="20"/>
          <w:color w:val="auto"/>
        </w:rPr>
      </w:pPr>
      <w:r>
        <w:rPr>
          <w:rFonts w:ascii="Times New Roman" w:cs="Times New Roman" w:eastAsia="Times New Roman" w:hAnsi="Times New Roman"/>
          <w:sz w:val="17"/>
          <w:szCs w:val="17"/>
          <w:color w:val="auto"/>
        </w:rPr>
        <w:t>BTI recognizes revenue when its customers obtain control of promised goods or services, in an amount that reflects the consideration that the Company expects to receive in exchange for those goods or services. To determine revenue recognition, BTI management performs the following five steps: (i) identify the contract(s) with a customer; (ii)</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4" w:lineRule="auto"/>
        <w:rPr>
          <w:sz w:val="20"/>
          <w:szCs w:val="20"/>
          <w:color w:val="auto"/>
        </w:rPr>
      </w:pPr>
      <w:r>
        <w:rPr>
          <w:rFonts w:ascii="Times New Roman" w:cs="Times New Roman" w:eastAsia="Times New Roman" w:hAnsi="Times New Roman"/>
          <w:sz w:val="17"/>
          <w:szCs w:val="17"/>
          <w:color w:val="auto"/>
        </w:rPr>
        <w:t>identify the performance obligations in the contract; (iii) determine the transaction price, including variable consideration, if any; (iv) allocate the transaction price to the performance obligations in the contract; and (v) recognize revenue when (or as) the Company satisfies a performance obligation. Arrangements that include rights to additional goods or services that are exercisable at a customer’s discretion are generally considered options. The Company assesses if these options provide a material right to the customer and if so, they are considered performance obligations. The exercise of a material right may be accounted for as a contract modification or as a continuation of the contract for accounting purposes.</w:t>
      </w:r>
    </w:p>
    <w:p>
      <w:pPr>
        <w:spacing w:after="0" w:line="146"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The Company assesses whether the goods or services promised within each contract are distinct to identify those that are performance obligations. This assessment involves subjective determinations and requires management to make judgments about the individual promised goods or services and whether such goods and services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and (ii) the Company’s promise to transfer the good or service to the customer is separately identifiable from other promises in the contract.</w:t>
      </w:r>
    </w:p>
    <w:p>
      <w:pPr>
        <w:spacing w:after="0" w:line="148"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The Company allocates the transaction price (the amount of consideration it expects to be entitled to from a customer in exchange for the promised goods or services) to each performance obligation and recognizes the associated revenue when (or as) each performance obligation is satisfied. The Company’s estimate of the transaction price for each contract includes all variable consideration to which the Company expects to be entitled.</w:t>
      </w:r>
    </w:p>
    <w:p>
      <w:pPr>
        <w:spacing w:after="0" w:line="131" w:lineRule="exact"/>
        <w:rPr>
          <w:sz w:val="20"/>
          <w:szCs w:val="20"/>
          <w:color w:val="auto"/>
        </w:rPr>
      </w:pPr>
    </w:p>
    <w:p>
      <w:pPr>
        <w:ind w:left="60" w:right="139" w:firstLine="324"/>
        <w:spacing w:after="0" w:line="226" w:lineRule="auto"/>
        <w:rPr>
          <w:sz w:val="20"/>
          <w:szCs w:val="20"/>
          <w:color w:val="auto"/>
        </w:rPr>
      </w:pPr>
      <w:r>
        <w:rPr>
          <w:rFonts w:ascii="Times New Roman" w:cs="Times New Roman" w:eastAsia="Times New Roman" w:hAnsi="Times New Roman"/>
          <w:sz w:val="18"/>
          <w:szCs w:val="18"/>
          <w:color w:val="auto"/>
        </w:rPr>
        <w:t>BTI distributes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in the U.S. through arrangements with a distributor, wholesalers, and GPOs. The distributor and wholesalers help process and fulfill orders from hospitals on the Company’s behalf. The Company believes the hospitals are its customers.</w:t>
      </w:r>
    </w:p>
    <w:p>
      <w:pPr>
        <w:spacing w:after="0" w:line="174" w:lineRule="exact"/>
        <w:rPr>
          <w:sz w:val="20"/>
          <w:szCs w:val="20"/>
          <w:color w:val="auto"/>
        </w:rPr>
      </w:pPr>
    </w:p>
    <w:p>
      <w:pPr>
        <w:ind w:left="60" w:right="139" w:firstLine="324"/>
        <w:spacing w:after="0" w:line="242" w:lineRule="auto"/>
        <w:rPr>
          <w:sz w:val="20"/>
          <w:szCs w:val="20"/>
          <w:color w:val="auto"/>
        </w:rPr>
      </w:pPr>
      <w:r>
        <w:rPr>
          <w:rFonts w:ascii="Times New Roman" w:cs="Times New Roman" w:eastAsia="Times New Roman" w:hAnsi="Times New Roman"/>
          <w:sz w:val="18"/>
          <w:szCs w:val="18"/>
          <w:color w:val="auto"/>
        </w:rPr>
        <w:t>The Company recognizes product revenues, net of consideration payable to customers, as well as variable consideration related to certain allowances and accruals that are determined using either the expected value or most likely amount method, depending on the type of the variable consideration, in its condensed consolidated financial statements at the point in time when control transfers to the customer, which is typically when the product has been delivered to the customer’s location. The amount included in the transaction price is constrained to the amount for which it is probable that a significant reversal of cumulative revenue recognized will not occur. The Company’s only performance obligation identified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is to deliver the quantity of product ordered to the location specified by the customer’s order. The Company records shipping and handling costs associated with delivery of product to its customers within Selling, general and administrative expenses on its Condensed Consolidated Statements of Operations. Under the Company’s current product sales arrangements, BTI does not have contract assets (unbilled receivables), as it generally invoices its customer at the time of revenue recognition.</w:t>
      </w:r>
    </w:p>
    <w:p>
      <w:pPr>
        <w:spacing w:after="0" w:line="155" w:lineRule="exact"/>
        <w:rPr>
          <w:sz w:val="20"/>
          <w:szCs w:val="20"/>
          <w:color w:val="auto"/>
        </w:rPr>
      </w:pPr>
    </w:p>
    <w:p>
      <w:pPr>
        <w:ind w:left="60" w:right="239" w:firstLine="324"/>
        <w:spacing w:after="0" w:line="237" w:lineRule="auto"/>
        <w:rPr>
          <w:sz w:val="20"/>
          <w:szCs w:val="20"/>
          <w:color w:val="auto"/>
        </w:rPr>
      </w:pPr>
      <w:r>
        <w:rPr>
          <w:rFonts w:ascii="Times New Roman" w:cs="Times New Roman" w:eastAsia="Times New Roman" w:hAnsi="Times New Roman"/>
          <w:sz w:val="18"/>
          <w:szCs w:val="18"/>
          <w:color w:val="auto"/>
        </w:rPr>
        <w:t>BTI sells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at wholesale acquisition cost less any agreed upon discounts, and calculates product revenue net of variable consideration and consideration payable to third parties associated with distribution of product. The Company records reserves, based on contractual terms, for the following components of consideration related to product sold during the reporting period. Calculating these amounts involves estimates and judgments, and the Company reviews these estimates quarterly and records any material adjustments in the period they are identified, which affects net product revenue and earnings in the period such variances occur.</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Trade Discounts and Allowances</w:t>
      </w:r>
    </w:p>
    <w:p>
      <w:pPr>
        <w:spacing w:after="0" w:line="202"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The Company provides the distributor and wholesalers with discounts for prompt payment and pays fees to the distributor, wholesalers and GPOs related to distribution of the product. BTI expects the relevant third parties to earn these discounts and fees, and therefore it deducts such amounts from gross product revenue and accounts receivable at the time it recognizes the related revenue.</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Government Rebates</w:t>
      </w:r>
    </w:p>
    <w:p>
      <w:pPr>
        <w:spacing w:after="0" w:line="181" w:lineRule="exact"/>
        <w:rPr>
          <w:sz w:val="20"/>
          <w:szCs w:val="20"/>
          <w:color w:val="auto"/>
        </w:rPr>
      </w:pPr>
    </w:p>
    <w:p>
      <w:pPr>
        <w:ind w:left="60" w:right="459" w:firstLine="324"/>
        <w:spacing w:after="0" w:line="227" w:lineRule="auto"/>
        <w:rPr>
          <w:sz w:val="20"/>
          <w:szCs w:val="20"/>
          <w:color w:val="auto"/>
        </w:rPr>
      </w:pPr>
      <w:r>
        <w:rPr>
          <w:rFonts w:ascii="Times New Roman" w:cs="Times New Roman" w:eastAsia="Times New Roman" w:hAnsi="Times New Roman"/>
          <w:sz w:val="17"/>
          <w:szCs w:val="17"/>
          <w:color w:val="auto"/>
        </w:rPr>
        <w:t>IGALMI</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is eligible for purchase by, or qualifies for reimbursement from, Medicaid and other U.S. government programs that are eligible for rebates on the price they pay for the product. To determine the appropriate amount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reserve for these rebates, BTI applies the applicable government discount to these sales, and estimates the portion of total rebates that it anticipates will be claimed. The Company deducts certain government rebates from gross product revenue and accounts receivable at the time it recognizes the related revenue; other government rebates are recognized as an accrued liability at the time BTI recognizes the related revenue.</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Chargebacks</w:t>
      </w:r>
    </w:p>
    <w:p>
      <w:pPr>
        <w:spacing w:after="0" w:line="189" w:lineRule="exact"/>
        <w:rPr>
          <w:sz w:val="20"/>
          <w:szCs w:val="20"/>
          <w:color w:val="auto"/>
        </w:rPr>
      </w:pPr>
    </w:p>
    <w:p>
      <w:pPr>
        <w:jc w:val="both"/>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BTI provides product discounts to hospitals associated with certain GPOs. The Company estimates the chargebacks that it expects to be obligated to provide based upon the terms of the applicable arrangements. BTI deducts such amounts from gross product revenue and accounts receivable at the time it recognizes the related revenue.</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Product Returns</w:t>
      </w:r>
    </w:p>
    <w:p>
      <w:pPr>
        <w:spacing w:after="0" w:line="202" w:lineRule="exact"/>
        <w:rPr>
          <w:sz w:val="20"/>
          <w:szCs w:val="20"/>
          <w:color w:val="auto"/>
        </w:rPr>
      </w:pPr>
    </w:p>
    <w:p>
      <w:pPr>
        <w:ind w:left="60" w:right="459" w:firstLine="324"/>
        <w:spacing w:after="0" w:line="277" w:lineRule="auto"/>
        <w:rPr>
          <w:sz w:val="20"/>
          <w:szCs w:val="20"/>
          <w:color w:val="auto"/>
        </w:rPr>
      </w:pPr>
      <w:r>
        <w:rPr>
          <w:rFonts w:ascii="Times New Roman" w:cs="Times New Roman" w:eastAsia="Times New Roman" w:hAnsi="Times New Roman"/>
          <w:sz w:val="17"/>
          <w:szCs w:val="17"/>
          <w:color w:val="auto"/>
        </w:rPr>
        <w:t>The Company provides contractual return rights to its customers including the right to return product within six months of product expiration and up to 12 months after product expiration, as well as for incorrect shipments, and damaged or defective product, which the Company expects to be rare. Management expects product returns to be minimal, thus BTI recognizes a nominal allowance for product returns at the time of each sale. In the future, if any of these factors and/or the history of product returns changes, the Company will adjust the allowance for product returns.</w:t>
      </w:r>
    </w:p>
    <w:p>
      <w:pPr>
        <w:spacing w:after="0" w:line="127"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BTI classifies all fees paid to the distributor, other than those discussed above and those related to warehouse operations, as Selling, general and administrative expenses on its Condensed Consolidated Statements of Operations. Fees paid to the distributor for warehouse operations are classified as Cost of goods sold on BTI’s Condensed Consolidated Statements of Operations.</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Cost of Goods Sold</w:t>
      </w:r>
    </w:p>
    <w:p>
      <w:pPr>
        <w:spacing w:after="0" w:line="202"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Cost of goods sold includes the cost of producing and distributing inventories that are related to product revenues during the respective period. Cost of goods sold also includes costs related to excess or obsolete inventory, as well as costs related to warehouse operations paid to distributors.</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89"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The Company measures and recognizes stock-based compensation expense based on estimated fair value for all share-based awards made to employees, non-employee service providers, and directors, including stock options, BTI restricted stock units (“BTI RSUs”), OnkosXcel profit sharing units (“PSUs”), OnkosXcel restricted stock units (“OnkosXcel RSUs”) and BTI performance stock units (“Performance Units”). The Company’s 2017 Equity Incentive Plan (the “2017 Plan”) became effective in August 2017. The Company’s 2020 Incentive Award Plan (the “2020 Plan”) became effective in May 2020. Following the effective date of the 2020 Plan, the Company ceased granting awards under the 2017 Plan; however, the terms and conditions of the 2017 Plan continue to govern any outstanding awards granted thereunder.</w:t>
      </w:r>
    </w:p>
    <w:p>
      <w:pPr>
        <w:spacing w:after="0" w:line="165"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The Company’s stock-based awards are valued at fair value on the date of grant and that fair value is recognized as an expense in the Condensed Consolidated Statements of Operations over the requisite service period using the accelerated attribution method. The estimated value of the BTI RSUs and Performance Units is based on the Company’s closing stock price on the grant date. The estimated value of the OnkosXcel RSUs are based on the OnkosXcel valuation on the grant date. The estimated fair value of stock options and PSUs was determined using the Black-Scholes pricing model on the date of grant. For awards subject to performance-based vesting conditions, the Company recognizes stock-based compensation expense when the achievement of the performance condition becomes probable.</w:t>
      </w:r>
    </w:p>
    <w:p>
      <w:pPr>
        <w:spacing w:after="0" w:line="148"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The Black-Scholes pricing model is affected by the Company’s stock price, as well as assumptions regarding variables including, but not limited to, the strike price of the instrument, the risk-free rate, the expected stock price volatility over the term of the awards, and expected term of the award. The Company has elected to account for forfeitures as they occur, by reversing compensation cost when the award is forfeited.</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202"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include wages, benefits, non-cash stock-based compensation, facilities, supplies, external services, clinical study, manufacturing costs related to clinical trials and other expenses that are directly related to the Company’s research and development activities. At the end of the reporting period, the Company estimates the progress toward completion of the research or development objectives and, depending on the amount and timing of payments to the service providers may record net prepaid or accrued expense for associated research and development costs. Such estimates are subject to change as additional information becomes available. The Company expenses research and development costs as incurred.</w:t>
      </w:r>
    </w:p>
    <w:p>
      <w:pPr>
        <w:spacing w:after="0" w:line="148"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Most of the Company’s service providers invoice BTI monthly in arrears for services performed. The Company estimates its accrued expenses as of each balance sheet date in the condensed consolidated financial statements based on facts and circumstances known to management at that time. BTI management periodically confirms the accuracy of the Company’s estimates with the service providers and makes adjustments if necessary.</w:t>
      </w:r>
    </w:p>
    <w:p>
      <w:pPr>
        <w:spacing w:after="0" w:line="139" w:lineRule="exact"/>
        <w:rPr>
          <w:sz w:val="20"/>
          <w:szCs w:val="20"/>
          <w:color w:val="auto"/>
        </w:rPr>
      </w:pPr>
    </w:p>
    <w:p>
      <w:pPr>
        <w:ind w:left="60" w:right="539" w:firstLine="324"/>
        <w:spacing w:after="0" w:line="261" w:lineRule="auto"/>
        <w:rPr>
          <w:sz w:val="20"/>
          <w:szCs w:val="20"/>
          <w:color w:val="auto"/>
        </w:rPr>
      </w:pPr>
      <w:r>
        <w:rPr>
          <w:rFonts w:ascii="Times New Roman" w:cs="Times New Roman" w:eastAsia="Times New Roman" w:hAnsi="Times New Roman"/>
          <w:sz w:val="18"/>
          <w:szCs w:val="18"/>
          <w:color w:val="auto"/>
        </w:rPr>
        <w:t>Although management does not expect its estimates to be materially different from amounts actually incurred, management’s understanding of the status and timing of services performed relative to the actual status and timing of services performed may vary and may result in BTI reporting amounts that are too high or too low in any particular period.</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Patent Costs</w:t>
      </w:r>
    </w:p>
    <w:p>
      <w:pPr>
        <w:spacing w:after="0" w:line="189"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Costs related to filing and pursuing patent applications are recorded in Selling, general and administrative expenses in the Condensed Consolidated Statements of Operations and are expensed as incurred since recoverability of such expenditures is uncertain.</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02"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which is defined as the price that would be received to sell an asset or paid to transfer a liability in an orderly transaction between market participants at the measurement date. The Company applies a fair value hierarchy that distinguishes between (1) market participant assumptions developed based on market data obtained from independent sources, or observable inputs, and (2) an entity’s own assumptions about market participant assumptions developed based on the best information available in the circumstances, or unobservable inputs. The fair value hierarchy consists of three broad levels, which gives the highest priority to unadjusted quoted prices in active markets for identical assets or liabilities (Level 1) and the lowest priority to unobservable inputs (Level 3). Fair value measurements must be classified and disclosed in one of the following three categories:</w:t>
      </w:r>
    </w:p>
    <w:p>
      <w:pPr>
        <w:spacing w:after="0" w:line="148" w:lineRule="exact"/>
        <w:rPr>
          <w:sz w:val="20"/>
          <w:szCs w:val="20"/>
          <w:color w:val="auto"/>
        </w:rPr>
      </w:pPr>
    </w:p>
    <w:p>
      <w:pPr>
        <w:ind w:left="720" w:right="37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Quoted prices (unadjusted) in active markets that are accessible at the measurement date for assets or liabilities. The fair value hierarchy gives the highest priority to Level 1 inputs.</w:t>
      </w:r>
    </w:p>
    <w:p>
      <w:pPr>
        <w:spacing w:after="0" w:line="121" w:lineRule="exact"/>
        <w:rPr>
          <w:rFonts w:ascii="Times New Roman" w:cs="Times New Roman" w:eastAsia="Times New Roman" w:hAnsi="Times New Roman"/>
          <w:sz w:val="18"/>
          <w:szCs w:val="18"/>
          <w:color w:val="auto"/>
        </w:rPr>
      </w:pPr>
    </w:p>
    <w:p>
      <w:pPr>
        <w:ind w:left="720" w:right="219" w:hanging="319"/>
        <w:spacing w:after="0" w:line="256"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160" w:lineRule="exact"/>
        <w:rPr>
          <w:rFonts w:ascii="Times New Roman" w:cs="Times New Roman" w:eastAsia="Times New Roman" w:hAnsi="Times New Roman"/>
          <w:sz w:val="18"/>
          <w:szCs w:val="18"/>
          <w:color w:val="auto"/>
        </w:rPr>
      </w:pPr>
    </w:p>
    <w:p>
      <w:pPr>
        <w:jc w:val="both"/>
        <w:ind w:left="720" w:right="299" w:hanging="319"/>
        <w:spacing w:after="0" w:line="266"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135" w:lineRule="exact"/>
        <w:rPr>
          <w:sz w:val="20"/>
          <w:szCs w:val="20"/>
          <w:color w:val="auto"/>
        </w:rPr>
      </w:pPr>
    </w:p>
    <w:p>
      <w:pPr>
        <w:ind w:left="60" w:right="279" w:firstLine="324"/>
        <w:spacing w:after="0" w:line="312" w:lineRule="auto"/>
        <w:rPr>
          <w:sz w:val="20"/>
          <w:szCs w:val="20"/>
          <w:color w:val="auto"/>
        </w:rPr>
      </w:pPr>
      <w:r>
        <w:rPr>
          <w:rFonts w:ascii="Times New Roman" w:cs="Times New Roman" w:eastAsia="Times New Roman" w:hAnsi="Times New Roman"/>
          <w:sz w:val="17"/>
          <w:szCs w:val="17"/>
          <w:color w:val="auto"/>
        </w:rPr>
        <w:t>In determining fair value, the Company utilizes valuation techniques that maximize the use of observable inputs and minimize the use of unobservable inputs, as well as considering counterparty credit risk in its assessment of fair value.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Earnings (Loss) Per Share</w:t>
      </w:r>
    </w:p>
    <w:p>
      <w:pPr>
        <w:spacing w:after="0" w:line="202"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Earnings (loss) per share (“EPS”) is calculated by dividing net income or loss attributable to common stockholders by the weighted average number of shares of common stock that were outstanding. Diluted EPS is calculated by adjusting the weighted average number of shares of common stock that were outstanding for the dilutive effect of common stock equivalents. In periods in which a net loss is recorded, no effect is given to potentially dilutive securities, since the effect would be antidilutive.</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89"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The Company operates in a single segment. Operating segments are identified as components of an enterprise about which separate discrete financial information is available for evaluation by the chief operating decision maker in making decisions regarding resource allocation and assessing performance. To date, the Company’s chief operating decision maker has made such decisions and assessed performance at the Company level as one segment.</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89" w:lineRule="exact"/>
        <w:rPr>
          <w:sz w:val="20"/>
          <w:szCs w:val="20"/>
          <w:color w:val="auto"/>
        </w:rPr>
      </w:pPr>
    </w:p>
    <w:p>
      <w:pPr>
        <w:ind w:left="60" w:right="279" w:firstLine="324"/>
        <w:spacing w:after="0" w:line="272" w:lineRule="auto"/>
        <w:rPr>
          <w:sz w:val="20"/>
          <w:szCs w:val="20"/>
          <w:color w:val="auto"/>
        </w:rPr>
      </w:pPr>
      <w:r>
        <w:rPr>
          <w:rFonts w:ascii="Times New Roman" w:cs="Times New Roman" w:eastAsia="Times New Roman" w:hAnsi="Times New Roman"/>
          <w:sz w:val="17"/>
          <w:szCs w:val="17"/>
          <w:color w:val="auto"/>
        </w:rPr>
        <w:t>In June 2016, the Financial Accounting Standards Board (“FASB”) issued Accounting Standards Update (“ASU”) No. 2016-13, Financial Instruments-Credit Losses (Topic 326): Measurement of Credit Losses on Financial Instruments, and subsequent amendments to the initial guidance (collectively, “Topic 326”). Topic 326 requires measurement and recognition of expected credit losses for financial assets held. Topic 326 was to be effective for reporting periods beginning after December 15, 2019, with early adoption permitted. In November 2019, the FASB issued ASU No. 2019-10, Financial Instruments - Credit Losses (Topic 326), Derivatives and Hedging (Topic 815), and Leases (Topic 842) - Effective Dates, which deferred the effective dates of Topic 326 for the Company, until fiscal year 2023. The Company adopted Topic 326 in 2023 and it did not have a material impact on its condensed consolidated financial statements.</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effective in future periods</w:t>
      </w:r>
    </w:p>
    <w:p>
      <w:pPr>
        <w:spacing w:after="0" w:line="189"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which requires disclosure of incremental segment information on an annual and interim basis. The standard is effective for years beginning after December 15, 2023, and interim periods beginning after December 15, 2024 and early adoption is permitted. The Company is currently evaluating the effect of adopting this guidance on its condensed consolidated financial statements.</w:t>
      </w:r>
    </w:p>
    <w:p>
      <w:pPr>
        <w:spacing w:after="0" w:line="139"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which requires disclosure of disaggregated income taxes paid by jurisdiction, enhances disclosures in the effective tax rate reconciliation and modifies other income tax-related disclosures. The amendments are effective for annual periods beginning after December 15, 2024. The Company is currently evaluating the effect of adopting this guidance on its condensed consolidated financial statements.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Restructuring</w:t>
      </w:r>
    </w:p>
    <w:p>
      <w:pPr>
        <w:spacing w:after="0" w:line="202" w:lineRule="exact"/>
        <w:rPr>
          <w:sz w:val="20"/>
          <w:szCs w:val="20"/>
          <w:color w:val="auto"/>
        </w:rPr>
      </w:pPr>
    </w:p>
    <w:p>
      <w:pPr>
        <w:ind w:left="60" w:right="259" w:firstLine="324"/>
        <w:spacing w:after="0" w:line="247" w:lineRule="auto"/>
        <w:rPr>
          <w:sz w:val="20"/>
          <w:szCs w:val="20"/>
          <w:color w:val="auto"/>
        </w:rPr>
      </w:pPr>
      <w:r>
        <w:rPr>
          <w:rFonts w:ascii="Times New Roman" w:cs="Times New Roman" w:eastAsia="Times New Roman" w:hAnsi="Times New Roman"/>
          <w:sz w:val="18"/>
          <w:szCs w:val="18"/>
          <w:color w:val="auto"/>
        </w:rPr>
        <w:t>On August 8, 2023, the Company’s Board of Directors approved a broad-based strategic reprioritization (the “Reprioritization”). The Company took actions to reduce certain operational and workforce expenses that were no longer deemed core to ongoing operations in order to extend its cash runway and drive innovation and growth in high potential clinical development and value creating opportunities. These actions included a shift in commercial strategy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in the institutional setting, a reduction of in-hospital commercialization expenses, a suspension of programs no longer determined to be core to ongoing operations, and a prioritization of at-home treatment setting opportunities for BXCL501.</w:t>
      </w:r>
    </w:p>
    <w:p>
      <w:pPr>
        <w:spacing w:after="0" w:line="1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As part of this strategy, the Company’s Board of Directors approved a reduction of approximately 60% of the Company’s workforce. The Company notified impacted employees on August 14, 2023 and recorded total restructuring costs of $4,163 for the year ended December 31, 2023. These costs consisted of severance and benefit costs of $4,063 and contract termination costs of $100. The Company paid $3,998 of severance and benefit costs and $100 of contract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termination costs in the year ended December 31, 2023. The Reprioritization was substantially complete as of December 31, 2023, and the remaining costs were paid during the first quarter of 2024.</w:t>
      </w:r>
    </w:p>
    <w:p>
      <w:pPr>
        <w:spacing w:after="0" w:line="162" w:lineRule="exact"/>
        <w:rPr>
          <w:sz w:val="20"/>
          <w:szCs w:val="20"/>
          <w:color w:val="auto"/>
        </w:rPr>
      </w:pPr>
    </w:p>
    <w:p>
      <w:pPr>
        <w:ind w:left="60" w:right="359" w:firstLine="324"/>
        <w:spacing w:after="0" w:line="258" w:lineRule="auto"/>
        <w:rPr>
          <w:sz w:val="20"/>
          <w:szCs w:val="20"/>
          <w:color w:val="auto"/>
        </w:rPr>
      </w:pPr>
      <w:r>
        <w:rPr>
          <w:rFonts w:ascii="Times New Roman" w:cs="Times New Roman" w:eastAsia="Times New Roman" w:hAnsi="Times New Roman"/>
          <w:sz w:val="18"/>
          <w:szCs w:val="18"/>
          <w:color w:val="auto"/>
        </w:rPr>
        <w:t>On May 8, 2024 the Company took additional actions as part of its continued efforts to preserve cash and prioritize investment in its core clinical programs. As part of these actions, the Company initiated a further reduction of approximately 15% of the Company’s then current workforce. The Company notified impacted employees on May 8, 2024 and recorded total restructuring costs of $856 for the three months ended June 30, 2024. These costs consisted of severance and benefit costs, all of which were paid during the three month period ended June 30, 2024.</w:t>
      </w:r>
    </w:p>
    <w:p>
      <w:pPr>
        <w:spacing w:after="0" w:line="183"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On September 17, 2024, the Company approved a plan for an additional reduction in its workforce of 15 employees, or approximately 28% of the Company’s headcount (the “Clinical Prioritization”), in order to extend its cash runway and prioritize investment on the clinical development of its lead neuroscience asset, BXCL501. The Company estimates that it will incur aggregate charges in connection with the Clinical Prioritization of approximately $1,553 which relate primarily to severance and benefits costs. Accordingly, the Company recorded a restructuring charge of $1,553 in the third quarter 2024, which is included in Accrued Expenses on the Condensed Consolidated Balance at September 30, 2024. The Company completed the Clinical Prioritization in October 2024, and expects to pay the related costs during the fourth quarter of 2024 and the first quarter of 2025.</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Inventory</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Inventory consists of the following:</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118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9"/>
        </w:trPr>
        <w:tc>
          <w:tcPr>
            <w:tcW w:w="59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4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09"/>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inventory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w:t>
            </w:r>
          </w:p>
        </w:tc>
      </w:tr>
      <w:tr>
        <w:trPr>
          <w:trHeight w:val="20"/>
        </w:trPr>
        <w:tc>
          <w:tcPr>
            <w:tcW w:w="5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The Company recorded inventory write-downs of $1,157 and $1,202 for the three and nine months ended September 30, 2024, respectively. The Company recorded inventory write-downs of $495 for the three and nine months ended September 30, 2023.</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Property and Equipment, Net</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1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0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2"/>
        </w:trPr>
        <w:tc>
          <w:tcPr>
            <w:tcW w:w="6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and equipment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1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09"/>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r>
      <w:tr>
        <w:trPr>
          <w:trHeight w:val="21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(1,425)</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r>
      <w:tr>
        <w:trPr>
          <w:trHeight w:val="209"/>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was $77 and $79 for the three months ended September 30, 2024 and 2023, respectively, and $232 and $240 for the nine months ended September 30, 2024 and 2023, respectively.</w:t>
      </w: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Accrued Expenses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5"/>
                <w:szCs w:val="15"/>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42"/>
        </w:trPr>
        <w:tc>
          <w:tcPr>
            <w:tcW w:w="59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46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w:t>
            </w: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restructuring costs</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accrued expenses</w:t>
            </w:r>
          </w:p>
        </w:tc>
        <w:tc>
          <w:tcPr>
            <w:tcW w:w="46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10,193</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12,424</w:t>
            </w:r>
          </w:p>
        </w:tc>
      </w:tr>
      <w:tr>
        <w:trPr>
          <w:trHeight w:val="20"/>
        </w:trPr>
        <w:tc>
          <w:tcPr>
            <w:tcW w:w="59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Transactions with BioXcel LLC</w:t>
      </w:r>
    </w:p>
    <w:p>
      <w:pPr>
        <w:spacing w:after="0" w:line="189"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The Company entered into a Separation and Shared Services Agreement with BioXcel LLC that took effect on June 30, 2017, as amended and restated thereafter (the “Services Agreement”), pursuant to which BioXcel LLC has agreed to provide the Company with certain intellectual property prosecution and management and research and development activities.</w:t>
      </w:r>
    </w:p>
    <w:p>
      <w:pPr>
        <w:spacing w:after="0" w:line="153"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Under the Services Agreement, we have an option, exercisable until December 31, 2024, to enter into a separate collaborative services agreement with BioXcel LLC pursuant to which BioXcel LLC shall perform product identification and related services for us utilizing its EvolverAI. We agreed to pay BioXcel LLC $18 per month from March 13, 2023 to December 31, 2024 in exchange for this option. We agreed to negotiate any such collaborative services agreement in good faith and to incorporate reasonable market-based terms, including consideration for BioXcel LLC reflecting a low, single-digit royalty on net sales and reasonable development and commercialization milestone payments, provided that (i) development milestone payments shall not exceed $10,000 in the aggregate and not be payable prior to proof of concept in humans and (ii) commercialization milestone payments shall be based on reaching annual net sales levels, be limited to 3% of the applicable net sales level, and not exceed $30,000 in the aggregate.</w:t>
      </w:r>
    </w:p>
    <w:p>
      <w:pPr>
        <w:spacing w:after="0" w:line="148"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Service charges recorded under the Services Agreement for the three and nine months ended September 30, 2024 and 2023, respectively were as follows:</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24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1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3"/>
        </w:trPr>
        <w:tc>
          <w:tcPr>
            <w:tcW w:w="4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4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230</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43"/>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120</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10"/>
        </w:trPr>
        <w:tc>
          <w:tcPr>
            <w:tcW w:w="4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350</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r>
      <w:tr>
        <w:trPr>
          <w:trHeight w:val="20"/>
        </w:trPr>
        <w:tc>
          <w:tcPr>
            <w:tcW w:w="4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2024, there were no outstanding service charges related to the Services Agreement included in Due to related parties in the Company’s Condensed Consolidated Balance Sheets.</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Debt and Credit Facilities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Debt, net of unamortized discounts and financing costs, consists of the following:</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158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5"/>
                <w:szCs w:val="15"/>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59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Agreement and Guaranty</w:t>
            </w: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102,319</w:t>
            </w:r>
          </w:p>
        </w:tc>
      </w:tr>
      <w:tr>
        <w:trPr>
          <w:trHeight w:val="216"/>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Payable-in-kind ("PIK") interest</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10"/>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long-term debt liability</w:t>
            </w: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102,680</w:t>
            </w: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premiums, discounts and issuance costs</w:t>
            </w:r>
          </w:p>
        </w:tc>
        <w:tc>
          <w:tcPr>
            <w:tcW w:w="4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(2,061)</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w:t>
            </w:r>
          </w:p>
        </w:tc>
      </w:tr>
      <w:tr>
        <w:trPr>
          <w:trHeight w:val="209"/>
        </w:trPr>
        <w:tc>
          <w:tcPr>
            <w:tcW w:w="59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long-term debt</w:t>
            </w:r>
          </w:p>
        </w:tc>
        <w:tc>
          <w:tcPr>
            <w:tcW w:w="420" w:type="dxa"/>
            <w:vAlign w:val="bottom"/>
            <w:tcBorders>
              <w:top w:val="single" w:sz="8" w:color="auto"/>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104,440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100,598</w:t>
            </w:r>
          </w:p>
        </w:tc>
      </w:tr>
      <w:tr>
        <w:trPr>
          <w:trHeight w:val="20"/>
        </w:trPr>
        <w:tc>
          <w:tcPr>
            <w:tcW w:w="5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79" w:firstLine="324"/>
        <w:spacing w:after="0" w:line="242" w:lineRule="auto"/>
        <w:rPr>
          <w:sz w:val="20"/>
          <w:szCs w:val="20"/>
          <w:color w:val="auto"/>
        </w:rPr>
      </w:pPr>
      <w:r>
        <w:rPr>
          <w:rFonts w:ascii="Times New Roman" w:cs="Times New Roman" w:eastAsia="Times New Roman" w:hAnsi="Times New Roman"/>
          <w:sz w:val="18"/>
          <w:szCs w:val="18"/>
          <w:color w:val="auto"/>
        </w:rPr>
        <w:t>On April 19, 2022, the Company entered into two strategic financing agreements: (i) a Credit Agreement and Guaranty (the “Credit Agreement”) by and among the Company, as the borrower, certain subsidiaries of the Company from time to time party thereto as subsidiary guarantors, the lenders party thereto (the “Lenders”), and Oaktree Fund Administration LLC (“OFA”) as administrative agent, and (ii) a Revenue Interest Financing Agreement (the “RIFA”; and together with the Credit Agreement, the “OFA Facilities”) by and among the Company, the purchasers party thereto (the “Purchasers”) and OFA as administrative agent. Under the OFA Facilities, the Lenders and the Purchasers agreed to, in the aggregate between the two OFA Facilities, provide up to $260,000 in gross funding to support the Company’s commercial activities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sublingual film. In addition, the OFA Facilities are intended to support the expansion of clinical development efforts of BXCL501, which includes a Phase 3 program for the acute treatment of agitation in patients with Alzheimer’s disease, and for general corporate purposes. The Lenders and Purchasers are comprised of affiliates of Oaktree Capital Management, L.P. and Qatar Investment Authority.</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Waiver and First Amendment to Credit Agreement and Guaranty</w:t>
      </w:r>
    </w:p>
    <w:p>
      <w:pPr>
        <w:spacing w:after="0" w:line="243"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On November 13, 2023, the Company, the lenders party to the Credit Agreement and OFA entered into a Waiver and First Amendment to Credit Agreement and Guaranty (the “First Amendment”) that provided for (i) a waiver and a modification to the covenant in the Credit Agreement regarding investments in OnkosXcel and (ii) an agreement among the parties to further revise key financial terms in the Credit Agreement and terminate the RIFA. Pursuant to the First Amendment, the Lenders agreed to permit the Company to invest up to a maximum of $30,000 at any time outstanding in OnkosXcel, increased from $25,000 at any time outstanding. The First Amendment also waived any defaults or events of default arising under the Credit Agreement due to a breach prior to the date of the First Amendment of the OnkosXcel investment covenant, or a breach of the Company’s obligation to notify OFA of such default. In connection with the First Amendment, the Company paid the Lenders a fee of $180 (representing 0.25% of the loans outstanding under the Credit Agreement on the date of the First Amendment) and agreed to pay to the Lenders an exit fee equal to 0.25% of the loans under the Credit Agreement repaid upon maturity or prepayment of the loans.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Second Amendment to Credit Agreement and Guaranty and Termination of the RIFA</w:t>
      </w:r>
    </w:p>
    <w:p>
      <w:pPr>
        <w:spacing w:after="0" w:line="229"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On December 5, 2023, (the “Second Amendment Effective Date”), the Company entered into the Second Amendment to Credit Agreement and Guaranty and Termination of Revenue Interest Financing Agreement (the “Second Amendment”), which further amended the Credit Agreement. On the Second Amendment Effective Date, the Credit Agreement was amended to provide up to $202,319 in senior secured term loans, including the initial Tranche A of $70,000, which was funded on April 28, 2022, and related capitalized interest on Tranche A through the Second Amendment Effective Date in the amount of $72,319. In addition, the $30,000 in financing previously provided to the Company under the RIFA on July 8, 2022 was converted to a term loan under the Credit Agreement (the “Tranche A-2 Term Loan”). The RIFA and all commitments for potential future funding thereunder were terminated. In addition, pursuant to the Second Amendment, the Lenders agreed to permit the Company to invest up to a maximum of $30,865 at any time outstanding in OnkosXcel, increased from $30,000. In connection with the Second Amendment, the Company agreed to pay to the Lenders an exit fee equal to 0.25% of the loans under the Credit Agreement repaid upon maturity or prepayment of the loans (which exit fee is in addition to, and not in lieu of, the exit fee provided for by the First Amendment). As of September 30, 2024, $100,000 in commitments under the Credit Agreement remains unfunded, and Oaktree has an Equity Investment Right (as defined below) to purchase up to $5,000 of Common Stock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39"/>
        <w:spacing w:after="0" w:line="282" w:lineRule="auto"/>
        <w:rPr>
          <w:sz w:val="20"/>
          <w:szCs w:val="20"/>
          <w:color w:val="auto"/>
        </w:rPr>
      </w:pPr>
      <w:r>
        <w:rPr>
          <w:rFonts w:ascii="Times New Roman" w:cs="Times New Roman" w:eastAsia="Times New Roman" w:hAnsi="Times New Roman"/>
          <w:sz w:val="18"/>
          <w:szCs w:val="18"/>
          <w:color w:val="auto"/>
        </w:rPr>
        <w:t>from the Company. The blended effective interest rate on the Tranches A-1 and A-2 as of September 30, 2024 was approximately 14.0%.</w:t>
      </w:r>
    </w:p>
    <w:p>
      <w:pPr>
        <w:spacing w:after="0" w:line="135" w:lineRule="exact"/>
        <w:rPr>
          <w:sz w:val="20"/>
          <w:szCs w:val="20"/>
          <w:color w:val="auto"/>
        </w:rPr>
      </w:pPr>
    </w:p>
    <w:p>
      <w:pPr>
        <w:ind w:left="60" w:right="139" w:firstLine="324"/>
        <w:spacing w:after="0" w:line="273" w:lineRule="auto"/>
        <w:rPr>
          <w:sz w:val="20"/>
          <w:szCs w:val="20"/>
          <w:color w:val="auto"/>
        </w:rPr>
      </w:pPr>
      <w:r>
        <w:rPr>
          <w:rFonts w:ascii="Times New Roman" w:cs="Times New Roman" w:eastAsia="Times New Roman" w:hAnsi="Times New Roman"/>
          <w:sz w:val="17"/>
          <w:szCs w:val="17"/>
          <w:color w:val="auto"/>
        </w:rPr>
        <w:t>The remaining tranches may be borrowed at the Company’s option prior to December 31, 2024, subject to satisfaction of certain conditions, including regulatory and financial milestones. Tranche B of the Credit Agreement is $20,000 and is available upon satisfaction of certain conditions and financial milestones. Tranche C of the Credit Agreement is $30,000 and is available upon satisfaction of certain conditions, including receipt of certain regulatory and financial milestones. Tranche D of the Credit Agreement is $50,000 and is available upon satisfaction of the Tranche C Term Loans conditions precedent to, and the funding of Tranche C Loans, including specified minimum net sales of the Company attributable to sales of BXCL501 for a trailing twelve consecutive month period, on or before December 31, 2025.</w:t>
      </w:r>
    </w:p>
    <w:p>
      <w:pPr>
        <w:spacing w:after="0" w:line="131"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The loans under the Credit Agreement do not amortize and mature on April 19, 2027. The Company may, at its option, no earlier than September 21, 2026 and no later than October 21, 2026, request an extension of the maturity date to April, 19, 2028, provided that the Company satisfies certain conditions including receipt of certain regulatory and financial milestones. Borrowings under the Credit Agreement are issued at a 200-basis point original issue discount and bear interest at a variable annual rate of TERM SOFR (but not less than 2.5% or more than 5.5%) plus 7.5%, payable quarterly. The rate resets every three months based on the current Term SOFR rate. Of such interest, above 8% per annum is, at the Company’s option, payable in kind by capitalizing and adding such interest to the outstanding principal amount of loans from the first payment date on which such interest is owed through March 31, 2025, unless, with respect to any payment date, the Company elects to pay all or a portion of such interest in cash. The Company is required to pay a ticking fee equal to 0.75% per annum on the undrawn amount of the commitments, payable quarterly commencing 120 days after April 22, 2022 through the termination of the commitments, which is expensed as incurred and recognized as interest expense in the Consolidated Statements of Operations. The Company may voluntarily prepay the Credit Agreement at any time subject to a prepayment fee.</w:t>
      </w:r>
    </w:p>
    <w:p>
      <w:pPr>
        <w:spacing w:after="0" w:line="152"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The Company’s obligations under the Credit Agreement are guaranteed by BTI’s existing and subsequently acquired or organized subsidiaries, subject to certain exceptions. BTI’s obligations under the Credit Agreement and the related guarantees thereunder are secured, subject to customary permitted liens and other agreed upon exceptions, by (i) a pledge of all of the equity interests of all of the Company’s existing and any future direct subsidiaries, and (ii) a perfected security interest in all of its and the guarantors’ tangible and intangible assets (except that the guarantees provided by the BXCL701 Subsidiaries (as defined below) are unsecured).</w:t>
      </w:r>
    </w:p>
    <w:p>
      <w:pPr>
        <w:spacing w:after="0" w:line="160" w:lineRule="exact"/>
        <w:rPr>
          <w:sz w:val="20"/>
          <w:szCs w:val="20"/>
          <w:color w:val="auto"/>
        </w:rPr>
      </w:pPr>
    </w:p>
    <w:p>
      <w:pPr>
        <w:ind w:left="60" w:right="199" w:firstLine="324"/>
        <w:spacing w:after="0" w:line="251"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and customary affirmative and negative covenants, including, among other things, restrictions on indebtedness, liens, investments, mergers, dispositions, prepayment of other indebtedness, and dividends and other distributions, subject to certain exceptions, including specific exceptions with respect to product commercialization and development activities. The Company must also comply with certain financial covenants, including (i) maintenance of cash or permitted cash equivalent investments in accounts controlled by OFA for the Lenders, of at least (a) initially, $15,000, (b) from and after the funding of the Tranche B loans, $20,000, and (c) from and after the Company’s satisfaction of the funding conditions for the Tranche C loans, $15,000, provided, that the liquidity covenant applicable at any time will be increased upon certain events related to a sale of OnkosXcel (up to a maximum amount equal to $37,500), provided that the minimum liquidity amount will in no event exceed 50% of the aggregate amount of loans outstanding under the Credit Agreement at any time; and (ii) a minimum revenue test, measured quarterly beginning with the Company’s fiscal quarter ending on December 31, 2024 (such six-month period the “Revenue Covenant Measurement Period”), that requires it and its subsidiaries’ consolidated net revenue for the six consecutive month period ending on the last day of each such fiscal quarter to not be less than a minimum revenue amount specified in the Credit Agreement (such testing date, the “Revenue Covenant Measurement Testing Date” and the covenant described in this clause (ii) the “Revenue Covenant”). The Company’s failure to comply with the financial covenants will result in an event of default, subject to certain cure rights with respect to the Revenue Covenant. If, as of a Revenue Covenant Measurement Testing Date, the Company’s revenue for the applicable Revenue Covenant Measurement Period is less than the minimum revenue amount specified for the applicable period then required under the Revenue Covenant, the Company would have a right to cure such shortfall for a total of three fiscal periods by making a revenue cure payment (which would be treated as prepayments of the loans subject to a prepayment fee) to the Lenders in an amount equal to the difference between such minimum required revenue amount and the Company’s actual revenues for such Revenue Covenant Measurement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79"/>
        <w:spacing w:after="0" w:line="266" w:lineRule="auto"/>
        <w:rPr>
          <w:sz w:val="20"/>
          <w:szCs w:val="20"/>
          <w:color w:val="auto"/>
        </w:rPr>
      </w:pPr>
      <w:r>
        <w:rPr>
          <w:rFonts w:ascii="Times New Roman" w:cs="Times New Roman" w:eastAsia="Times New Roman" w:hAnsi="Times New Roman"/>
          <w:sz w:val="18"/>
          <w:szCs w:val="18"/>
          <w:color w:val="auto"/>
        </w:rPr>
        <w:t>Period, such payment to not be less than $1,000. If paid, the Company will be deemed to have complied with the Revenue Covenant as of such Revenue Covenant Measurement Testing Date. Any such payment will be applied to the prepayment of the loans under the Credit Agreement.</w:t>
      </w:r>
    </w:p>
    <w:p>
      <w:pPr>
        <w:spacing w:after="0" w:line="14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Notwithstanding the foregoing, the Credit Agreement permits OnkosXcel (together with OnkosXcel Employee Holdings, LLC (“Employee Holdings”), a subsidiary of BTI, and their respective subsidiaries, the “BXCL701 Subsidiaries”) to receive third-party investment or transfer all or substantially all of their assets to an unaffiliated third party, in each case subject to terms and conditions set forth in the Credit Agreement, including the escrow of certain proceeds received by BTI and its subsidiaries (other than the BXCL701 Subsidiaries) in respect of these disposition events and, under circumstances set forth in the Credit Agreement, the mandatory prepayment of such escrowed amounts. The Company’s equity interests in the BXCL701 Subsidiaries have been pledged in support of its obligations under the Credit Agreement, and the BXCL701 Subsidiaries have provided direct guarantees of BTI’s obligations under the Credit Agreement on an unsecured basis. However, the pledge, guarantee and other obligations of the BXCL701 Subsidiaries under the Credit Agreement will be released upon certain agreed upon events, including an initial public offering by the BXCL701 Subsidiaries or the ownership by unaffiliated third parties of at least 20% of the equity interests in the BXCL701 Subsidiaries.</w:t>
      </w:r>
    </w:p>
    <w:p>
      <w:pPr>
        <w:spacing w:after="0" w:line="149"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The Credit Agreement contains events of default that are customary for financings of this type relating to, among other things, payment defaults, breach of covenants, breach of representations and warranties, cross default to material indebtedness, bankruptcy-related defaults, judgment defaults, breach of the financial covenants described above, and the occurrence of certain change of control events. In certain circumstances, events of default are subject to customary cure periods. The Credit Agreement also contains certain regulatory-related events of default, which do not have cure periods. Following an event of default and any applicable cure period, the Lenders will have the right upon notice to terminate any undrawn commitments and may accelerate all amounts outstanding under the Credit Agreement, in addition to other remedies available to them as the Company’s secured creditors.</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Waiver and Third and Fourth Amendments to Credit Agreement and Guaranty</w:t>
      </w:r>
    </w:p>
    <w:p>
      <w:pPr>
        <w:spacing w:after="0" w:line="256"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On February 12, 2024, the Company entered into the Third Amendment to Credit Agreement and Guaranty (the “Third Amendment”), which amended the Credit Agreement. Pursuant to the Third Amendment, the Lenders agreed to waive the covenant that the Company shall not receive a report and opinion from the Company’s independent auditors that contains a “going concern” or like qualification or exception or emphasis of matter of going concern footnote with respect to the Company’s financial statements for the fiscal year ended December 31, 2023 and, as a result, such event shall not be an event of default. As a condition to the effectiveness of the Third Amendment, among other things, the Company shall have received at least $40,000 in gross proceeds from a registered public sale of the Company’s common stock, warrants and/or pre-funded warrants on or before February 20, 2024. The Company did not meet this condition and therefore the Third Amendment did not become effective.</w:t>
      </w:r>
    </w:p>
    <w:p>
      <w:pPr>
        <w:spacing w:after="0" w:line="188"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On March 20, 2024 (the “Effective Date”), the Company entered into the Fourth Amendment to the Credit Agreement and Guaranty (the “Fourth Amendment”), which amended the Credit Agreement. Pursuant to the Fourth Amendment, the Lenders agreed to waive the covenant that the Company shall not receive a report and opinion from the Company’s independent registered public accounting firm that contains a “going concern” or similar qualification with respect to the Company’s financial statements for the year ended December 31, 2023. Accordingly, while the Company’s independent registered public accounting firm’s report contained in the Annual Report on Form 10-K for the fiscal year ended December 31, 2023 contains a “going concern” explanatory paragraph, it does not constitute an event of default under the Credit Agreement.</w:t>
      </w:r>
    </w:p>
    <w:p>
      <w:pPr>
        <w:spacing w:after="0" w:line="192"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The Fourth Amendment includes a covenant that the Company will receive, (i) after the Effective Date and on or before April 15, 2024, at least $25,000 in gross proceeds from the issuance of its common stock, warrants and/or pre-funded warrants, and/or in non-refundable cash consideration from partnering transactions entered into after the Effective Date (so long as such partnering transactions would not require the Company or any of its subsidiaries to make any cash investments in connection with the partnering transactions and no such cash investments are made) and (ii) after the Effective Date and on or before November 30, 2024, at least $50,000 (for the avoidance of doubt, inclusive of amounts previously counted toward the preceding clause (i)) in gross proceeds from the issuance of its common stock, warrants and/or pre-funded warrants, and/or in cash and/or non-cash consideration (measured at fair market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56" w:lineRule="auto"/>
        <w:rPr>
          <w:sz w:val="20"/>
          <w:szCs w:val="20"/>
          <w:color w:val="auto"/>
        </w:rPr>
      </w:pPr>
      <w:r>
        <w:rPr>
          <w:rFonts w:ascii="Times New Roman" w:cs="Times New Roman" w:eastAsia="Times New Roman" w:hAnsi="Times New Roman"/>
          <w:sz w:val="18"/>
          <w:szCs w:val="18"/>
          <w:color w:val="auto"/>
        </w:rPr>
        <w:t>value, as determined by the Administrative Agent (as defined in the Credit Agreement) in its sole discretion ) from partnering transactions entered into after the Effective Date. Failure to perform this covenant would constitute (A) a default under the Credit Agreement and (B) an event of default under the Credit Agreement, subject to a cure period, solely in the case of clause (i) of the preceding sentence, until May 15, 2024. For the avoidance of doubt, failure to perform clause (ii) of the preceding sentence would constitute an immediate event of default under the Credit Agreement without any cure or grace period.</w:t>
      </w:r>
    </w:p>
    <w:p>
      <w:pPr>
        <w:spacing w:after="0" w:line="187"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 xml:space="preserve">In addition, the Fourth Amendment provides that if the Company has not, after the Effective Date and on or before September 30, 2024, received at least $40,000 in gross proceeds from the issuance of its common stock, warrants and/or pre-funded warrants, and/or cash and/or non-cash consideration (measured at fair market value, as determined by the Administrative Agent in its sole discretion) from partnering transactions entered into after the Effective Date, the “Minimum Liquidity Amount” (as defined in the Credit Agreement) that the Company is required to maintain at all times will increase to $25,000 from $15,000, unless and until the Company has received, after the Effective Date and on or before November 30, 2024, at least $50,000 in gross proceeds from the issuance of the Company’s common stock, warrants and/or pre-funded warrants, and/or in cash and/or non-cash consideration (measured at fair market value, as determined by the Administrative Agent in its sole discretion) from partnering transactions entered into after the Effective Date. On March 27, 2024, the Company received $25,000 in gross proceeds from the issuance of its common stock, warrants, and pre-funded warrants discussed in Note 11, </w:t>
      </w:r>
      <w:r>
        <w:rPr>
          <w:rFonts w:ascii="Times New Roman" w:cs="Times New Roman" w:eastAsia="Times New Roman" w:hAnsi="Times New Roman"/>
          <w:sz w:val="18"/>
          <w:szCs w:val="18"/>
          <w:i w:val="1"/>
          <w:iCs w:val="1"/>
          <w:color w:val="auto"/>
        </w:rPr>
        <w:t>Common Stock Financing Activities</w:t>
      </w:r>
      <w:r>
        <w:rPr>
          <w:rFonts w:ascii="Times New Roman" w:cs="Times New Roman" w:eastAsia="Times New Roman" w:hAnsi="Times New Roman"/>
          <w:sz w:val="18"/>
          <w:szCs w:val="18"/>
          <w:color w:val="auto"/>
        </w:rPr>
        <w:t>, satisfying the April 15, 2024 covenant requirement of the Fourth Amendment. During the third quarter of 2024, the Company received $467 of gross proceeds from the issuance of the Company’s common stock. As of September 30, 2024, the Company had satisfied $30,943 of the $40,000 required to maintain the Minimum Liquidity Amount and the $50,000 gross proceeds requirement. As a result, at September 30, 2024, the Minimum Liquidity Amount increased to $25,000. As of September 30, 2024, we were in compliance with all restrictive and financial covenants under the Credit Agreement.</w:t>
      </w:r>
    </w:p>
    <w:p>
      <w:pPr>
        <w:spacing w:after="0" w:line="1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Revenue Interest Financing Agreement</w:t>
      </w:r>
    </w:p>
    <w:p>
      <w:pPr>
        <w:spacing w:after="0" w:line="202" w:lineRule="exact"/>
        <w:rPr>
          <w:sz w:val="20"/>
          <w:szCs w:val="20"/>
          <w:color w:val="auto"/>
        </w:rPr>
      </w:pPr>
    </w:p>
    <w:p>
      <w:pPr>
        <w:ind w:left="60" w:right="279" w:firstLine="324"/>
        <w:spacing w:after="0" w:line="236" w:lineRule="auto"/>
        <w:rPr>
          <w:sz w:val="20"/>
          <w:szCs w:val="20"/>
          <w:color w:val="auto"/>
        </w:rPr>
      </w:pPr>
      <w:r>
        <w:rPr>
          <w:rFonts w:ascii="Times New Roman" w:cs="Times New Roman" w:eastAsia="Times New Roman" w:hAnsi="Times New Roman"/>
          <w:sz w:val="18"/>
          <w:szCs w:val="18"/>
          <w:color w:val="auto"/>
        </w:rPr>
        <w:t>As noted, the RIFA was terminated when the Company entered into the Second Amendment, which amended the Credit Agreement (as amended by the First Amendment). The $30,000 Tranche A previously provided to the Company under the RIFA was converted to the Tranche A-2 Term Loan. Prior to termination, the RIFA provided up to $120,000 in potential financing in exchange for a capped revenue interest on net sales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and other future BXCL501 products, if any, that received regulatory approval for sale. The initial Tranche A of $30,000 was funded on July 8, 2022. The effective interest rate on the RIFA as of December 31, 2022, was approximately 14%.</w:t>
      </w:r>
    </w:p>
    <w:p>
      <w:pPr>
        <w:spacing w:after="0" w:line="160"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Under the terms of the RIFA, the Purchasers were to receive tiered revenue interest payments on U.S. net sales of IGALMI™, and other future BXCL501 products, if any, that receive regulatory approval for sale, equal to a royalty ranging from 0.375% to 7.750% of net sales of IGALMI™, and other future BXCL501 products, if any, approved for sale in the U.S., subject to a hard cap equal to 1.75x the total amount funded. The Company would also have been required to make certain additional payments to the Purchasers from time to time to ensure that the aggregate amount of payments received by the Purchasers under the RIFA were at least equal to certain agreed upon minimum levels as of certain specified dates, subject to terms and conditions set forth in the RIFA. Revenue interest payments due under the RIFA were payable quarterly based on net sales.</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Warrants and Equity Investment Right</w:t>
      </w:r>
    </w:p>
    <w:p>
      <w:pPr>
        <w:spacing w:after="0" w:line="202" w:lineRule="exact"/>
        <w:rPr>
          <w:sz w:val="20"/>
          <w:szCs w:val="20"/>
          <w:color w:val="auto"/>
        </w:rPr>
      </w:pPr>
    </w:p>
    <w:p>
      <w:pPr>
        <w:ind w:left="60" w:right="199" w:firstLine="324"/>
        <w:spacing w:after="0" w:line="257" w:lineRule="auto"/>
        <w:rPr>
          <w:sz w:val="20"/>
          <w:szCs w:val="20"/>
          <w:color w:val="auto"/>
        </w:rPr>
      </w:pPr>
      <w:r>
        <w:rPr>
          <w:rFonts w:ascii="Times New Roman" w:cs="Times New Roman" w:eastAsia="Times New Roman" w:hAnsi="Times New Roman"/>
          <w:sz w:val="18"/>
          <w:szCs w:val="18"/>
          <w:color w:val="auto"/>
        </w:rPr>
        <w:t>In connection with the closing of the Second Amendment, on the Second Amendment Effective Date, the Company amended and restated the warrants granted to the Lenders on April 19, 2022 to purchase up to 278 shares of the Company’s common stock at an exercise price of $20.04 per share (the “Original Warrants”). Pursuant to the amendment and restatement of the Original Warrants, dated December 5, 2023 (the “Amended and Restated Original Warrants”), the exercise price of the Original Warrants has been reduced to $3.6452 per share. In addition, the Company granted new warrants to the Lenders to purchase up to 70 shares of the Company’s common stock (the “2023 Warrant Shares”) at an exercise price of $3.6452 per share (the “2023 Warrants” and together with the Amended and Restated Original Warrants, the “Warrants”). The Amended and Restated Original Warrants and the 2023 Warrants will expire on April 19, 2029 and may be net exercised at the holder’s election. In addition, pursuant to the Credit Agreement, the Lenders have the right to purchase shares of the Company’s common stock after the Second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7" w:lineRule="auto"/>
        <w:rPr>
          <w:sz w:val="20"/>
          <w:szCs w:val="20"/>
          <w:color w:val="auto"/>
        </w:rPr>
      </w:pPr>
      <w:r>
        <w:rPr>
          <w:rFonts w:ascii="Times New Roman" w:cs="Times New Roman" w:eastAsia="Times New Roman" w:hAnsi="Times New Roman"/>
          <w:sz w:val="18"/>
          <w:szCs w:val="18"/>
          <w:color w:val="auto"/>
        </w:rPr>
        <w:t>Amendment Effective Date, so long as borrowings under the Credit Agreement are outstanding, for a purchase price of $5,000 at a price per share equal to a 10% premium to the volume-weighted average price of the common stock over the 30 trading days prior to the Lenders’ election to proceed with such equity investment (the “Equity Investment Right”). BTI entered into a registration rights agreement (the “Registration Rights Agreement”) with the Lenders and filed a registration statement on Form S-3 to register the shares issuable upon exercise of the Warrants and, if issued, the shares related to the Equity Investment Right, for resale. The maximum shares of BTI common stock issuable under the Warrants (including the Original Warrants and the 2023 Warrants) and Lenders’ Equity Investment Right was 5,852 as of March 31, 2024. On the Second Amendment Effective Date, Company amended and restated its Registration Rights Agreement (the “Amended and Restated Registration Rights Agreement”) with the Lenders, dated April 19, 2022, pursuant to which the Company agreed to register the 2023 Warrant Shares for resale.</w:t>
      </w:r>
    </w:p>
    <w:p>
      <w:pPr>
        <w:spacing w:after="0" w:line="160"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As part of the Credit Agreement, OnkosXcel, a wholly owned subsidiary of BTI, granted warrants to the Lenders to purchase 175 individual limited liability company units (which number of units is not in thousands; referred to herein as the “OnkosXcel Warrants”). The strike price of the OnkosXcel Warrants is formulaic based on the value of OnkosXcel at the time of exercise and can only be exercised upon occurrence of an equity related liquidity event for OnkosXcel of at least $20,000. The exercise price per unit of the OnkosXcel Warrants will be set upon the earlier of the closing of the next sale (or series of related sales) by OnkosXcel of equity securities of OnkosXcel with aggregate proceeds of not less than $20,000 to unrelated third parties (the “Next Equity Financing”) at an exercise price per unit equal to a 10% premium over the price per unit of the equity securities sold by OnkosXcel in such Next Equity Financing or, in the event of a sale of OnkosXcel prior to the Next Equity Financing or an initial public offering constituting the Next Equity Financing, the lesser of (x) 75% of the fair value of the consideration to be paid for a unit upon the consummation of such transaction and (y) 150% of the valuation applicable to the initial profits units issued by OnkosXcel after the closing of the Credit Agreement. The OnkosXcel Warrants are transferable with approval from BTI, which cannot be unreasonably withheld, expire on April 19, 2029, and may be net exercised at the holder’s election.</w:t>
      </w:r>
    </w:p>
    <w:p>
      <w:pPr>
        <w:spacing w:after="0" w:line="147"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closing of the Fourth Amendment discussed below, the Company granted new warrants to the Lenders to purchase up to 100 shares of its common stock (the “2024 Warrant Shares”) at an exercise price of $3.0723 per share (the “2024 Warrants”), which represents a 10% premium over the arithmetic average of the volume-weighted average price of the Company’s common stock on the Nasdaq Capital Market during the 30 trading days preceding the Effective Date. The 2024 Warrants will expire on April 19, 2029 and may be net exercised at the holder’s election. On the Effective Date, the Company amended and restated its Amended and Restated Registration Rights Agreement (the “Second Amended and Restated Registration Rights Agreement”) with the Lenders, originally dated April 19, 2022. Pursuant to the Second Amended and Restated Registration Rights Agreement, the Company agreed to register the 2024 Warrant Shares for resale.</w:t>
      </w:r>
    </w:p>
    <w:p>
      <w:pPr>
        <w:spacing w:after="0" w:line="188" w:lineRule="exact"/>
        <w:rPr>
          <w:sz w:val="20"/>
          <w:szCs w:val="20"/>
          <w:color w:val="auto"/>
        </w:rPr>
      </w:pPr>
    </w:p>
    <w:p>
      <w:pPr>
        <w:ind w:left="60" w:right="659"/>
        <w:spacing w:after="0" w:line="282" w:lineRule="auto"/>
        <w:rPr>
          <w:sz w:val="20"/>
          <w:szCs w:val="20"/>
          <w:color w:val="auto"/>
        </w:rPr>
      </w:pPr>
      <w:r>
        <w:rPr>
          <w:rFonts w:ascii="Times New Roman" w:cs="Times New Roman" w:eastAsia="Times New Roman" w:hAnsi="Times New Roman"/>
          <w:sz w:val="18"/>
          <w:szCs w:val="18"/>
          <w:color w:val="auto"/>
        </w:rPr>
        <w:t>Maturities of debt, excluding the impacts of any mandatory payments pursuant to the Revenue Covenant or to meet minimum royalty levels, are expected to be as follows: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54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10"/>
        </w:trPr>
        <w:tc>
          <w:tcPr>
            <w:tcW w:w="25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106,501</w:t>
            </w:r>
          </w:p>
        </w:tc>
        <w:tc>
          <w:tcPr>
            <w:tcW w:w="280" w:type="dxa"/>
            <w:vAlign w:val="bottom"/>
          </w:tcPr>
          <w:p>
            <w:pPr>
              <w:spacing w:after="0"/>
              <w:rPr>
                <w:sz w:val="18"/>
                <w:szCs w:val="18"/>
                <w:color w:val="auto"/>
              </w:rPr>
            </w:pPr>
          </w:p>
        </w:tc>
      </w:tr>
      <w:tr>
        <w:trPr>
          <w:trHeight w:val="21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846"/>
        </w:trPr>
        <w:tc>
          <w:tcPr>
            <w:tcW w:w="2540" w:type="dxa"/>
            <w:vAlign w:val="bottom"/>
          </w:tcPr>
          <w:p>
            <w:pPr>
              <w:spacing w:after="0"/>
              <w:rPr>
                <w:sz w:val="24"/>
                <w:szCs w:val="24"/>
                <w:color w:val="auto"/>
              </w:rPr>
            </w:pPr>
          </w:p>
        </w:tc>
        <w:tc>
          <w:tcPr>
            <w:tcW w:w="4440" w:type="dxa"/>
            <w:vAlign w:val="bottom"/>
          </w:tcPr>
          <w:p>
            <w:pPr>
              <w:jc w:val="right"/>
              <w:ind w:right="237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560"/>
        </w:trPr>
        <w:tc>
          <w:tcPr>
            <w:tcW w:w="254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Interest expense was as follows:</w:t>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1800" w:type="dxa"/>
            <w:vAlign w:val="bottom"/>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9"/>
        </w:trPr>
        <w:tc>
          <w:tcPr>
            <w:tcW w:w="4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7"/>
                <w:szCs w:val="17"/>
                <w:color w:val="auto"/>
              </w:rPr>
            </w:pPr>
          </w:p>
        </w:tc>
        <w:tc>
          <w:tcPr>
            <w:tcW w:w="1800" w:type="dxa"/>
            <w:vAlign w:val="bottom"/>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46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4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8,813</w:t>
            </w:r>
          </w:p>
        </w:tc>
      </w:tr>
      <w:tr>
        <w:trPr>
          <w:trHeight w:val="216"/>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Accretion of debt discount and amortization of financing costs</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w:t>
            </w:r>
          </w:p>
        </w:tc>
      </w:tr>
      <w:tr>
        <w:trPr>
          <w:trHeight w:val="209"/>
        </w:trPr>
        <w:tc>
          <w:tcPr>
            <w:tcW w:w="4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interest expense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11,097</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9,879</w:t>
            </w:r>
          </w:p>
        </w:tc>
      </w:tr>
      <w:tr>
        <w:trPr>
          <w:trHeight w:val="20"/>
        </w:trPr>
        <w:tc>
          <w:tcPr>
            <w:tcW w:w="4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Derivative Financial Instruments</w:t>
      </w:r>
    </w:p>
    <w:p>
      <w:pPr>
        <w:spacing w:after="0" w:line="189" w:lineRule="exact"/>
        <w:rPr>
          <w:sz w:val="20"/>
          <w:szCs w:val="20"/>
          <w:color w:val="auto"/>
        </w:rPr>
      </w:pPr>
    </w:p>
    <w:p>
      <w:pPr>
        <w:ind w:left="60" w:right="219" w:firstLine="405"/>
        <w:spacing w:after="0" w:line="271" w:lineRule="auto"/>
        <w:rPr>
          <w:sz w:val="20"/>
          <w:szCs w:val="20"/>
          <w:color w:val="auto"/>
        </w:rPr>
      </w:pPr>
      <w:r>
        <w:rPr>
          <w:rFonts w:ascii="Times New Roman" w:cs="Times New Roman" w:eastAsia="Times New Roman" w:hAnsi="Times New Roman"/>
          <w:sz w:val="17"/>
          <w:szCs w:val="17"/>
          <w:color w:val="auto"/>
        </w:rPr>
        <w:t>BTI identified certain freestanding financial instruments and/or embedded features that require separate accounting from the borrowings under the OFA Facilities. This includes the OnkosXcel Warrants and Equity Investment Right held by the Lenders, along with certain put/call options. The OnkosXcel Warrants and Equity Investment Right do not meet certain scope exceptions under U.S. GAAP, primarily because the exercise prices and number of shares of the Company’s common stock issuable under the instruments are variable, and the instruments meet the definition of a derivative instrument. Therefore, these instruments are recorded as Derivative liabilities in the Condensed Consolidated Balance Sheets. The respective derivative liabilities were recorded at fair value on the date of issuance and are revalued on each balance sheet date until such instruments are settled or expire, with changes in the fair value between reporting periods recorded within Other (income) expense, net in the Company’s Condensed Consolidated Statements of Operations.</w:t>
      </w:r>
    </w:p>
    <w:p>
      <w:pPr>
        <w:spacing w:after="0" w:line="171" w:lineRule="exact"/>
        <w:rPr>
          <w:sz w:val="20"/>
          <w:szCs w:val="20"/>
          <w:color w:val="auto"/>
        </w:rPr>
      </w:pPr>
    </w:p>
    <w:p>
      <w:pPr>
        <w:ind w:left="60" w:right="159" w:firstLine="401"/>
        <w:spacing w:after="0" w:line="269" w:lineRule="auto"/>
        <w:rPr>
          <w:sz w:val="20"/>
          <w:szCs w:val="20"/>
          <w:color w:val="auto"/>
        </w:rPr>
      </w:pPr>
      <w:r>
        <w:rPr>
          <w:rFonts w:ascii="Times New Roman" w:cs="Times New Roman" w:eastAsia="Times New Roman" w:hAnsi="Times New Roman"/>
          <w:sz w:val="17"/>
          <w:szCs w:val="17"/>
          <w:color w:val="auto"/>
        </w:rPr>
        <w:t xml:space="preserve">With respect to the Securities Purchase Agreement discussed in Note 11, </w:t>
      </w:r>
      <w:r>
        <w:rPr>
          <w:rFonts w:ascii="Times New Roman" w:cs="Times New Roman" w:eastAsia="Times New Roman" w:hAnsi="Times New Roman"/>
          <w:sz w:val="17"/>
          <w:szCs w:val="17"/>
          <w:i w:val="1"/>
          <w:iCs w:val="1"/>
          <w:color w:val="auto"/>
        </w:rPr>
        <w:t>Common Stock Financing Activities</w:t>
      </w:r>
      <w:r>
        <w:rPr>
          <w:rFonts w:ascii="Times New Roman" w:cs="Times New Roman" w:eastAsia="Times New Roman" w:hAnsi="Times New Roman"/>
          <w:sz w:val="17"/>
          <w:szCs w:val="17"/>
          <w:color w:val="auto"/>
        </w:rPr>
        <w:t xml:space="preserve">, BTI determined that the Accompanying Warrants fail the equity classification criteria and are therefore classified as liabilities in accordance with ASC 480, Distinguishing Liabilities from Equity ("ASC 480") and ASC 815, Derivatives and Hedging (“ASC 815”). The Accompanying Warrants failed to meet the requirements to be indexed to equity and equity classified, and meet the definition of a derivative instrument. Therefore, these instruments are recorded as Derivative liabilities in the Condensed Consolidated Balance Sheet as of September 30, 2024. The respective derivative liabilities were recorded at fair value on the date of issuance in the amount of $19,347 and are revalued on each balance sheet date until such instruments are settled or expire, with changes in the fair value between reporting periods recorded within Other (income) expense, net in the Company’s Condensed Consolidated Statements of Operations. We value the Accompanying Warrants using the Black-Scholes option pricing model as discussed in Note 14, </w:t>
      </w:r>
      <w:r>
        <w:rPr>
          <w:rFonts w:ascii="Times New Roman" w:cs="Times New Roman" w:eastAsia="Times New Roman" w:hAnsi="Times New Roman"/>
          <w:sz w:val="17"/>
          <w:szCs w:val="17"/>
          <w:i w:val="1"/>
          <w:iCs w:val="1"/>
          <w:color w:val="auto"/>
        </w:rPr>
        <w:t>Fair value measurements</w:t>
      </w:r>
      <w:r>
        <w:rPr>
          <w:rFonts w:ascii="Times New Roman" w:cs="Times New Roman" w:eastAsia="Times New Roman" w:hAnsi="Times New Roman"/>
          <w:sz w:val="17"/>
          <w:szCs w:val="17"/>
          <w:color w:val="auto"/>
        </w:rPr>
        <w:t>. As of September 30, 2024, the fair value of the Accompanying Warrants was $2,935. The Company recorded a fair value adjustment resulting in an unrealized gain of $4,691 and $16,412 for the three and nine months ended September 30, 2024, respectively.</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Common Stock Financing Activities</w:t>
      </w:r>
    </w:p>
    <w:p>
      <w:pPr>
        <w:spacing w:after="0" w:line="22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In May 2021, the Company entered into an Open Market Sale Agreement (as amended, supplemented and/or restated from time to time, the “Sale Agreement”) with Jefferies LLC (“Jefferies”) pursuant to which the Company could offer and sell shares of its common stock, having an aggregate offering price of up to $100,000, from time to time, through an “at the market offering” program under which Jefferies will act as sale agent. In November 2023, the Company amended the Sale Agreement to increase the size of the “at the market offering" program to $150,000. For the year ended December 31, 2023, the Company sold 1,408 shares of its common stock for a gross amount of $27,032, incurred issuance costs of $811, and received net proceeds of $26,221. For the three months ended September 30, 2024, the Company sold 361 shares of its common stock for a gross amount of $467, incurred issuance costs of $14, and received net proceeds of $453. For the nine months ended September 30, 2024, the Company sold 3,847 shares of its common stock for a gross amount of $7,682, incurred issuance costs of $231, and received net proceeds of $7,451.</w:t>
      </w:r>
    </w:p>
    <w:p>
      <w:pPr>
        <w:spacing w:after="0" w:line="194"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On March 25, 2024, the Company entered into a Securities Purchase Agreement (the “Purchase Agreement”) with the purchasers named therein (collectively, the “Purchasers”). Pursuant to the Purchase Agreement, the Company agreed to issue and sell to the Purchasers in a registered direct offering (the “Offering”) under an effective shelf registration statement on Form S-3 (File No. 333-275261) and a related prospectus supplement filed with the Securities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and Exchange Commission on March 25, 2024 (the “Prospectus Supplement”) an aggregate of 3,055 shares (the “Shares”) of common stock, par value $0.001 per share, and accompanying warrants (the “Accompanying Warrants”) to purchase up to 3,055 shares of common stock at a combined offering price of $2.901 per Share and Accompanying Warrant and pre-funded warrants (the “Pre-Funded Warrants”) to purchase up to 5,565 shares of common stock and Accompanying Warrants to purchase up to 5,565 shares of common stock, at a combined offering price of $2.900 per share underlying each Pre-Funded Warrant and Accompanying Warrant, which equals the offering price per Share and Accompanying Warrant less the $0.001 exercise price per share of the Pre-Funded Warrants. The Pre-Funded Warrants and Accompanying Warrants are not listed on the Nasdaq Capital Market or any other securities exchange or trading system and the Company does not intend to list them. On March 27, 2024, The Company received $25,000 of gross proceeds from the Offering. The Company intends to use the proceeds from the Offering, together with its existing cash and cash equivalents, to fund planned clinical trials of BXCL501, commercialization activities for IGALMI™ and for working capital and other general corporate purposes.</w:t>
      </w:r>
    </w:p>
    <w:p>
      <w:pPr>
        <w:spacing w:after="0" w:line="190"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The Pre-Funded Warrants have an exercise price per share of common stock equal to $0.001 per share. The exercise price and the number of shares of common stock issuable upon exercise of the Pre-Funded Warrants are subject to appropriate adjustments in the event of certain stock dividends and distributions, stock splits, stock combinations, reclassifications or similar events affecting the common stock. The Pre-Funded Warrants are exercisable at any time after the date of issuance. The Pre-Funded Warrants meet the equity classification criteria and are therefore classified as equity. For the three months ended September 30, 2024, 1,705 Pre-Funded Warrants were exercised and the same number of shares of common stock were issued in exchange for $2 of proceeds received. For the nine months ended September 30, 2024, 5,565 Pre-Funded Warrants were exercised and the same number of shares of common stock were issued in exchange for $6 of proceeds received.</w:t>
      </w:r>
    </w:p>
    <w:p>
      <w:pPr>
        <w:spacing w:after="0" w:line="188"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The Accompanying Warrants have an exercise price per share of common stock equal to $3.20 per share. The exercise price and the number of shares of common stock issuable upon exercise of the Accompanying Warrants are subject to appropriate adjustments in the event of certain stock dividends and distributions, stock splits, stock combinations, reclassifications or similar events affecting the common stock. The Accompanying Warrants will be exercisable at any time after the date of issuance and will expire on the fifth anniversary of the date of issuance. The Accompanying Warrants do not meet certain scope exceptions under U.S. GAAP, primarily because they did not meet the requirements to be indexed to equity and equity classified, and the instruments meet the definition of a derivative instrument. Therefore, these instruments are recorded as Derivative liabilities in the Condensed Consolidated Balance Sheet as of September 30, 2024.</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Stock-Based Compensation</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2017 Equity Incentive Plan</w:t>
      </w:r>
    </w:p>
    <w:p>
      <w:pPr>
        <w:spacing w:after="0" w:line="189" w:lineRule="exact"/>
        <w:rPr>
          <w:sz w:val="20"/>
          <w:szCs w:val="20"/>
          <w:color w:val="auto"/>
        </w:rPr>
      </w:pPr>
    </w:p>
    <w:p>
      <w:pPr>
        <w:ind w:left="60" w:right="479" w:firstLine="324"/>
        <w:spacing w:after="0" w:line="266" w:lineRule="auto"/>
        <w:rPr>
          <w:sz w:val="20"/>
          <w:szCs w:val="20"/>
          <w:color w:val="auto"/>
        </w:rPr>
      </w:pPr>
      <w:r>
        <w:rPr>
          <w:rFonts w:ascii="Times New Roman" w:cs="Times New Roman" w:eastAsia="Times New Roman" w:hAnsi="Times New Roman"/>
          <w:sz w:val="18"/>
          <w:szCs w:val="18"/>
          <w:color w:val="auto"/>
        </w:rPr>
        <w:t>The Company’s 2017 Plan became effective in August 2017. Following the effective date of the Company's 2020 Plan, the Company ceased granting awards under the 2017 Plan, however, the terms and conditions of the 2017 Plan continue to govern any outstanding awards granted thereunder.</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2020 Incentive Award Plan</w:t>
      </w:r>
    </w:p>
    <w:p>
      <w:pPr>
        <w:spacing w:after="0" w:line="202" w:lineRule="exact"/>
        <w:rPr>
          <w:sz w:val="20"/>
          <w:szCs w:val="20"/>
          <w:color w:val="auto"/>
        </w:rPr>
      </w:pPr>
    </w:p>
    <w:p>
      <w:pPr>
        <w:ind w:left="60" w:right="199" w:firstLine="324"/>
        <w:spacing w:after="0" w:line="272" w:lineRule="auto"/>
        <w:rPr>
          <w:sz w:val="20"/>
          <w:szCs w:val="20"/>
          <w:color w:val="auto"/>
        </w:rPr>
      </w:pPr>
      <w:r>
        <w:rPr>
          <w:rFonts w:ascii="Times New Roman" w:cs="Times New Roman" w:eastAsia="Times New Roman" w:hAnsi="Times New Roman"/>
          <w:sz w:val="17"/>
          <w:szCs w:val="17"/>
          <w:color w:val="auto"/>
        </w:rPr>
        <w:t>The Company’s 2020 Plan was approved and became effective at the Company’s 2020 annual meeting of stockholders on May 20, 2020, and unless earlier terminated by the Board of Directors, will remain in effect until March 26, 2030. The 2020 Plan originally authorized for issuance the sum of (i) 911 shares of the Company’s common stock and</w:t>
      </w:r>
    </w:p>
    <w:p>
      <w:pPr>
        <w:spacing w:after="0" w:line="2" w:lineRule="exact"/>
        <w:rPr>
          <w:sz w:val="20"/>
          <w:szCs w:val="20"/>
          <w:color w:val="auto"/>
        </w:rPr>
      </w:pPr>
    </w:p>
    <w:p>
      <w:pPr>
        <w:ind w:left="60" w:right="159" w:hanging="10"/>
        <w:spacing w:after="0" w:line="251" w:lineRule="auto"/>
        <w:tabs>
          <w:tab w:leader="none" w:pos="3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233 shares of the Company’s common stock, which represents the number of shares that remained available for issuance under the 2017 Plan immediately prior to the approval of the 2020 Plan by the Company’s stockholders. Any shares of common stock which, immediately prior to the approval of the 2020 Plan by the Company’s stockholders, were subject to awards granted under the 2017 Plan that are forfeited or lapse unexercised and are not issued under the 2017 Plan will increase the number of shares of common stock available for grant under the 2020 Plan. In addition, the number of shares available for issuance under the 2020 Plan will increase on the first day of each calendar year, beginning January 1, 2021 and ending on and including January 1, 2030, by a number of shares equal to the lesser of (A) 4% of the aggregate number of shares of the Company’s common stock outstanding on the final day of the immediately preceding calendar year and (B) such smaller number of shares of common stock as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determined by the Board of Directors. The shares available for issuance under the 2020 Plan increased by 1,197 shares and 1,126 shares on January 1, 2024 and 2023, respectively.</w:t>
      </w:r>
    </w:p>
    <w:p>
      <w:pPr>
        <w:spacing w:after="0" w:line="135"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Stock options granted under the 2020 Plan have a term of ten years. The vesting schedule of all awards granted under the 2020 Plan is determined by the Board of Directors, which is generally four years.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September 30, 2024, there were 369 shares available to be granted under the 2020 Plan.</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BTI Restricted stock units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summarizes activity relating to BTI RSUs.</w:t>
      </w: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00" w:type="dxa"/>
            <w:vAlign w:val="bottom"/>
          </w:tcPr>
          <w:p>
            <w:pPr>
              <w:spacing w:after="0"/>
              <w:rPr>
                <w:sz w:val="13"/>
                <w:szCs w:val="13"/>
                <w:color w:val="auto"/>
              </w:rPr>
            </w:pPr>
          </w:p>
        </w:tc>
        <w:tc>
          <w:tcPr>
            <w:tcW w:w="14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73"/>
        </w:trPr>
        <w:tc>
          <w:tcPr>
            <w:tcW w:w="7400" w:type="dxa"/>
            <w:vAlign w:val="bottom"/>
          </w:tcPr>
          <w:p>
            <w:pPr>
              <w:spacing w:after="0"/>
              <w:rPr>
                <w:sz w:val="15"/>
                <w:szCs w:val="15"/>
                <w:color w:val="auto"/>
              </w:rPr>
            </w:pPr>
          </w:p>
        </w:tc>
        <w:tc>
          <w:tcPr>
            <w:tcW w:w="14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142"/>
        </w:trPr>
        <w:tc>
          <w:tcPr>
            <w:tcW w:w="740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09"/>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0"/>
        </w:trPr>
        <w:tc>
          <w:tcPr>
            <w:tcW w:w="74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granted 20 time-based BTI RSUs which fully vest on the one-year anniversary of the grant date. During the nine months ended September 30, 2024, the Company granted 25 time-based BTI RSUs which fully vest on the one-year anniversary of the grant date. The average grant date fair value per share for the BTI RSUs for the three months ended September 30, 2024 was $1.20. The average grant date fair value per share for the BTI RSUs for the nine months ended September 30, 2024 was $1.46. During the nine months ended September 30, 2024, 6 BTI RSUs were cancelled. The outstanding RSUs generally vest over four years, with 25% vesting at the one-year anniversary of the grant date and the balance vesting ratably over the remaining 12 quarters of the vesting period. The weighted average grant date fair value per share for the BTI RSUs granted in 2023 was $19.62. Unrecognized stock-based compensation expense related to these awards was approximately $854 and $3,096 as of September 30, 2024 and 2023, respectively.</w:t>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BTI Performance stock units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summarizes activity relating to Performance Units related to BTI common stock.</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9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73"/>
        </w:trPr>
        <w:tc>
          <w:tcPr>
            <w:tcW w:w="7900" w:type="dxa"/>
            <w:vAlign w:val="bottom"/>
          </w:tcPr>
          <w:p>
            <w:pPr>
              <w:spacing w:after="0"/>
              <w:rPr>
                <w:sz w:val="15"/>
                <w:szCs w:val="15"/>
                <w:color w:val="auto"/>
              </w:rPr>
            </w:pPr>
          </w:p>
        </w:tc>
        <w:tc>
          <w:tcPr>
            <w:tcW w:w="9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142"/>
        </w:trPr>
        <w:tc>
          <w:tcPr>
            <w:tcW w:w="79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1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16"/>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r>
      <w:tr>
        <w:trPr>
          <w:trHeight w:val="216"/>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Cancelled</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2024</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w:t>
            </w:r>
          </w:p>
        </w:tc>
      </w:tr>
      <w:tr>
        <w:trPr>
          <w:trHeight w:val="20"/>
        </w:trPr>
        <w:tc>
          <w:tcPr>
            <w:tcW w:w="79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In July 2024, the Company granted 1,388 Performance Units to employees. The Performance Units vest on the one-year anniversary of the grant date, provided certain performance criteria are met. The weighted average value per share of Performance Units granted in 2024 was $1.20. None of the Performance Units had vested as of September 30, 2024. Unrecognized stock-based compensation expense related to these Performance Units expected to vest was zero as of September 30, 2024 since it is uncertain whether any performance criteria will be met.</w:t>
      </w:r>
    </w:p>
    <w:p>
      <w:pPr>
        <w:spacing w:after="0" w:line="143"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In October 2023, the Company granted 543 Performance Units to employees. 209 Performance Units vest on the one-year anniversary of the grant date, and the remaining 334 Performance Units are performance based and vest on the one-year anniversary of the grant date, provided certain performance criteria are met. The weighted average value per share of Performance Units granted in 2023 and cancelled during 2023 and 2024 was $2.43. None of the Performance Units had vested as of September 30, 2024.</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OnkosXcel profit sharing units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summarizes activity relating to the PSUs associated with OnkosXcel as described below.</w:t>
      </w:r>
    </w:p>
    <w:p>
      <w:pPr>
        <w:spacing w:after="0" w:line="200" w:lineRule="exact"/>
        <w:rPr>
          <w:sz w:val="20"/>
          <w:szCs w:val="20"/>
          <w:color w:val="auto"/>
        </w:rPr>
      </w:pP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216"/>
        </w:trPr>
        <w:tc>
          <w:tcPr>
            <w:tcW w:w="586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8"/>
                <w:szCs w:val="18"/>
                <w:color w:val="auto"/>
              </w:rPr>
            </w:pPr>
          </w:p>
        </w:tc>
        <w:tc>
          <w:tcPr>
            <w:tcW w:w="14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price per unit</w:t>
            </w:r>
          </w:p>
        </w:tc>
      </w:tr>
      <w:tr>
        <w:trPr>
          <w:trHeight w:val="199"/>
        </w:trPr>
        <w:tc>
          <w:tcPr>
            <w:tcW w:w="5860" w:type="dxa"/>
            <w:vAlign w:val="bottom"/>
          </w:tcPr>
          <w:p>
            <w:pPr>
              <w:spacing w:after="0"/>
              <w:rPr>
                <w:sz w:val="17"/>
                <w:szCs w:val="17"/>
                <w:color w:val="auto"/>
              </w:rPr>
            </w:pP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0" w:type="dxa"/>
            <w:vAlign w:val="bottom"/>
          </w:tcPr>
          <w:p>
            <w:pPr>
              <w:spacing w:after="0"/>
              <w:rPr>
                <w:sz w:val="17"/>
                <w:szCs w:val="17"/>
                <w:color w:val="auto"/>
              </w:rPr>
            </w:pPr>
          </w:p>
        </w:tc>
        <w:tc>
          <w:tcPr>
            <w:tcW w:w="14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(in whole dollars)</w:t>
            </w:r>
          </w:p>
        </w:tc>
      </w:tr>
      <w:tr>
        <w:trPr>
          <w:trHeight w:val="210"/>
        </w:trPr>
        <w:tc>
          <w:tcPr>
            <w:tcW w:w="58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w:t>
            </w:r>
          </w:p>
        </w:tc>
      </w:tr>
      <w:tr>
        <w:trPr>
          <w:trHeight w:val="216"/>
        </w:trPr>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10,176</w:t>
            </w:r>
          </w:p>
        </w:tc>
      </w:tr>
      <w:tr>
        <w:trPr>
          <w:trHeight w:val="216"/>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Cancelled</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w:t>
            </w:r>
          </w:p>
        </w:tc>
      </w:tr>
      <w:tr>
        <w:trPr>
          <w:trHeight w:val="216"/>
        </w:trPr>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7"/>
        </w:trPr>
        <w:tc>
          <w:tcPr>
            <w:tcW w:w="5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6"/>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units as of September 30, 2024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w:t>
            </w:r>
          </w:p>
        </w:tc>
      </w:tr>
      <w:tr>
        <w:trPr>
          <w:trHeight w:val="20"/>
        </w:trPr>
        <w:tc>
          <w:tcPr>
            <w:tcW w:w="58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79" w:firstLine="324"/>
        <w:spacing w:after="0" w:line="261" w:lineRule="auto"/>
        <w:rPr>
          <w:sz w:val="20"/>
          <w:szCs w:val="20"/>
          <w:color w:val="auto"/>
        </w:rPr>
      </w:pPr>
      <w:r>
        <w:rPr>
          <w:rFonts w:ascii="Times New Roman" w:cs="Times New Roman" w:eastAsia="Times New Roman" w:hAnsi="Times New Roman"/>
          <w:sz w:val="18"/>
          <w:szCs w:val="18"/>
          <w:color w:val="auto"/>
        </w:rPr>
        <w:t>During 2024, OnkosXcel Employee Holdings, LLC, a management holding company used to facilitate the grant of equity interests to service providers of OnkosXcel granted 15 individual (not in thousands) time-based PSUs related to OnkosXcel to certain employees of the Company in consideration for services provided to OnkosXcel. The PSUs represent indirect equity interests in OnkosXcel. These PSUs vest ratably over 48 months.</w:t>
      </w:r>
    </w:p>
    <w:p>
      <w:pPr>
        <w:spacing w:after="0" w:line="139"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During 2023, OnkosXcel Employee Holdings, LLC, granted 30 individual (not in thousands) time-based PSUs related to OnkosXcel to certain employees of the Company in consideration for services provided to OnkosXcel. The PSUs represent indirect equity interests in OnkosXcel. All PSUs, other than those granted to certain executive employees of the Company, vest ratably over 48 months. PSUs granted to certain executive employees of the Company, vested ratably over 24 months.</w:t>
      </w:r>
    </w:p>
    <w:p>
      <w:pPr>
        <w:spacing w:after="0" w:line="156"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The fair values of PSUs granted during 2024 were estimated at the date of grant using a Black-Scholes option pricing model and assumptions below.</w:t>
      </w: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46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 grant profit share</w:t>
            </w:r>
          </w:p>
        </w:tc>
      </w:tr>
      <w:tr>
        <w:trPr>
          <w:trHeight w:val="238"/>
        </w:trPr>
        <w:tc>
          <w:tcPr>
            <w:tcW w:w="4220" w:type="dxa"/>
            <w:vAlign w:val="bottom"/>
          </w:tcPr>
          <w:p>
            <w:pPr>
              <w:spacing w:after="0"/>
              <w:rPr>
                <w:sz w:val="20"/>
                <w:szCs w:val="20"/>
                <w:color w:val="auto"/>
              </w:rPr>
            </w:pPr>
          </w:p>
        </w:tc>
        <w:tc>
          <w:tcPr>
            <w:tcW w:w="46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unit valuation inputs</w:t>
            </w:r>
          </w:p>
        </w:tc>
      </w:tr>
      <w:tr>
        <w:trPr>
          <w:trHeight w:val="216"/>
        </w:trPr>
        <w:tc>
          <w:tcPr>
            <w:tcW w:w="4220" w:type="dxa"/>
            <w:vAlign w:val="bottom"/>
          </w:tcPr>
          <w:p>
            <w:pPr>
              <w:spacing w:after="0"/>
              <w:rPr>
                <w:sz w:val="18"/>
                <w:szCs w:val="18"/>
                <w:color w:val="auto"/>
              </w:rPr>
            </w:pPr>
          </w:p>
        </w:tc>
        <w:tc>
          <w:tcPr>
            <w:tcW w:w="4620" w:type="dxa"/>
            <w:vAlign w:val="bottom"/>
          </w:tcPr>
          <w:p>
            <w:pPr>
              <w:spacing w:after="0"/>
              <w:rPr>
                <w:sz w:val="18"/>
                <w:szCs w:val="18"/>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462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97.4 %</w:t>
            </w:r>
          </w:p>
        </w:tc>
      </w:tr>
      <w:tr>
        <w:trPr>
          <w:trHeight w:val="216"/>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 of interest</w:t>
            </w:r>
          </w:p>
        </w:tc>
        <w:tc>
          <w:tcPr>
            <w:tcW w:w="46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3.6 %</w:t>
            </w:r>
          </w:p>
        </w:tc>
      </w:tr>
      <w:tr>
        <w:trPr>
          <w:trHeight w:val="21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462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46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5.8 years</w:t>
            </w:r>
          </w:p>
        </w:tc>
      </w:tr>
    </w:tbl>
    <w:p>
      <w:pPr>
        <w:spacing w:after="0" w:line="179" w:lineRule="exact"/>
        <w:rPr>
          <w:sz w:val="20"/>
          <w:szCs w:val="20"/>
          <w:color w:val="auto"/>
        </w:rPr>
      </w:pPr>
    </w:p>
    <w:p>
      <w:pPr>
        <w:jc w:val="both"/>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Unrecognized stock-based compensation expense related to these awards was $496 and $3,203 at September 30, 2024 and 2023, respectively.</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OnkosXcel restricted stock units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summarizes activity relating to the OnkosXcel RSUs.</w:t>
      </w:r>
    </w:p>
    <w:p>
      <w:pPr>
        <w:spacing w:after="0" w:line="200" w:lineRule="exact"/>
        <w:rPr>
          <w:sz w:val="20"/>
          <w:szCs w:val="20"/>
          <w:color w:val="auto"/>
        </w:rPr>
      </w:pP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14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213"/>
        </w:trPr>
        <w:tc>
          <w:tcPr>
            <w:tcW w:w="7400" w:type="dxa"/>
            <w:vAlign w:val="bottom"/>
          </w:tcPr>
          <w:p>
            <w:pPr>
              <w:spacing w:after="0"/>
              <w:rPr>
                <w:sz w:val="18"/>
                <w:szCs w:val="18"/>
                <w:color w:val="auto"/>
              </w:rPr>
            </w:pPr>
          </w:p>
        </w:tc>
        <w:tc>
          <w:tcPr>
            <w:tcW w:w="14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units</w:t>
            </w:r>
          </w:p>
        </w:tc>
      </w:tr>
      <w:tr>
        <w:trPr>
          <w:trHeight w:val="209"/>
        </w:trPr>
        <w:tc>
          <w:tcPr>
            <w:tcW w:w="74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7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Cancelled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9"/>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0"/>
        </w:trPr>
        <w:tc>
          <w:tcPr>
            <w:tcW w:w="74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2023, the Company granted 225 individual (not in thousands) OnkosXcel RSUs to certain employees. 125 of the OnkosXcel RSUs vest upon the earlier to occur of (a) 180 days after an initial public offering of OnkosXcel, or (b) a change in control of OnkosXcel. The remaining OnkosXcel RSUs vest over four years, with 25% vesting at the one-year anniversary of the grant date and the balance vesting ratably over the remaining 12 quarters of the vesting period. The weighted average grant date fair value per unit for the OnkosXcel RSUs was approximately $10. Unrecognized stock-based compensation expense related to the awards expected to vest was approximately $261 and $2,151 as of September 30, 2024 and 2023, respectively.</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BTI Stock options</w:t>
      </w:r>
    </w:p>
    <w:p>
      <w:pPr>
        <w:spacing w:after="0" w:line="202" w:lineRule="exact"/>
        <w:rPr>
          <w:sz w:val="20"/>
          <w:szCs w:val="20"/>
          <w:color w:val="auto"/>
        </w:rPr>
      </w:pPr>
    </w:p>
    <w:p>
      <w:pPr>
        <w:ind w:left="60" w:right="639" w:firstLine="324"/>
        <w:spacing w:after="0" w:line="282" w:lineRule="auto"/>
        <w:rPr>
          <w:sz w:val="20"/>
          <w:szCs w:val="20"/>
          <w:color w:val="auto"/>
        </w:rPr>
      </w:pPr>
      <w:r>
        <w:rPr>
          <w:rFonts w:ascii="Times New Roman" w:cs="Times New Roman" w:eastAsia="Times New Roman" w:hAnsi="Times New Roman"/>
          <w:sz w:val="18"/>
          <w:szCs w:val="18"/>
          <w:color w:val="auto"/>
        </w:rPr>
        <w:t>A summary of the Company’s stock option activity for the nine months ended September 30, 2024 is presented below.</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3"/>
                <w:szCs w:val="13"/>
                <w:color w:val="auto"/>
              </w:rPr>
            </w:pPr>
          </w:p>
        </w:tc>
        <w:tc>
          <w:tcPr>
            <w:tcW w:w="18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73"/>
        </w:trPr>
        <w:tc>
          <w:tcPr>
            <w:tcW w:w="5500" w:type="dxa"/>
            <w:vAlign w:val="bottom"/>
          </w:tcPr>
          <w:p>
            <w:pPr>
              <w:spacing w:after="0"/>
              <w:rPr>
                <w:sz w:val="15"/>
                <w:szCs w:val="15"/>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18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price per share</w:t>
            </w:r>
          </w:p>
        </w:tc>
      </w:tr>
      <w:tr>
        <w:trPr>
          <w:trHeight w:val="142"/>
        </w:trPr>
        <w:tc>
          <w:tcPr>
            <w:tcW w:w="550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260" w:type="dxa"/>
            <w:vAlign w:val="bottom"/>
            <w:shd w:val="clear" w:color="auto" w:fill="CCEEFF"/>
          </w:tcPr>
          <w:p>
            <w:pPr>
              <w:spacing w:after="0"/>
              <w:rPr>
                <w:sz w:val="18"/>
                <w:szCs w:val="18"/>
                <w:color w:val="auto"/>
              </w:rPr>
            </w:pPr>
          </w:p>
        </w:tc>
      </w:tr>
      <w:tr>
        <w:trPr>
          <w:trHeight w:val="216"/>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tcPr>
          <w:p>
            <w:pPr>
              <w:spacing w:after="0"/>
              <w:rPr>
                <w:sz w:val="18"/>
                <w:szCs w:val="18"/>
                <w:color w:val="auto"/>
              </w:rPr>
            </w:pPr>
          </w:p>
        </w:tc>
      </w:tr>
      <w:tr>
        <w:trPr>
          <w:trHeight w:val="216"/>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260" w:type="dxa"/>
            <w:vAlign w:val="bottom"/>
            <w:shd w:val="clear" w:color="auto" w:fill="CCEEFF"/>
          </w:tcPr>
          <w:p>
            <w:pPr>
              <w:spacing w:after="0"/>
              <w:rPr>
                <w:sz w:val="18"/>
                <w:szCs w:val="18"/>
                <w:color w:val="auto"/>
              </w:rPr>
            </w:pPr>
          </w:p>
        </w:tc>
      </w:tr>
      <w:tr>
        <w:trPr>
          <w:trHeight w:val="216"/>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Cancelled</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260" w:type="dxa"/>
            <w:vAlign w:val="bottom"/>
          </w:tcPr>
          <w:p>
            <w:pPr>
              <w:spacing w:after="0"/>
              <w:rPr>
                <w:sz w:val="18"/>
                <w:szCs w:val="18"/>
                <w:color w:val="auto"/>
              </w:rPr>
            </w:pPr>
          </w:p>
        </w:tc>
      </w:tr>
      <w:tr>
        <w:trPr>
          <w:trHeight w:val="216"/>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2024</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5,229</w:t>
            </w:r>
          </w:p>
        </w:tc>
        <w:tc>
          <w:tcPr>
            <w:tcW w:w="2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260" w:type="dxa"/>
            <w:vAlign w:val="bottom"/>
            <w:tcBorders>
              <w:bottom w:val="single" w:sz="8" w:color="CCEEFF"/>
            </w:tcBorders>
          </w:tcPr>
          <w:p>
            <w:pPr>
              <w:spacing w:after="0"/>
              <w:rPr>
                <w:sz w:val="21"/>
                <w:szCs w:val="21"/>
                <w:color w:val="auto"/>
              </w:rPr>
            </w:pPr>
          </w:p>
        </w:tc>
      </w:tr>
      <w:tr>
        <w:trPr>
          <w:trHeight w:val="196"/>
        </w:trPr>
        <w:tc>
          <w:tcPr>
            <w:tcW w:w="5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4"/>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vested and exercisable as of September 30, 2024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260" w:type="dxa"/>
            <w:vAlign w:val="bottom"/>
          </w:tcPr>
          <w:p>
            <w:pPr>
              <w:spacing w:after="0"/>
              <w:rPr>
                <w:sz w:val="20"/>
                <w:szCs w:val="20"/>
                <w:color w:val="auto"/>
              </w:rPr>
            </w:pPr>
          </w:p>
        </w:tc>
      </w:tr>
    </w:tbl>
    <w:p>
      <w:pPr>
        <w:spacing w:after="0" w:line="179"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2024, the intrinsic value of options outstanding was $248. The intrinsic value for stock options is calculated based on the difference between the exercise prices of the underlying awards and the quoted stock price of the Company’s common stock as of the reporting date.</w:t>
      </w:r>
    </w:p>
    <w:p>
      <w:pPr>
        <w:spacing w:after="0" w:line="135"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No stock options were exercised for the three and nine months ended September 30, 2024. The total intrinsic value of stock options exercised for the nine months ended September 30, 2023 was $5,928. No stock options were exercised for the three months ended September 30, 2023. As of September 30, 2024 and 2023, the total intrinsic value of stock options exercisable was $248 and $2,628, respectively.</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weighted average grant date fair value per share of options vested as of September 30, 2024 was $13.59.</w:t>
      </w:r>
    </w:p>
    <w:p>
      <w:pPr>
        <w:spacing w:after="0" w:line="185"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The weighted average remaining contractual life is 5.1 years for options exercisable as of September 30, 2024. The weighted average remaining contractual life was 6.0 years for options outstanding as of September 30, 2024.</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Unrecognized compensation expense related to unvested BTI stock option awards as of September 30, 2024 was</w:t>
      </w:r>
    </w:p>
    <w:p>
      <w:pPr>
        <w:spacing w:after="0" w:line="27" w:lineRule="exact"/>
        <w:rPr>
          <w:sz w:val="20"/>
          <w:szCs w:val="20"/>
          <w:color w:val="auto"/>
        </w:rPr>
      </w:pPr>
    </w:p>
    <w:p>
      <w:pPr>
        <w:ind w:left="60" w:right="219"/>
        <w:spacing w:after="0" w:line="260" w:lineRule="auto"/>
        <w:rPr>
          <w:sz w:val="20"/>
          <w:szCs w:val="20"/>
          <w:color w:val="auto"/>
        </w:rPr>
      </w:pPr>
      <w:r>
        <w:rPr>
          <w:rFonts w:ascii="Times New Roman" w:cs="Times New Roman" w:eastAsia="Times New Roman" w:hAnsi="Times New Roman"/>
          <w:sz w:val="18"/>
          <w:szCs w:val="18"/>
          <w:color w:val="auto"/>
        </w:rPr>
        <w:t>$3,651 and will be recognized over the remaining vesting periods of the underlying awards. The weighted-average period over which such compensation is expected to be recognized is 1.4 years.</w:t>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ind w:left="60" w:right="819" w:firstLine="324"/>
        <w:spacing w:after="0" w:line="282" w:lineRule="auto"/>
        <w:rPr>
          <w:sz w:val="20"/>
          <w:szCs w:val="20"/>
          <w:color w:val="auto"/>
        </w:rPr>
      </w:pPr>
      <w:r>
        <w:rPr>
          <w:rFonts w:ascii="Times New Roman" w:cs="Times New Roman" w:eastAsia="Times New Roman" w:hAnsi="Times New Roman"/>
          <w:sz w:val="18"/>
          <w:szCs w:val="18"/>
          <w:color w:val="auto"/>
        </w:rPr>
        <w:t>The fair value of BTI stock options granted during the nine months ended September 30, 2024 and 2023 was estimated using the Black-Scholes pricing model with the following assumptions:</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246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3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000" w:type="dxa"/>
            <w:vAlign w:val="bottom"/>
          </w:tcPr>
          <w:p>
            <w:pPr>
              <w:spacing w:after="0"/>
              <w:rPr>
                <w:sz w:val="15"/>
                <w:szCs w:val="15"/>
                <w:color w:val="auto"/>
              </w:rPr>
            </w:pPr>
          </w:p>
        </w:tc>
        <w:tc>
          <w:tcPr>
            <w:tcW w:w="246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3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142"/>
        </w:trPr>
        <w:tc>
          <w:tcPr>
            <w:tcW w:w="400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9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5.5 years</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6.1 years</w:t>
            </w:r>
          </w:p>
        </w:tc>
        <w:tc>
          <w:tcPr>
            <w:tcW w:w="10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5.5 years</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 years</w:t>
            </w: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98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w w:val="96"/>
              </w:rPr>
              <w:t>108.0 %</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112.5 %</w:t>
            </w:r>
          </w:p>
        </w:tc>
        <w:tc>
          <w:tcPr>
            <w:tcW w:w="180" w:type="dxa"/>
            <w:vAlign w:val="bottom"/>
          </w:tcPr>
          <w:p>
            <w:pPr>
              <w:spacing w:after="0"/>
              <w:rPr>
                <w:sz w:val="18"/>
                <w:szCs w:val="18"/>
                <w:color w:val="auto"/>
              </w:rPr>
            </w:pPr>
          </w:p>
        </w:tc>
        <w:tc>
          <w:tcPr>
            <w:tcW w:w="100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rPr>
              <w:t>96.6 %</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109.2 %</w:t>
            </w:r>
          </w:p>
        </w:tc>
      </w:tr>
      <w:tr>
        <w:trPr>
          <w:trHeight w:val="21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 of interest</w:t>
            </w:r>
          </w:p>
        </w:tc>
        <w:tc>
          <w:tcPr>
            <w:tcW w:w="98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4.0 %</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4.5 %</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3.5 %</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4.4 %</w:t>
            </w:r>
          </w:p>
        </w:tc>
      </w:tr>
      <w:tr>
        <w:trPr>
          <w:trHeight w:val="234"/>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98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rPr>
              <w:t>0.0 %</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0.0 %</w:t>
            </w:r>
          </w:p>
        </w:tc>
        <w:tc>
          <w:tcPr>
            <w:tcW w:w="180" w:type="dxa"/>
            <w:vAlign w:val="bottom"/>
          </w:tcPr>
          <w:p>
            <w:pPr>
              <w:spacing w:after="0"/>
              <w:rPr>
                <w:sz w:val="20"/>
                <w:szCs w:val="20"/>
                <w:color w:val="auto"/>
              </w:rPr>
            </w:pPr>
          </w:p>
        </w:tc>
        <w:tc>
          <w:tcPr>
            <w:tcW w:w="100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rPr>
              <w:t>0.0 %</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0.0 %</w:t>
            </w:r>
          </w:p>
        </w:tc>
      </w:tr>
    </w:tbl>
    <w:p>
      <w:pPr>
        <w:spacing w:after="0" w:line="179"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In 2023, the Company began using the historical volatility of its common stock to estimate volatility. Prior to 2023, volatility was estimated using a combination of the historical volatility of publicly traded peer companies and that of the Company’s common stock. The expected term of the awards is estimated based on the simplified method, which calculates the expected term based upon the midpoint of the life of the award and the vesting period. The Company uses the simplified method because it does not have sufficient option exercise data to provide a reasonable basis upon which to estimate the expected term. The expected dividend yield is zero percent as the Company has no history of paying dividends nor does management expect to pay dividends over the contractual terms of these options. The risk-free interest rates are determined by reference to the U.S. Treasury yield curve in effect at the time of grant, with maturities approximating the expected term of the stock options. The fair value of the underlying common stock is generally determined as the closing price of the Company’s common stock on The Nasdaq Capital Market on the grant date, with consideration of whether there is material nonpublic information that could impact that estimated fair value when it is released.</w:t>
      </w:r>
    </w:p>
    <w:p>
      <w:pPr>
        <w:spacing w:after="0" w:line="163" w:lineRule="exact"/>
        <w:rPr>
          <w:sz w:val="20"/>
          <w:szCs w:val="20"/>
          <w:color w:val="auto"/>
        </w:rPr>
      </w:pPr>
    </w:p>
    <w:p>
      <w:pPr>
        <w:ind w:left="60" w:right="399"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recognized stock-based compensation expense related to awards issued under the 2017 Plan and the 2020 Plan, as well as the OnkosXcel RSUs and PSUs, of $1,865 and $4,014 for the three months ended September 30, 2024 and 2023, respectively, and $6,355 and $15,015 for the nine months ended September 30, 2024 and 2023, respectively, which were comprised as follows: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5"/>
                <w:szCs w:val="15"/>
                <w:color w:val="auto"/>
              </w:rPr>
            </w:pPr>
          </w:p>
        </w:tc>
        <w:tc>
          <w:tcPr>
            <w:tcW w:w="2320" w:type="dxa"/>
            <w:vAlign w:val="bottom"/>
            <w:gridSpan w:val="4"/>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38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w:t>
            </w:r>
          </w:p>
        </w:tc>
      </w:tr>
      <w:tr>
        <w:trPr>
          <w:trHeight w:val="216"/>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10,175</w:t>
            </w:r>
          </w:p>
        </w:tc>
      </w:tr>
      <w:tr>
        <w:trPr>
          <w:trHeight w:val="209"/>
        </w:trPr>
        <w:tc>
          <w:tcPr>
            <w:tcW w:w="3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15,015</w:t>
            </w:r>
          </w:p>
        </w:tc>
      </w:tr>
      <w:tr>
        <w:trPr>
          <w:trHeight w:val="20"/>
        </w:trPr>
        <w:tc>
          <w:tcPr>
            <w:tcW w:w="3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2020 Employee Stock Purchase Plan</w:t>
      </w:r>
    </w:p>
    <w:p>
      <w:pPr>
        <w:spacing w:after="0" w:line="189" w:lineRule="exact"/>
        <w:rPr>
          <w:sz w:val="20"/>
          <w:szCs w:val="20"/>
          <w:color w:val="auto"/>
        </w:rPr>
      </w:pPr>
    </w:p>
    <w:p>
      <w:pPr>
        <w:ind w:left="60" w:right="239" w:firstLine="324"/>
        <w:spacing w:after="0" w:line="253" w:lineRule="auto"/>
        <w:rPr>
          <w:sz w:val="20"/>
          <w:szCs w:val="20"/>
          <w:color w:val="auto"/>
        </w:rPr>
      </w:pPr>
      <w:r>
        <w:rPr>
          <w:rFonts w:ascii="Times New Roman" w:cs="Times New Roman" w:eastAsia="Times New Roman" w:hAnsi="Times New Roman"/>
          <w:sz w:val="18"/>
          <w:szCs w:val="18"/>
          <w:color w:val="auto"/>
        </w:rPr>
        <w:t>The Company’s 2020 Employee Stock Purchase Plan (the “ESPP”) was also approved and became effective at the Company’s 2020 annual meeting of stockholders on May 20, 2020. The ESPP is designed to assist eligible employees of the Company with the opportunity to purchase the Company’s common stock at a discount through accumulated payroll deductions during successive offering periods. The aggregate number of shares that were initially available to be issued pursuant to rights granted under the ESPP was 100 shares of common stock. In addition, the number of shares available for issuance under the ESPP increases on the first day of each calendar year, beginning on January 1, 2021 and ending on and including January 1, 2030, by a number of shares of common stock equal to the lesser of (a) 1% of the shares outstanding on the final day of the immediately preceding calendar year and (b) such smaller number of shares as determined by the Board of Directors. The number of shares that may be issued or transferred pursuant to rights granted under the component of the ESPP that is intended to qualify for favorable U.S. federal tax treatment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under Section 423 of the Internal Revenue Code (the “Section 423 Component”) shall not exceed 500 shares. The purchase price will be determined by the administrator of the ESPP and, for purposes of the Section 423 Component, shall not be less than 85% of the fair value of a share on the first trading day or on the last trading day of the applicable offering period, whichever is lower. The shares available for issuance under the ESPP increased by 299 shares and 281 shares on January 1, 2024 and 2023, respectively. To date, no shares have been sold under the ESPP. There were 1,204 shares available for issuance as of September 30, 2024.</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Leases</w:t>
      </w:r>
    </w:p>
    <w:p>
      <w:pPr>
        <w:spacing w:after="0" w:line="189" w:lineRule="exact"/>
        <w:rPr>
          <w:sz w:val="20"/>
          <w:szCs w:val="20"/>
          <w:color w:val="auto"/>
        </w:rPr>
      </w:pPr>
    </w:p>
    <w:p>
      <w:pPr>
        <w:jc w:val="both"/>
        <w:ind w:left="60" w:right="339" w:firstLine="324"/>
        <w:spacing w:after="0" w:line="266" w:lineRule="auto"/>
        <w:rPr>
          <w:sz w:val="20"/>
          <w:szCs w:val="20"/>
          <w:color w:val="auto"/>
        </w:rPr>
      </w:pPr>
      <w:r>
        <w:rPr>
          <w:rFonts w:ascii="Times New Roman" w:cs="Times New Roman" w:eastAsia="Times New Roman" w:hAnsi="Times New Roman"/>
          <w:sz w:val="18"/>
          <w:szCs w:val="18"/>
          <w:color w:val="auto"/>
        </w:rPr>
        <w:t>BTI leases office space for its corporate headquarters at 555 Long Wharf Drive, New Haven, Connecticut (the “HQ Lease”) under an operating lease that expires in February 2026. The Company has an option to renew the HQ Lease for one additional five-year term. Payments under the HQ Lease are fixed.</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also leases equipment such as copiers and information technology equipment.</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future minimum annual lease payments under operating leases, as of September 30, 2024, are as follows:</w:t>
      </w:r>
    </w:p>
    <w:p>
      <w:pPr>
        <w:spacing w:after="0" w:line="192" w:lineRule="exact"/>
        <w:rPr>
          <w:sz w:val="20"/>
          <w:szCs w:val="20"/>
          <w:color w:val="auto"/>
        </w:rPr>
      </w:pPr>
    </w:p>
    <w:tbl>
      <w:tblPr>
        <w:tblLayout w:type="fixed"/>
        <w:tblInd w:w="840" w:type="dxa"/>
        <w:tblCellMar>
          <w:top w:w="0" w:type="dxa"/>
          <w:left w:w="0" w:type="dxa"/>
          <w:bottom w:w="0" w:type="dxa"/>
          <w:right w:w="0" w:type="dxa"/>
        </w:tblCellMar>
      </w:tblPr>
      <w:tr>
        <w:trPr>
          <w:trHeight w:val="173"/>
        </w:trPr>
        <w:tc>
          <w:tcPr>
            <w:tcW w:w="6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60" w:type="dxa"/>
            <w:vAlign w:val="bottom"/>
          </w:tcPr>
          <w:p>
            <w:pPr>
              <w:spacing w:after="0"/>
              <w:rPr>
                <w:sz w:val="15"/>
                <w:szCs w:val="15"/>
                <w:color w:val="auto"/>
              </w:rPr>
            </w:pP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42"/>
        </w:trPr>
        <w:tc>
          <w:tcPr>
            <w:tcW w:w="61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16"/>
        </w:trPr>
        <w:tc>
          <w:tcPr>
            <w:tcW w:w="6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Imputed interest</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0"/>
        </w:trPr>
        <w:tc>
          <w:tcPr>
            <w:tcW w:w="6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liability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16"/>
        </w:trPr>
        <w:tc>
          <w:tcPr>
            <w:tcW w:w="6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current portion of lease liability</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10"/>
        </w:trPr>
        <w:tc>
          <w:tcPr>
            <w:tcW w:w="62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Long-term portion of operating lease 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0"/>
        </w:trPr>
        <w:tc>
          <w:tcPr>
            <w:tcW w:w="6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The current portion of the Company’s operating lease liability of $368 as of September 30, 2024, is included in Other current liabilities on the Condensed Consolidated Balance Sheets.</w:t>
      </w:r>
    </w:p>
    <w:p>
      <w:pPr>
        <w:spacing w:after="0" w:line="121"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Lease expense was $101 and $98 for the three months ended September 30, 2024 and 2023, respectively, and $299 and $294 for the nine months ended September 30, 2024 and 2023, respectively.</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Lease renewal options are not included in the ROU asset or lease liability.</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Fair Value Measurements</w:t>
      </w:r>
    </w:p>
    <w:p>
      <w:pPr>
        <w:spacing w:after="0" w:line="189" w:lineRule="exact"/>
        <w:rPr>
          <w:sz w:val="20"/>
          <w:szCs w:val="20"/>
          <w:color w:val="auto"/>
        </w:rPr>
      </w:pPr>
    </w:p>
    <w:p>
      <w:pPr>
        <w:jc w:val="both"/>
        <w:ind w:left="60" w:right="179" w:firstLine="401"/>
        <w:spacing w:after="0" w:line="266" w:lineRule="auto"/>
        <w:rPr>
          <w:sz w:val="20"/>
          <w:szCs w:val="20"/>
          <w:color w:val="auto"/>
        </w:rPr>
      </w:pPr>
      <w:r>
        <w:rPr>
          <w:rFonts w:ascii="Times New Roman" w:cs="Times New Roman" w:eastAsia="Times New Roman" w:hAnsi="Times New Roman"/>
          <w:sz w:val="18"/>
          <w:szCs w:val="18"/>
          <w:color w:val="auto"/>
        </w:rPr>
        <w:t xml:space="preserve">The Company groups its assets and liabilities measured at fair value in three levels based on the nature of the inputs and assumptions used to determine fair value. Refer to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for additional information on the accounting policies related to fair value.</w:t>
      </w:r>
    </w:p>
    <w:p>
      <w:pPr>
        <w:spacing w:after="0" w:line="135" w:lineRule="exact"/>
        <w:rPr>
          <w:sz w:val="20"/>
          <w:szCs w:val="20"/>
          <w:color w:val="auto"/>
        </w:rPr>
      </w:pPr>
    </w:p>
    <w:p>
      <w:pPr>
        <w:ind w:left="60" w:right="219" w:firstLine="401"/>
        <w:spacing w:after="0" w:line="256"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net, and accounts payable approximate fair value due to the short-term nature of these instruments. As of September 30, 2024 and December 31, 2023, the Company had $36,672 and $64,860, respectively, primarily in money market funds that hold U.S. government cash equivalent instruments (included in cash and cash equivalents) which were valued based on Level 1 inputs. There were no transfers between levels within the hierarchy during the three and nine months ended September 30, 2024 and the year ended December 31, 2023.</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Derivative liabilities measured at fair value on a recurring basis are summarized below.</w:t>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9"/>
        </w:trPr>
        <w:tc>
          <w:tcPr>
            <w:tcW w:w="4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6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r>
      <w:tr>
        <w:trPr>
          <w:trHeight w:val="196"/>
        </w:trPr>
        <w:tc>
          <w:tcPr>
            <w:tcW w:w="4160" w:type="dxa"/>
            <w:vAlign w:val="bottom"/>
          </w:tcPr>
          <w:p>
            <w:pPr>
              <w:spacing w:after="0"/>
              <w:rPr>
                <w:sz w:val="17"/>
                <w:szCs w:val="17"/>
                <w:color w:val="auto"/>
              </w:rPr>
            </w:pPr>
          </w:p>
        </w:tc>
        <w:tc>
          <w:tcPr>
            <w:tcW w:w="9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7"/>
                <w:szCs w:val="17"/>
                <w:color w:val="auto"/>
              </w:rPr>
            </w:pPr>
          </w:p>
        </w:tc>
        <w:tc>
          <w:tcPr>
            <w:tcW w:w="6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liability - Equity Investment Right</w:t>
            </w: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liability - OnkosXcel Warrants</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liability - BTI Warrants</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w:t>
            </w:r>
          </w:p>
        </w:tc>
      </w:tr>
      <w:tr>
        <w:trPr>
          <w:trHeight w:val="210"/>
        </w:trPr>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4,367</w:t>
            </w:r>
          </w:p>
        </w:tc>
      </w:tr>
      <w:tr>
        <w:trPr>
          <w:trHeight w:val="20"/>
        </w:trPr>
        <w:tc>
          <w:tcPr>
            <w:tcW w:w="4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359" w:firstLine="401"/>
        <w:spacing w:after="0" w:line="261" w:lineRule="auto"/>
        <w:rPr>
          <w:sz w:val="20"/>
          <w:szCs w:val="20"/>
          <w:color w:val="auto"/>
        </w:rPr>
      </w:pPr>
      <w:r>
        <w:rPr>
          <w:rFonts w:ascii="Times New Roman" w:cs="Times New Roman" w:eastAsia="Times New Roman" w:hAnsi="Times New Roman"/>
          <w:sz w:val="18"/>
          <w:szCs w:val="18"/>
          <w:color w:val="auto"/>
        </w:rPr>
        <w:t>Derivative liabilities are comprised of the OnkosXcel Warrants, Equity Investment Right held by the Lenders, and BTI Warrants. The fair value of the derivative liabilities was determined using Monte Carlo simulation models for the Equity Investment Right, Binomial Option Pricing and Distribution models for the OnkosXcel Warrants, and using a Black Scholes model for the BTI Warrants.</w:t>
      </w:r>
    </w:p>
    <w:p>
      <w:pPr>
        <w:spacing w:after="0" w:line="139" w:lineRule="exact"/>
        <w:rPr>
          <w:sz w:val="20"/>
          <w:szCs w:val="20"/>
          <w:color w:val="auto"/>
        </w:rPr>
      </w:pPr>
    </w:p>
    <w:p>
      <w:pPr>
        <w:ind w:left="60" w:right="279" w:firstLine="401"/>
        <w:spacing w:after="0" w:line="266" w:lineRule="auto"/>
        <w:rPr>
          <w:sz w:val="20"/>
          <w:szCs w:val="20"/>
          <w:color w:val="auto"/>
        </w:rPr>
      </w:pPr>
      <w:r>
        <w:rPr>
          <w:rFonts w:ascii="Times New Roman" w:cs="Times New Roman" w:eastAsia="Times New Roman" w:hAnsi="Times New Roman"/>
          <w:sz w:val="18"/>
          <w:szCs w:val="18"/>
          <w:color w:val="auto"/>
        </w:rPr>
        <w:t>The following table presents changes in Level 3 liabilities measured at fair value for the nine months ended September 30, 2024. Both observable and unobservable inputs were used to determine the fair value of positions that the Company has classified within the Level 3 category.</w:t>
      </w:r>
    </w:p>
    <w:p>
      <w:pPr>
        <w:spacing w:after="0" w:line="142"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ind w:left="710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62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 Balance - January 1</w:t>
            </w:r>
          </w:p>
        </w:tc>
        <w:tc>
          <w:tcPr>
            <w:tcW w:w="74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1,905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w:t>
            </w:r>
          </w:p>
        </w:tc>
        <w:tc>
          <w:tcPr>
            <w:tcW w:w="7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(473)</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10"/>
        </w:trPr>
        <w:tc>
          <w:tcPr>
            <w:tcW w:w="6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 Balance - September 30</w:t>
            </w:r>
          </w:p>
        </w:tc>
        <w:tc>
          <w:tcPr>
            <w:tcW w:w="740" w:type="dxa"/>
            <w:vAlign w:val="bottom"/>
            <w:tcBorders>
              <w:top w:val="single" w:sz="8" w:color="auto"/>
              <w:bottom w:val="single" w:sz="8" w:color="auto"/>
            </w:tcBorders>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1,432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r>
      <w:tr>
        <w:trPr>
          <w:trHeight w:val="20"/>
        </w:trPr>
        <w:tc>
          <w:tcPr>
            <w:tcW w:w="6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599" w:firstLine="401"/>
        <w:spacing w:after="0" w:line="282" w:lineRule="auto"/>
        <w:rPr>
          <w:sz w:val="20"/>
          <w:szCs w:val="20"/>
          <w:color w:val="auto"/>
        </w:rPr>
      </w:pPr>
      <w:r>
        <w:rPr>
          <w:rFonts w:ascii="Times New Roman" w:cs="Times New Roman" w:eastAsia="Times New Roman" w:hAnsi="Times New Roman"/>
          <w:sz w:val="18"/>
          <w:szCs w:val="18"/>
          <w:color w:val="auto"/>
        </w:rPr>
        <w:t>The change in fair value of the derivative liabilities was reported in the Condensed Consolidated Statements of Operations as Other (income) expense, net, for the three and nine months ended September 30, 2024.</w:t>
      </w:r>
    </w:p>
    <w:p>
      <w:pPr>
        <w:spacing w:after="0" w:line="135" w:lineRule="exact"/>
        <w:rPr>
          <w:sz w:val="20"/>
          <w:szCs w:val="20"/>
          <w:color w:val="auto"/>
        </w:rPr>
      </w:pPr>
    </w:p>
    <w:p>
      <w:pPr>
        <w:ind w:left="60" w:right="619" w:firstLine="401"/>
        <w:spacing w:after="0" w:line="282" w:lineRule="auto"/>
        <w:rPr>
          <w:sz w:val="20"/>
          <w:szCs w:val="20"/>
          <w:color w:val="auto"/>
        </w:rPr>
      </w:pPr>
      <w:r>
        <w:rPr>
          <w:rFonts w:ascii="Times New Roman" w:cs="Times New Roman" w:eastAsia="Times New Roman" w:hAnsi="Times New Roman"/>
          <w:sz w:val="18"/>
          <w:szCs w:val="18"/>
          <w:color w:val="auto"/>
        </w:rPr>
        <w:t>Inputs used to calculate the estimated fair value of the Equity Investment Right at September 30, 2024 were as follows: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19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Equity Investment Right</w:t>
            </w:r>
          </w:p>
        </w:tc>
      </w:tr>
      <w:tr>
        <w:trPr>
          <w:trHeight w:val="196"/>
        </w:trPr>
        <w:tc>
          <w:tcPr>
            <w:tcW w:w="69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Strike price relative to volume weighted 30-day average</w:t>
            </w:r>
          </w:p>
        </w:tc>
        <w:tc>
          <w:tcPr>
            <w:tcW w:w="194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rPr>
              <w:t>110.0 %</w:t>
            </w: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 (annual)</w:t>
            </w:r>
          </w:p>
        </w:tc>
        <w:tc>
          <w:tcPr>
            <w:tcW w:w="194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rPr>
              <w:t>112.3 %</w:t>
            </w: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Probability of exercise</w:t>
            </w:r>
          </w:p>
        </w:tc>
        <w:tc>
          <w:tcPr>
            <w:tcW w:w="194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rPr>
              <w:t>91.0 %</w:t>
            </w: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period</w:t>
            </w:r>
          </w:p>
        </w:tc>
        <w:tc>
          <w:tcPr>
            <w:tcW w:w="194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1.4 years</w:t>
            </w: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premium to 30-day average</w:t>
            </w:r>
          </w:p>
        </w:tc>
        <w:tc>
          <w:tcPr>
            <w:tcW w:w="194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rPr>
              <w:t>25.0 %</w:t>
            </w:r>
          </w:p>
        </w:tc>
      </w:tr>
      <w:tr>
        <w:trPr>
          <w:trHeight w:val="234"/>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94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rPr>
              <w:t>3.9 %</w:t>
            </w:r>
          </w:p>
        </w:tc>
      </w:tr>
    </w:tbl>
    <w:p>
      <w:pPr>
        <w:spacing w:after="0" w:line="179" w:lineRule="exact"/>
        <w:rPr>
          <w:sz w:val="20"/>
          <w:szCs w:val="20"/>
          <w:color w:val="auto"/>
        </w:rPr>
      </w:pPr>
    </w:p>
    <w:p>
      <w:pPr>
        <w:ind w:left="60" w:right="179" w:firstLine="401"/>
        <w:spacing w:after="0" w:line="261" w:lineRule="auto"/>
        <w:rPr>
          <w:sz w:val="20"/>
          <w:szCs w:val="20"/>
          <w:color w:val="auto"/>
        </w:rPr>
      </w:pPr>
      <w:r>
        <w:rPr>
          <w:rFonts w:ascii="Times New Roman" w:cs="Times New Roman" w:eastAsia="Times New Roman" w:hAnsi="Times New Roman"/>
          <w:sz w:val="18"/>
          <w:szCs w:val="18"/>
          <w:color w:val="auto"/>
        </w:rPr>
        <w:t>In estimating the fair value of the derivative liability related to the OnkosXcel Warrants, inputs included third-party fair value estimates of OnkosXcel limited liability company units along with the volatility of those units (which was set at 110% based on the historical volatility of the Company’s stock), and the timing and probability of the relevant capital transactions occurring.</w:t>
      </w:r>
    </w:p>
    <w:p>
      <w:pPr>
        <w:spacing w:after="0" w:line="139" w:lineRule="exact"/>
        <w:rPr>
          <w:sz w:val="20"/>
          <w:szCs w:val="20"/>
          <w:color w:val="auto"/>
        </w:rPr>
      </w:pPr>
    </w:p>
    <w:p>
      <w:pPr>
        <w:jc w:val="both"/>
        <w:ind w:left="60" w:right="419" w:firstLine="401"/>
        <w:spacing w:after="0" w:line="266" w:lineRule="auto"/>
        <w:rPr>
          <w:sz w:val="20"/>
          <w:szCs w:val="20"/>
          <w:color w:val="auto"/>
        </w:rPr>
      </w:pPr>
      <w:r>
        <w:rPr>
          <w:rFonts w:ascii="Times New Roman" w:cs="Times New Roman" w:eastAsia="Times New Roman" w:hAnsi="Times New Roman"/>
          <w:sz w:val="18"/>
          <w:szCs w:val="18"/>
          <w:color w:val="auto"/>
        </w:rPr>
        <w:t>The estimated fair value of the Credit Agreement as of September 30, 2024 and December 31, 2023 was $93,533 and $88,210, respectively. Both observable and unobservable inputs were used to determine the fair value of long-term debt, which was classified within the Level 3 category.</w:t>
      </w:r>
    </w:p>
    <w:p>
      <w:pPr>
        <w:spacing w:after="0" w:line="149" w:lineRule="exact"/>
        <w:rPr>
          <w:sz w:val="20"/>
          <w:szCs w:val="20"/>
          <w:color w:val="auto"/>
        </w:rPr>
      </w:pPr>
    </w:p>
    <w:p>
      <w:pPr>
        <w:jc w:val="both"/>
        <w:ind w:left="60" w:right="339" w:firstLine="401"/>
        <w:spacing w:after="0" w:line="289" w:lineRule="auto"/>
        <w:rPr>
          <w:sz w:val="20"/>
          <w:szCs w:val="20"/>
          <w:color w:val="auto"/>
        </w:rPr>
      </w:pPr>
      <w:r>
        <w:rPr>
          <w:rFonts w:ascii="Times New Roman" w:cs="Times New Roman" w:eastAsia="Times New Roman" w:hAnsi="Times New Roman"/>
          <w:sz w:val="17"/>
          <w:szCs w:val="17"/>
          <w:color w:val="auto"/>
        </w:rPr>
        <w:t>The fair value of the 2024 Warrants, which is a non-recurring fair value, was determined as of the date of issuance using a Black-Scholes pricing model and the fair value of $224 was recorded as a component of stockholders’ equity in Additional-paid-in-capital in the Condensed Consolidated Balance Sheets, with the offset recorded as a discount on the</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79"/>
        <w:spacing w:after="0" w:line="266" w:lineRule="auto"/>
        <w:rPr>
          <w:sz w:val="20"/>
          <w:szCs w:val="20"/>
          <w:color w:val="auto"/>
        </w:rPr>
      </w:pPr>
      <w:r>
        <w:rPr>
          <w:rFonts w:ascii="Times New Roman" w:cs="Times New Roman" w:eastAsia="Times New Roman" w:hAnsi="Times New Roman"/>
          <w:sz w:val="18"/>
          <w:szCs w:val="18"/>
          <w:color w:val="auto"/>
        </w:rPr>
        <w:t>amounts funded under the Credit Agreement. This non-recurring measurement is classified as Level 2. The inputs used were a strike price of $3.0723, the Company’s stock price of $2.78, volatility of 112.2%, term of 5.1 years and risk-free rate of 4.25%.</w:t>
      </w:r>
    </w:p>
    <w:p>
      <w:pPr>
        <w:spacing w:after="0" w:line="176" w:lineRule="exact"/>
        <w:rPr>
          <w:sz w:val="20"/>
          <w:szCs w:val="20"/>
          <w:color w:val="auto"/>
        </w:rPr>
      </w:pPr>
    </w:p>
    <w:p>
      <w:pPr>
        <w:ind w:left="60" w:right="279" w:firstLine="401"/>
        <w:spacing w:after="0" w:line="256" w:lineRule="auto"/>
        <w:rPr>
          <w:sz w:val="20"/>
          <w:szCs w:val="20"/>
          <w:color w:val="auto"/>
        </w:rPr>
      </w:pPr>
      <w:r>
        <w:rPr>
          <w:rFonts w:ascii="Times New Roman" w:cs="Times New Roman" w:eastAsia="Times New Roman" w:hAnsi="Times New Roman"/>
          <w:sz w:val="18"/>
          <w:szCs w:val="18"/>
          <w:color w:val="auto"/>
        </w:rPr>
        <w:t>The fair value of the 2023 Warrants, which is a non-recurring fair value, was determined as of the date of issuance using a Black-Scholes pricing model and the fair value of $200 was recorded as a component of stockholders’ equity in Additional-paid-in-capital in the Condensed Consolidated Balance Sheets, with the offset recorded as a discount on the amounts funded under the Credit Agreement. This non-recurring measurement is classified as Level 2. The inputs used were a strike price of $3.6452, the Company’s stock price of $3.71, volatility of 99%, term of 5.4 years and risk-free rate of 4.14%.</w:t>
      </w:r>
    </w:p>
    <w:p>
      <w:pPr>
        <w:spacing w:after="0" w:line="187" w:lineRule="exact"/>
        <w:rPr>
          <w:sz w:val="20"/>
          <w:szCs w:val="20"/>
          <w:color w:val="auto"/>
        </w:rPr>
      </w:pPr>
    </w:p>
    <w:p>
      <w:pPr>
        <w:ind w:left="60" w:right="159" w:firstLine="401"/>
        <w:spacing w:after="0" w:line="254" w:lineRule="auto"/>
        <w:rPr>
          <w:sz w:val="20"/>
          <w:szCs w:val="20"/>
          <w:color w:val="auto"/>
        </w:rPr>
      </w:pPr>
      <w:r>
        <w:rPr>
          <w:rFonts w:ascii="Times New Roman" w:cs="Times New Roman" w:eastAsia="Times New Roman" w:hAnsi="Times New Roman"/>
          <w:sz w:val="18"/>
          <w:szCs w:val="18"/>
          <w:color w:val="auto"/>
        </w:rPr>
        <w:t xml:space="preserve">The fair value of the Original Warrants, which was a non-recurring fair value, was determined as of the date of issuance using a Black-Scholes pricing model and the fair value of $3,245 was recorded as a component of stockholders’ equity in Additional-paid-in-capital in the Condensed Consolidated Balance Sheets, with the offset recorded as a discount on the amounts funded under the OFA Facilities. This non-recurring measurement is classified as Level 2. The inputs used were a strike price of $20.04, the Company’s stock price of $14.93, volatility of 95%, term of 7 years and risk-free rate of 2.95%. As discussed in Note 9, </w:t>
      </w:r>
      <w:r>
        <w:rPr>
          <w:rFonts w:ascii="Times New Roman" w:cs="Times New Roman" w:eastAsia="Times New Roman" w:hAnsi="Times New Roman"/>
          <w:sz w:val="18"/>
          <w:szCs w:val="18"/>
          <w:i w:val="1"/>
          <w:iCs w:val="1"/>
          <w:color w:val="auto"/>
        </w:rPr>
        <w:t>Debt and Credit Facilities</w:t>
      </w:r>
      <w:r>
        <w:rPr>
          <w:rFonts w:ascii="Times New Roman" w:cs="Times New Roman" w:eastAsia="Times New Roman" w:hAnsi="Times New Roman"/>
          <w:sz w:val="18"/>
          <w:szCs w:val="18"/>
          <w:color w:val="auto"/>
        </w:rPr>
        <w:t>, in connection with the closing of the Second Amendment of the Credit Agreement, on the Second Amendment Effective Date, the Company amended and restated the Original Warrants granted to the Lenders to have an exercise price of $3.6452 per share.</w:t>
      </w:r>
    </w:p>
    <w:p>
      <w:pPr>
        <w:spacing w:after="0" w:line="192" w:lineRule="exact"/>
        <w:rPr>
          <w:sz w:val="20"/>
          <w:szCs w:val="20"/>
          <w:color w:val="auto"/>
        </w:rPr>
      </w:pPr>
    </w:p>
    <w:p>
      <w:pPr>
        <w:ind w:left="60" w:right="139" w:firstLine="401"/>
        <w:spacing w:after="0" w:line="254" w:lineRule="auto"/>
        <w:rPr>
          <w:sz w:val="20"/>
          <w:szCs w:val="20"/>
          <w:color w:val="auto"/>
        </w:rPr>
      </w:pPr>
      <w:r>
        <w:rPr>
          <w:rFonts w:ascii="Times New Roman" w:cs="Times New Roman" w:eastAsia="Times New Roman" w:hAnsi="Times New Roman"/>
          <w:sz w:val="18"/>
          <w:szCs w:val="18"/>
          <w:color w:val="auto"/>
        </w:rPr>
        <w:t>The fair value of the Accompanying Warrants at issuance on March 25, 2024 was determined using a Black-Scholes pricing model and the fair value of $19,347 was recorded as a derivative liability with the offset recorded as a component of stockholders’ equity in Additional-paid-in-capital in the Condensed Consolidated Balance Sheets. This fair value measurement is classified as Level 2. The valuation inputs used were a strike price of $3.20, the Company’s stock price of $2.81, volatility of 112.2%, a term of 5 years and a risk-free rate of 4.2%. We remeasured the fair value at September 30, 2024 of $2,935 and recorded an unrealized gain of $4,691 and $16,412 for the three and nine months ended September 30, 2024, respectively within Other (income) expense, net in the Company’s Condensed Consolidated Statements of Operations. The valuation inputs used as of September 30, 2024 were a strike price of $3.20, the Company’s stock price of $0.61, volatility of 112.3%, term of 4.5 years and risk-free rate of 3.6%.</w:t>
      </w:r>
    </w:p>
    <w:p>
      <w:pPr>
        <w:spacing w:after="0" w:line="4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15. Net Loss Per Share</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Basic and diluted net loss per share are as follows: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17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9"/>
        </w:trPr>
        <w:tc>
          <w:tcPr>
            <w:tcW w:w="4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7"/>
                <w:szCs w:val="17"/>
                <w:color w:val="auto"/>
              </w:rPr>
            </w:pPr>
          </w:p>
        </w:tc>
        <w:tc>
          <w:tcPr>
            <w:tcW w:w="17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(numerator)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(13,650)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(50,486)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(48,740)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(denominator)</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42,390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29,268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(0.32)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359" w:firstLine="324"/>
        <w:spacing w:after="0" w:line="261" w:lineRule="auto"/>
        <w:rPr>
          <w:sz w:val="20"/>
          <w:szCs w:val="20"/>
          <w:color w:val="auto"/>
        </w:rPr>
      </w:pPr>
      <w:r>
        <w:rPr>
          <w:rFonts w:ascii="Times New Roman" w:cs="Times New Roman" w:eastAsia="Times New Roman" w:hAnsi="Times New Roman"/>
          <w:sz w:val="18"/>
          <w:szCs w:val="18"/>
          <w:color w:val="auto"/>
        </w:rPr>
        <w:t>The 5,565 Pre-Funded warrants to purchase common shares issued in connection with the registered direct offering completed in March 2024 are included in the calculation of basic and diluted net loss per share as the exercise price of $0.001 per share is non-substantive and virtually assured. As of September 30, 2024, no Pre-Funded Warrants remain unexercised.</w:t>
      </w:r>
    </w:p>
    <w:p>
      <w:pPr>
        <w:spacing w:after="0" w:line="180"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Potentially dilutive securities outstanding consists of stock options, RSUs, performance units and BTI Warrants. The Company had common stock equivalents outstanding as of September 30, 2024 and 2023 of 16,222 and 5,688 shares,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202"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From time to time, in the ordinary course of business, the Company may be subject to litigation and regulatory examinations as well as information gathering requests, inquiries and/or investigations. Other than the below, the Company is not currently subject to any matters where it believes there is a reasonable possibility that a material loss may be incurred.</w:t>
      </w:r>
    </w:p>
    <w:p>
      <w:pPr>
        <w:spacing w:after="0" w:line="13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July 7, 2023, plaintiff Katelyn Martin filed a class action complaint against the Company and certain executives in the United States District Court for the District of Connecticut, captioned </w:t>
      </w:r>
      <w:r>
        <w:rPr>
          <w:rFonts w:ascii="Times New Roman" w:cs="Times New Roman" w:eastAsia="Times New Roman" w:hAnsi="Times New Roman"/>
          <w:sz w:val="18"/>
          <w:szCs w:val="18"/>
          <w:i w:val="1"/>
          <w:iCs w:val="1"/>
          <w:color w:val="auto"/>
        </w:rPr>
        <w:t>Martin v. BioXcel Therapeutics, et al.</w:t>
      </w:r>
      <w:r>
        <w:rPr>
          <w:rFonts w:ascii="Times New Roman" w:cs="Times New Roman" w:eastAsia="Times New Roman" w:hAnsi="Times New Roman"/>
          <w:sz w:val="18"/>
          <w:szCs w:val="18"/>
          <w:color w:val="auto"/>
        </w:rPr>
        <w:t>, 3:23-cv-00915 (D. Conn). On October 4, 2023, pursuant to the Private Securities Litigation Reform Act, the court appointed two co-Lead Plaintiffs. The co-Lead Plaintiffs filed an amended complaint on December 5, 2023, alleging violations of Sections 10(b) and 20A of the Securities and Exchange Act of 1934 (the “Exchange Act”) and SEC Rule 10b-5 promulgated thereunder. On July 11, 2024, the Court dismissed the amended complaint without prejudice and, on August 1, 2024, co-Lead Plaintiffs filed a second amended complaint. The second amended complaint alleges that defendants made false or misleading statements regarding the TRANQUILITY II trial and the development of BXCL501 for an expanded indication related to the treatment of certain Alzheimer’s-related agitation. The Company moved to dismiss the second amended complaint on September 6, 2024. The Court has not yet ruled on the motion.</w:t>
      </w:r>
    </w:p>
    <w:p>
      <w:pPr>
        <w:spacing w:after="0" w:line="154"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November 28, 2023, Plaintiffs Pratheesan Panancherry and Jeffrey Bastress filed a stockholder derivative complaint in the United States District Court for the District of Connecticut purportedly on behalf of the Company and against Vimal Mehta, Richard I. Steinhart, Peter Mueller, June Bray, Sandeep Laumas, Michael Miller, Michal Votruba, and Krishnan Nandabalan as Defendants, and the Company as Nominal Defendant under the caption </w:t>
      </w:r>
      <w:r>
        <w:rPr>
          <w:rFonts w:ascii="Times New Roman" w:cs="Times New Roman" w:eastAsia="Times New Roman" w:hAnsi="Times New Roman"/>
          <w:sz w:val="18"/>
          <w:szCs w:val="18"/>
          <w:i w:val="1"/>
          <w:iCs w:val="1"/>
          <w:color w:val="auto"/>
        </w:rPr>
        <w:t>Panancherry et al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Mehta et al</w:t>
      </w:r>
      <w:r>
        <w:rPr>
          <w:rFonts w:ascii="Times New Roman" w:cs="Times New Roman" w:eastAsia="Times New Roman" w:hAnsi="Times New Roman"/>
          <w:sz w:val="18"/>
          <w:szCs w:val="18"/>
          <w:color w:val="auto"/>
        </w:rPr>
        <w:t xml:space="preserve">, 3:23-cv-1554. Following the initial action, Plaintiffs Maria Vomvolakis (3:24-cv-3) and Kelly Fowler (3:24-cv-203) each filed separate stockholder derivative complaints in the District of Connecticut raising similar claims as Panancherry and Bastress, including business torts and violations of the Securities Exchange Act of 1934. The cases have been consolidated under the caption </w:t>
      </w:r>
      <w:r>
        <w:rPr>
          <w:rFonts w:ascii="Times New Roman" w:cs="Times New Roman" w:eastAsia="Times New Roman" w:hAnsi="Times New Roman"/>
          <w:sz w:val="18"/>
          <w:szCs w:val="18"/>
          <w:i w:val="1"/>
          <w:iCs w:val="1"/>
          <w:color w:val="auto"/>
        </w:rPr>
        <w:t>In re BioXcel Therapeutics, Inc. Stockholder Derivative Litigation</w:t>
      </w:r>
      <w:r>
        <w:rPr>
          <w:rFonts w:ascii="Times New Roman" w:cs="Times New Roman" w:eastAsia="Times New Roman" w:hAnsi="Times New Roman"/>
          <w:sz w:val="18"/>
          <w:szCs w:val="18"/>
          <w:color w:val="auto"/>
        </w:rPr>
        <w:t>, 3:23-cv-1554 (D. Conn.). The consolidated action is currently stayed.</w:t>
      </w:r>
    </w:p>
    <w:p>
      <w:pPr>
        <w:spacing w:after="0" w:line="161"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January 11, 2024, Plaintiff Jeremy Smith filed a stockholder derivative complaint in the United States District Court for the District of Delaware purportedly on behalf of the Company and against Vimal Mehta, Peter Mueller, June Bray, Sandeep Laumas, Michael Miller, Michal Votruba, Richard I. Steinhart, Robert Risinger, and Krishnan Nandabalan as Defendants, and the Company as Nominal Defendant under the caption </w:t>
      </w:r>
      <w:r>
        <w:rPr>
          <w:rFonts w:ascii="Times New Roman" w:cs="Times New Roman" w:eastAsia="Times New Roman" w:hAnsi="Times New Roman"/>
          <w:sz w:val="18"/>
          <w:szCs w:val="18"/>
          <w:i w:val="1"/>
          <w:iCs w:val="1"/>
          <w:color w:val="auto"/>
        </w:rPr>
        <w:t>Smith v. Mehta et al,</w:t>
      </w:r>
      <w:r>
        <w:rPr>
          <w:rFonts w:ascii="Times New Roman" w:cs="Times New Roman" w:eastAsia="Times New Roman" w:hAnsi="Times New Roman"/>
          <w:sz w:val="18"/>
          <w:szCs w:val="18"/>
          <w:color w:val="auto"/>
        </w:rPr>
        <w:t xml:space="preserve"> 1:24-cv-00041. Following the initial action, Plaintiff Janice Korff filed a stockholder derivative complaint in the District of Delaware raising similar claims as Smith (1:24-cv-130), including business torts and violations of the Securities Exchange Act of 1934. The cases have been consolidated under the caption </w:t>
      </w:r>
      <w:r>
        <w:rPr>
          <w:rFonts w:ascii="Times New Roman" w:cs="Times New Roman" w:eastAsia="Times New Roman" w:hAnsi="Times New Roman"/>
          <w:sz w:val="18"/>
          <w:szCs w:val="18"/>
          <w:i w:val="1"/>
          <w:iCs w:val="1"/>
          <w:color w:val="auto"/>
        </w:rPr>
        <w:t>In re BioXcel Therapeutics, Inc. Derivative Litigation</w:t>
      </w:r>
      <w:r>
        <w:rPr>
          <w:rFonts w:ascii="Times New Roman" w:cs="Times New Roman" w:eastAsia="Times New Roman" w:hAnsi="Times New Roman"/>
          <w:sz w:val="18"/>
          <w:szCs w:val="18"/>
          <w:color w:val="auto"/>
        </w:rPr>
        <w:t>, 1:24-cv-00041 (D. Del.). The consolidated action is currently stayed.</w:t>
      </w:r>
    </w:p>
    <w:p>
      <w:pPr>
        <w:spacing w:after="0" w:line="151" w:lineRule="exact"/>
        <w:rPr>
          <w:sz w:val="20"/>
          <w:szCs w:val="20"/>
          <w:color w:val="auto"/>
        </w:rPr>
      </w:pPr>
    </w:p>
    <w:p>
      <w:pPr>
        <w:ind w:left="60" w:right="419" w:firstLine="324"/>
        <w:spacing w:after="0" w:line="312" w:lineRule="auto"/>
        <w:rPr>
          <w:sz w:val="20"/>
          <w:szCs w:val="20"/>
          <w:color w:val="auto"/>
        </w:rPr>
      </w:pPr>
      <w:r>
        <w:rPr>
          <w:rFonts w:ascii="Times New Roman" w:cs="Times New Roman" w:eastAsia="Times New Roman" w:hAnsi="Times New Roman"/>
          <w:sz w:val="17"/>
          <w:szCs w:val="17"/>
          <w:color w:val="auto"/>
        </w:rPr>
        <w:t>At this time, the Company does not believe the claims in the above-captioned matters have merit, and intends to vigorously defend against them; however, the potential costs and liabilities associated with this litigation are uncertain.</w:t>
      </w:r>
    </w:p>
    <w:p>
      <w:pPr>
        <w:spacing w:after="0" w:line="99"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In April 2022, the Company signed a commercial supply agreement that requires minimum annual payments for the first three years of the agreement that in aggregate total $10,000 for the three-year period, of which $5,000 was originally due in year ended 2024. On July 11, 2024, the Company entered into an amendment to the commercial supply agreement (the “Product Supply Agreement Amendment”) that reduces the specified minimum annual payment over the next three years starting in the year ended 2024 and, thereafter, for a specified interval, provides for minimum annual payments to the extent that the Company receives approval of a supplemental new drug application (sNDA) or a new drug application (NDA) from the FDA for enumerated indications. The Company’s renegotiated agreement reduces the minimum commitment for 2024 to $1,000 and thereafter for the term of the agreement in annual amounts ranging from $2,000 to $5,000 subject, in certain instances, to the extent that the Company receives approval of an sNDA or NDA from the FDA for enumerated indications. In accordance with the Product Supply Agreement Amendment, the minimum commitments were reduced to $1,000, $2,000 and $2,000 in the years 2024, 2025, and 2026. In addition, the Company agreed to make a reconciliation payment of $1,200 in the third quarter of 2024 for full settlement for amounts due prior to the July 11, 2024 amendment.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interim condensed consolidated financial statements and related notes appearing elsewhere in this report and the audited financial statements and related notes contained in our Annual Report on Form 10-K for the year ended December 31, 2023. In addition to historical information, this discussion and analysis contains forward-looking statements that involve risks, uncertainties and assumptions. Our actual results may differ materially from those discussed below and in the forward-looking statements. Factors that could cause or contribute to these differences include, without limitation, those discussed in this Management’s Discussion and Analysis of Financial Condition and Results of Operations, those listed under “Summary Risk Factors,” and those discussed in the section titled “Risk Factors” included in Part II, Item 1A. of this report. All dollar amounts in the below Management’s Discussion and Analysis of Financial Condition and Results of Operations are presented in U.S. dollars, and all dollar and share amounts are presented in thousands, unless otherwise noted or the context otherwise provides.</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BioXcel Therapeutics, Inc. (“BTI” or the “Company”) is a biopharmaceutical company utilizing artificial intelligence (“AI”) to develop transformative medicines in neuroscience and, through the Company’s wholly owned subsidiary, OnkosXcel Therapeutics LLC (“OnkosXcel”), immuno-oncology. We are focused on utilizing cutting-edge technology and innovative research to develop high-value therapeutics aimed at transforming patients’ lives. We employ various AI platforms to reduce therapeutic development costs and potentially accelerate development timelines. Our approach leverages existing approved drugs and/or clinically evaluated product candidates together with big data and proprietary machine learning algorithms to identify new therapeutic indications. We believe this differentiated approach has the potential to reduce the expense and time associated with drug development in diseases with substantial unmet medical needs.</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Nasdaq Notice</w:t>
      </w:r>
    </w:p>
    <w:p>
      <w:pPr>
        <w:spacing w:after="0" w:line="189"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On September 16, 2024, the Company received a letter from The Nasdaq Stock Market, LLC (“Nasdaq”) notifying the Company that for the last 30 consecutive business days, the bid price for the Company’s common stock, par value $0.001 per share, had closed below the $1.00 per share minimum bid price requirement for continued listing on The Nasdaq Capital Market under Nasdaq Listing Rule 5550(a)(2) (the “Bid Price Notice”). The Bid Price Notice has no immediate effect on the listing of the Company’s common stock, which continues to trade on The Nasdaq Capital Market under the symbol “BTAI.”</w:t>
      </w:r>
    </w:p>
    <w:p>
      <w:pPr>
        <w:spacing w:after="0" w:line="187" w:lineRule="exact"/>
        <w:rPr>
          <w:sz w:val="20"/>
          <w:szCs w:val="20"/>
          <w:color w:val="auto"/>
        </w:rPr>
      </w:pPr>
    </w:p>
    <w:p>
      <w:pPr>
        <w:ind w:left="60" w:right="199" w:firstLine="324"/>
        <w:spacing w:after="0" w:line="274" w:lineRule="auto"/>
        <w:rPr>
          <w:sz w:val="20"/>
          <w:szCs w:val="20"/>
          <w:color w:val="auto"/>
        </w:rPr>
      </w:pPr>
      <w:r>
        <w:rPr>
          <w:rFonts w:ascii="Times New Roman" w:cs="Times New Roman" w:eastAsia="Times New Roman" w:hAnsi="Times New Roman"/>
          <w:sz w:val="17"/>
          <w:szCs w:val="17"/>
          <w:color w:val="auto"/>
        </w:rPr>
        <w:t>In accordance with Nasdaq Listing Rule 5810(c)(3)(A), the Company has a period of 180 calendar days, or until March 17, 2025 (the “Bid Price Compliance Date”), to regain compliance. To regain compliance with the Nasdaq minimum bid price requirement, the closing bid price of the Company’s common stock must be at least $1.00 per share for a minimum of 10 consecutive business days prior to the Bid Price Compliance Date. The Company intends to monitor the bid price of its common stock and consider available options if its common stock does not trade at a level likely to result in the Company regaining compliance with Nasdaq’s minimum bid price rule by the Bid Price Compliance Date.</w:t>
      </w:r>
    </w:p>
    <w:p>
      <w:pPr>
        <w:spacing w:after="0" w:line="173"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If the Company does not regain compliance with Nasdaq’s minimum bid price requirement by the Bid Price Compliance Date, the Company may be eligible for a second 180 calendar day compliance period. To qualify, the Company would be required to meet the continued listing requirement for market value of publicly held shares and all other initial listing standards for The Nasdaq Capital Market, with the exception of the bid price requirement, and would need to provide written notice of its intention to cure the deficiency during the second compliance period, for example, by effecting a reverse stock split, if necessary. However, if it appears to the Nasdaq staff that the Company will not be able to cure the deficiency, or if the Company is otherwise not eligible, Nasdaq would notify the Company that its securities would be subject to delisting. In the event of such a notification, the Company may appeal the Nasdaq staff’s determination to delist its securities. There can be no assurance that the Company will be eligible for the additional 180 calendar day compliance period, if applicable, or that the Nasdaq staff would grant the Company’s request for continued listing subsequent to any delisting notification.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259" w:firstLine="324"/>
        <w:spacing w:after="0" w:line="277" w:lineRule="auto"/>
        <w:rPr>
          <w:sz w:val="20"/>
          <w:szCs w:val="20"/>
          <w:color w:val="auto"/>
        </w:rPr>
      </w:pPr>
      <w:r>
        <w:rPr>
          <w:rFonts w:ascii="Times New Roman" w:cs="Times New Roman" w:eastAsia="Times New Roman" w:hAnsi="Times New Roman"/>
          <w:sz w:val="17"/>
          <w:szCs w:val="17"/>
          <w:color w:val="auto"/>
        </w:rPr>
        <w:t>In addition, on September 20, 2024, the Company received a letter from Nasdaq notifying the Company that for the last 30 consecutive business days prior to the date of the letter, the Company’s minimum market value of listed securities was below the minimum of $35 million required for continued listing on the Nasdaq Capital Market pursuant to Nasdaq Listing Rule 5550(b)(2) (the “Market Value Notice”). The Market Value Notice has no immediate effect on the listing of the Company’s common stock, which continues to trade on The Nasdaq Capital Market under the symbol “BTAI.”</w:t>
      </w:r>
    </w:p>
    <w:p>
      <w:pPr>
        <w:spacing w:after="0" w:line="168" w:lineRule="exact"/>
        <w:rPr>
          <w:sz w:val="20"/>
          <w:szCs w:val="20"/>
          <w:color w:val="auto"/>
        </w:rPr>
      </w:pPr>
    </w:p>
    <w:p>
      <w:pPr>
        <w:ind w:left="60" w:right="339" w:firstLine="324"/>
        <w:spacing w:after="0" w:line="255" w:lineRule="auto"/>
        <w:rPr>
          <w:sz w:val="20"/>
          <w:szCs w:val="20"/>
          <w:color w:val="auto"/>
        </w:rPr>
      </w:pPr>
      <w:r>
        <w:rPr>
          <w:rFonts w:ascii="Times New Roman" w:cs="Times New Roman" w:eastAsia="Times New Roman" w:hAnsi="Times New Roman"/>
          <w:sz w:val="18"/>
          <w:szCs w:val="18"/>
          <w:color w:val="auto"/>
        </w:rPr>
        <w:t>In accordance with Nasdaq Listing Rule 5810(c)(3)(C), the Company has a period of 180 calendar days, or until March 19, 2025 (the “Market Value Compliance Date”), to regain compliance. To regain compliance with the minimum market value of listed securities requirement, the market value of the Company’s common stock must meet or exceed $35.0 million for a minimum of 10 consecutive business days during the 180-day grace period ending on the Market Value Compliance Date. If the Company does not regain compliance with Nasdaq’s minimum market value of listed securities requirement by the Market Value Compliance Date, the Company will receive written notification that its securities are subject to delisting, at which point the Company may appeal the delisting determination.</w:t>
      </w:r>
    </w:p>
    <w:p>
      <w:pPr>
        <w:spacing w:after="0" w:line="189" w:lineRule="exact"/>
        <w:rPr>
          <w:sz w:val="20"/>
          <w:szCs w:val="20"/>
          <w:color w:val="auto"/>
        </w:rPr>
      </w:pPr>
    </w:p>
    <w:p>
      <w:pPr>
        <w:jc w:val="both"/>
        <w:ind w:left="60" w:right="339" w:firstLine="324"/>
        <w:spacing w:after="0" w:line="266" w:lineRule="auto"/>
        <w:rPr>
          <w:sz w:val="20"/>
          <w:szCs w:val="20"/>
          <w:color w:val="auto"/>
        </w:rPr>
      </w:pPr>
      <w:r>
        <w:rPr>
          <w:rFonts w:ascii="Times New Roman" w:cs="Times New Roman" w:eastAsia="Times New Roman" w:hAnsi="Times New Roman"/>
          <w:sz w:val="18"/>
          <w:szCs w:val="18"/>
          <w:color w:val="auto"/>
        </w:rPr>
        <w:t>The Company is currently evaluating various alternative courses of action, however, there can be no assurance that the Company will be successful in regaining compliance with the Nasdaq continued listing requirements or maintaining its listing of its common stock on the Nasdaq Capital Market.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02"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Our most advanced neuroscience candidate is BXCL501. In indications other than those approved by the United States (“U.S.”) Food and Drug Administration (“FDA”) as IGALMI™, BXCL501 is an investigational, proprietary, orally dissolving film formulation of dexmedetomidine (or “Dex”) in development for the treatment of agitation associated with psychiatric and neurological disorders. Our most advanced immuno-oncology asset, BXCL701, is an investigational oral innate immune activator being developed by OnkosXcel Therapeutics as a potential therapy for the treatment of aggressive forms of prostate cancer, pancreatic cancer, and other solid and liquid tumors.</w:t>
      </w:r>
    </w:p>
    <w:p>
      <w:pPr>
        <w:spacing w:after="0" w:line="179" w:lineRule="exact"/>
        <w:rPr>
          <w:sz w:val="20"/>
          <w:szCs w:val="20"/>
          <w:color w:val="auto"/>
        </w:rPr>
      </w:pPr>
    </w:p>
    <w:p>
      <w:pPr>
        <w:ind w:left="60" w:right="199" w:firstLine="324"/>
        <w:spacing w:after="0" w:line="193" w:lineRule="auto"/>
        <w:rPr>
          <w:sz w:val="20"/>
          <w:szCs w:val="20"/>
          <w:color w:val="auto"/>
        </w:rPr>
      </w:pPr>
      <w:r>
        <w:rPr>
          <w:rFonts w:ascii="Times New Roman" w:cs="Times New Roman" w:eastAsia="Times New Roman" w:hAnsi="Times New Roman"/>
          <w:sz w:val="18"/>
          <w:szCs w:val="18"/>
          <w:color w:val="auto"/>
        </w:rPr>
        <w:t>On April 6, 2022, we announced that the FDA approved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sublingual film for the acute treatment of agitation associated with schizophrenia or bipolar I or II disorder in adults.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is approved to be self-administrated by patients under the supervision of a health care provider. On July 6, 2022, we announced that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was commercially available in doses of 120 and 180 microgram (“mcg”).</w:t>
      </w:r>
    </w:p>
    <w:p>
      <w:pPr>
        <w:spacing w:after="0" w:line="200"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We are continuing to develop BXCL501 for the potential acute treatment of agitation associated with bipolar disorders or schizophrenia in the at-home setting, and for the potential acute treatment of agitation (non-daily) associated with dementia due to probable Alzheimer’s disease in care and at-home settings. As described further below, we have recently deprioritized the development of BXCL501 for certain indications, including development of BXCL501 as a potential adjunctive treatment for major depressive disorder (“MDD”), as well as our BXCL701 program except as noted under “Immuno-Oncology” below.</w:t>
      </w:r>
    </w:p>
    <w:p>
      <w:pPr>
        <w:spacing w:after="0" w:line="187" w:lineRule="exact"/>
        <w:rPr>
          <w:sz w:val="20"/>
          <w:szCs w:val="20"/>
          <w:color w:val="auto"/>
        </w:rPr>
      </w:pPr>
    </w:p>
    <w:p>
      <w:pPr>
        <w:ind w:left="60" w:right="599" w:firstLine="324"/>
        <w:spacing w:after="0" w:line="282" w:lineRule="auto"/>
        <w:rPr>
          <w:sz w:val="20"/>
          <w:szCs w:val="20"/>
          <w:color w:val="auto"/>
        </w:rPr>
      </w:pPr>
      <w:r>
        <w:rPr>
          <w:rFonts w:ascii="Times New Roman" w:cs="Times New Roman" w:eastAsia="Times New Roman" w:hAnsi="Times New Roman"/>
          <w:sz w:val="18"/>
          <w:szCs w:val="18"/>
          <w:color w:val="auto"/>
        </w:rPr>
        <w:t xml:space="preserve">On September 5, 2024, we announced the initiation of patient enrollment in our SERENITY At-Home trial. See further discussion in </w:t>
      </w:r>
      <w:r>
        <w:rPr>
          <w:rFonts w:ascii="Times New Roman" w:cs="Times New Roman" w:eastAsia="Times New Roman" w:hAnsi="Times New Roman"/>
          <w:sz w:val="18"/>
          <w:szCs w:val="18"/>
          <w:i w:val="1"/>
          <w:iCs w:val="1"/>
          <w:color w:val="auto"/>
        </w:rPr>
        <w:t>“Our Neuroscience Clinical Programs”</w:t>
      </w:r>
      <w:r>
        <w:rPr>
          <w:rFonts w:ascii="Times New Roman" w:cs="Times New Roman" w:eastAsia="Times New Roman" w:hAnsi="Times New Roman"/>
          <w:sz w:val="18"/>
          <w:szCs w:val="18"/>
          <w:color w:val="auto"/>
        </w:rPr>
        <w:t xml:space="preserve"> below.</w:t>
      </w:r>
    </w:p>
    <w:p>
      <w:pPr>
        <w:spacing w:after="0" w:line="162"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 xml:space="preserve">On September 5, 2024, we submitted to the FDA the proposed protocol for our TRANQUILITY In-Care Phase 3 trial designed to evaluate the efficacy and safety of a 60 mcg dose of BXCL501 for agitation associated with Alzheimer’s dementia. See further discussion in </w:t>
      </w:r>
      <w:r>
        <w:rPr>
          <w:rFonts w:ascii="Times New Roman" w:cs="Times New Roman" w:eastAsia="Times New Roman" w:hAnsi="Times New Roman"/>
          <w:sz w:val="18"/>
          <w:szCs w:val="18"/>
          <w:i w:val="1"/>
          <w:iCs w:val="1"/>
          <w:color w:val="auto"/>
        </w:rPr>
        <w:t>“Our Neuroscience Clinical Programs”</w:t>
      </w:r>
      <w:r>
        <w:rPr>
          <w:rFonts w:ascii="Times New Roman" w:cs="Times New Roman" w:eastAsia="Times New Roman" w:hAnsi="Times New Roman"/>
          <w:sz w:val="18"/>
          <w:szCs w:val="18"/>
          <w:color w:val="auto"/>
        </w:rPr>
        <w:t xml:space="preserve"> below.</w:t>
      </w:r>
    </w:p>
    <w:p>
      <w:pPr>
        <w:spacing w:after="0" w:line="176" w:lineRule="exact"/>
        <w:rPr>
          <w:sz w:val="20"/>
          <w:szCs w:val="20"/>
          <w:color w:val="auto"/>
        </w:rPr>
      </w:pPr>
    </w:p>
    <w:p>
      <w:pPr>
        <w:jc w:val="both"/>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 xml:space="preserve">On October 15, 2024, we announced a U.S. Department of Defense grant to the University of North Carolina to fund a study of BXCL501 (Sublingual Dexmedetomidine) for treating Acute Stress Disorder (ASD). See further discussion in </w:t>
      </w:r>
      <w:r>
        <w:rPr>
          <w:rFonts w:ascii="Times New Roman" w:cs="Times New Roman" w:eastAsia="Times New Roman" w:hAnsi="Times New Roman"/>
          <w:sz w:val="18"/>
          <w:szCs w:val="18"/>
          <w:i w:val="1"/>
          <w:iCs w:val="1"/>
          <w:color w:val="auto"/>
        </w:rPr>
        <w:t xml:space="preserve">“Additional Neuroscience Opportunities” </w:t>
      </w:r>
      <w:r>
        <w:rPr>
          <w:rFonts w:ascii="Times New Roman" w:cs="Times New Roman" w:eastAsia="Times New Roman" w:hAnsi="Times New Roman"/>
          <w:sz w:val="18"/>
          <w:szCs w:val="18"/>
          <w:color w:val="auto"/>
        </w:rPr>
        <w:t>below.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Strategic Reprioritization</w:t>
      </w:r>
    </w:p>
    <w:p>
      <w:pPr>
        <w:spacing w:after="0" w:line="22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On August 8, 2023, our Board of Directors approved a broad-based strategic reprioritization (the “Reprioritization”). We determined to take actions to reduce certain operational and workforce expenses no longer deemed core to ongoing operations to extend our cash runway and drive innovation and growth in high-potential clinical development and value-creating opportunities. These actions included a shift in commercial strategy for IGALMI™ in the institutional setting, a reduction of in-hospital commercialization expenses, a de-prioritization of programs no longer determined to be core to ongoing operations, and a prioritization on opportunities for BXCL501 in treating agitation associated with Alzheimer’s dementia (AAD) and in the acute treatment of agitation associated with bipolar disorders and schizophrenia in the at-home setting. As part of this strategy, our Board of Directors approved a reduction of approximately 60% of our workforce. Annualized operating expenses are expected to be reduced by approximately $80,000. As of December 31, 2023, the Reprioritization was substantially completed.</w:t>
      </w:r>
    </w:p>
    <w:p>
      <w:pPr>
        <w:spacing w:after="0" w:line="194"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As a result of the Reprioritization, the Company recorded restructuring costs of $4,163 in the year ended December 31, 2023. These costs consisted of severance and benefit costs of $4,063 and contract termination costs of $100. The Company paid $3,998 of severance and benefit costs and $100 of contract termination costs during the year ended December 31, 2023. All remaining costs of $24 were paid during the first quarter of 2024.</w:t>
      </w:r>
    </w:p>
    <w:p>
      <w:pPr>
        <w:spacing w:after="0" w:line="178" w:lineRule="exact"/>
        <w:rPr>
          <w:sz w:val="20"/>
          <w:szCs w:val="20"/>
          <w:color w:val="auto"/>
        </w:rPr>
      </w:pPr>
    </w:p>
    <w:p>
      <w:pPr>
        <w:ind w:left="60" w:right="299" w:firstLine="324"/>
        <w:spacing w:after="0" w:line="257" w:lineRule="auto"/>
        <w:rPr>
          <w:sz w:val="20"/>
          <w:szCs w:val="20"/>
          <w:color w:val="auto"/>
        </w:rPr>
      </w:pPr>
      <w:r>
        <w:rPr>
          <w:rFonts w:ascii="Times New Roman" w:cs="Times New Roman" w:eastAsia="Times New Roman" w:hAnsi="Times New Roman"/>
          <w:sz w:val="18"/>
          <w:szCs w:val="18"/>
          <w:color w:val="auto"/>
        </w:rPr>
        <w:t xml:space="preserve">As discussed in Note 4,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on May 8, 2024 the Company took additional actions as part of its continued efforts to preserve cash and prioritize investment in its core clinical programs. As part of these actions, the Company initiated a further reduction of approximately 15% of the Company’s then current workforce. The Company notified impacted employees on May 8, 2024 and recorded total restructuring costs of $856 for the three months ended June 30, 2024. These costs consisted of severance and benefit costs, all of which were paid during the three month period ended June 30, 2024.</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Clinical Prioritization</w:t>
      </w:r>
    </w:p>
    <w:p>
      <w:pPr>
        <w:spacing w:after="0" w:line="229" w:lineRule="exact"/>
        <w:rPr>
          <w:sz w:val="20"/>
          <w:szCs w:val="20"/>
          <w:color w:val="auto"/>
        </w:rPr>
      </w:pPr>
    </w:p>
    <w:p>
      <w:pPr>
        <w:ind w:left="60" w:right="259" w:firstLine="324"/>
        <w:spacing w:after="0" w:line="254" w:lineRule="auto"/>
        <w:rPr>
          <w:sz w:val="20"/>
          <w:szCs w:val="20"/>
          <w:color w:val="auto"/>
        </w:rPr>
      </w:pPr>
      <w:r>
        <w:rPr>
          <w:rFonts w:ascii="Times New Roman" w:cs="Times New Roman" w:eastAsia="Times New Roman" w:hAnsi="Times New Roman"/>
          <w:sz w:val="18"/>
          <w:szCs w:val="18"/>
          <w:color w:val="auto"/>
        </w:rPr>
        <w:t>As discussed in Note 4, Restructuring, on September 17, 2024, the Company approved a plan for an additional reduction its workforce by 15 employees (including all but one marketing and sales employee), or approximately 28% of the Company’s headcount (the “Clinical Prioritization”), in order to extend its cash runway and prioritize investment on the clinical development of its lead neuroscience asset, BXCL501. The Company estimates that it will incur aggregate charges in connection with the Clinical Prioritization of approximately $1,553 which relate primarily to severance and benefits costs. Accordingly, the Company recorded a restructuring charge of $1,553 in the third quarter 2024, which is included in Accrued Expenses on the Condensed Consolidated Balance at September 30, 2024. The Company completed the Clinical Prioritization in October 2024, and expects to pay the related costs during the fourth quarter of 2024 and the first quarter of 2025.</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IGALMI</w:t>
      </w:r>
      <w:r>
        <w:rPr>
          <w:rFonts w:ascii="Times New Roman" w:cs="Times New Roman" w:eastAsia="Times New Roman" w:hAnsi="Times New Roman"/>
          <w:sz w:val="26"/>
          <w:szCs w:val="26"/>
          <w:b w:val="1"/>
          <w:bCs w:val="1"/>
          <w:color w:val="auto"/>
          <w:vertAlign w:val="superscript"/>
        </w:rPr>
        <w:t>TM</w:t>
      </w:r>
      <w:r>
        <w:rPr>
          <w:rFonts w:ascii="Times New Roman" w:cs="Times New Roman" w:eastAsia="Times New Roman" w:hAnsi="Times New Roman"/>
          <w:sz w:val="18"/>
          <w:szCs w:val="18"/>
          <w:b w:val="1"/>
          <w:bCs w:val="1"/>
          <w:color w:val="auto"/>
        </w:rPr>
        <w:t xml:space="preserve"> Revised Commercialization Strategy</w:t>
      </w:r>
    </w:p>
    <w:p>
      <w:pPr>
        <w:spacing w:after="0" w:line="137" w:lineRule="exact"/>
        <w:rPr>
          <w:sz w:val="20"/>
          <w:szCs w:val="20"/>
          <w:color w:val="auto"/>
        </w:rPr>
      </w:pPr>
    </w:p>
    <w:p>
      <w:pPr>
        <w:ind w:left="60" w:right="219" w:firstLine="324"/>
        <w:spacing w:after="0" w:line="226" w:lineRule="auto"/>
        <w:rPr>
          <w:sz w:val="20"/>
          <w:szCs w:val="20"/>
          <w:color w:val="auto"/>
        </w:rPr>
      </w:pPr>
      <w:r>
        <w:rPr>
          <w:rFonts w:ascii="Times New Roman" w:cs="Times New Roman" w:eastAsia="Times New Roman" w:hAnsi="Times New Roman"/>
          <w:sz w:val="18"/>
          <w:szCs w:val="18"/>
          <w:color w:val="auto"/>
        </w:rPr>
        <w:t>As part of the Company’s Reprioritization, the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commercial team shifted focus to a hospital/Integrated Delivery Network (“IDN”) contracting strategy with a Corporate Account Director (“CAD”) team. The goal of the realigned CAD team is to work with large IDNs and drive sales utilizing a top-down approach. Over time, the revised commercial effort is expected to allow the Company to continue to make inroads into the institutional market in a more cost-efficient manner. Commercial efforts for the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launch were impacted significantly in the six months ended December 31, 2023, due to the reduction in force, which included the elimination of sales, marketing, and commercial operations staff. The Clinical Prioritization staff reductions may have future impacts on Net revenue.</w:t>
      </w:r>
    </w:p>
    <w:p>
      <w:pPr>
        <w:spacing w:after="0" w:line="198"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Net revenue of $1,900 for the nine months ended September 30, 2024 increased 89% compared to $1,004 for same period in 2023. The increase in new customer acquisitions and increased sales activity reflects rising utilization, while hospitals and IDNs appear to be embracing the permanent J-Code implemented in January 2024, discussed below. The CAD team generated $214 in net revenue for the three month period ended September 30, 2024, down from $1,104 in net revenue for the three-month period ended June 30, 2024 and $582 for the three-month period ended March 31, 2024, through legacy sales and volume-based contracts. The decrease in Net revenue during the third quarter of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compared to the second quarter of 2024 reflects a single new volume contract to a GPO during the second quarter that did not repeat in the third quarter of 2024, as well as timing of existing customer re-orders.</w:t>
      </w:r>
    </w:p>
    <w:p>
      <w:pPr>
        <w:spacing w:after="0" w:line="162" w:lineRule="exact"/>
        <w:rPr>
          <w:sz w:val="20"/>
          <w:szCs w:val="20"/>
          <w:color w:val="auto"/>
        </w:rPr>
      </w:pPr>
    </w:p>
    <w:p>
      <w:pPr>
        <w:ind w:left="60" w:right="219" w:firstLine="324"/>
        <w:spacing w:after="0" w:line="216" w:lineRule="auto"/>
        <w:rPr>
          <w:sz w:val="20"/>
          <w:szCs w:val="20"/>
          <w:color w:val="auto"/>
        </w:rPr>
      </w:pPr>
      <w:r>
        <w:rPr>
          <w:rFonts w:ascii="Times New Roman" w:cs="Times New Roman" w:eastAsia="Times New Roman" w:hAnsi="Times New Roman"/>
          <w:sz w:val="18"/>
          <w:szCs w:val="18"/>
          <w:color w:val="auto"/>
        </w:rPr>
        <w:t>On October 30, 2023, we announced that the Centers for Medicare &amp; Medicaid Services (“CMS”) assigned a new J-Code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(J1105), which became effective on January 1, 2024. J-Codes are permanent codes used by healthcare providers, commercial insurance plans, and government payers to help standardize the reimbursement process. A J-Code can help simplify claims submission as compared to use of a miscellaneous or unlisted code, which in turn can streamline the billing and reimbursement process. The J-Code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has been published online in the CMS HCPCS Application Summaries and Coding Recommendations, Third Quarter, 2023 HCPCS Coding Cycle. We believe this J-Code will facilitate expanded access to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for patients with agitation associated with bipolar disorder or schizophrenia.</w:t>
      </w:r>
    </w:p>
    <w:p>
      <w:pPr>
        <w:spacing w:after="0" w:line="170" w:lineRule="exact"/>
        <w:rPr>
          <w:sz w:val="20"/>
          <w:szCs w:val="20"/>
          <w:color w:val="auto"/>
        </w:rPr>
      </w:pPr>
    </w:p>
    <w:p>
      <w:pPr>
        <w:ind w:left="60" w:right="459" w:firstLine="324"/>
        <w:spacing w:after="0" w:line="217" w:lineRule="auto"/>
        <w:rPr>
          <w:sz w:val="20"/>
          <w:szCs w:val="20"/>
          <w:color w:val="auto"/>
        </w:rPr>
      </w:pPr>
      <w:r>
        <w:rPr>
          <w:rFonts w:ascii="Times New Roman" w:cs="Times New Roman" w:eastAsia="Times New Roman" w:hAnsi="Times New Roman"/>
          <w:sz w:val="18"/>
          <w:szCs w:val="18"/>
          <w:color w:val="auto"/>
        </w:rPr>
        <w:t>If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is approved outside the U.S., we would consider launching the product through collaborations with third parties.</w:t>
      </w:r>
    </w:p>
    <w:p>
      <w:pPr>
        <w:spacing w:after="0" w:line="150" w:lineRule="exact"/>
        <w:rPr>
          <w:sz w:val="20"/>
          <w:szCs w:val="20"/>
          <w:color w:val="auto"/>
        </w:rPr>
      </w:pPr>
    </w:p>
    <w:p>
      <w:pPr>
        <w:ind w:left="60" w:right="459" w:firstLine="324"/>
        <w:spacing w:after="0" w:line="217" w:lineRule="auto"/>
        <w:rPr>
          <w:sz w:val="20"/>
          <w:szCs w:val="20"/>
          <w:color w:val="auto"/>
        </w:rPr>
      </w:pPr>
      <w:r>
        <w:rPr>
          <w:rFonts w:ascii="Times New Roman" w:cs="Times New Roman" w:eastAsia="Times New Roman" w:hAnsi="Times New Roman"/>
          <w:sz w:val="18"/>
          <w:szCs w:val="18"/>
          <w:color w:val="auto"/>
        </w:rPr>
        <w:t>Our continued commercialization efforts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are designed to build the foundation to launch additional potential follow-on indications, if any, paving the way for our neuroscience business.</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Neuroscience Clinical Programs</w:t>
      </w:r>
    </w:p>
    <w:p>
      <w:pPr>
        <w:spacing w:after="0" w:line="229"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The following is a summary of the status of our major neuroscience clinical development programs as of the date of this Quarterly Report on Form 10-Q. We have also slowed the clinical development process of our lead BXCL501 product candidates as further described below, and progression of our lead BXCL501 clinical programs is subject to applicable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125730</wp:posOffset>
            </wp:positionV>
            <wp:extent cx="5503545" cy="28886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03545"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BXCL501 Development</w:t>
      </w:r>
    </w:p>
    <w:p>
      <w:pPr>
        <w:spacing w:after="0" w:line="181" w:lineRule="exact"/>
        <w:rPr>
          <w:sz w:val="20"/>
          <w:szCs w:val="20"/>
          <w:color w:val="auto"/>
        </w:rPr>
      </w:pPr>
    </w:p>
    <w:p>
      <w:pPr>
        <w:ind w:left="60" w:right="179" w:firstLine="324"/>
        <w:spacing w:after="0" w:line="232" w:lineRule="auto"/>
        <w:rPr>
          <w:sz w:val="20"/>
          <w:szCs w:val="20"/>
          <w:color w:val="auto"/>
        </w:rPr>
      </w:pPr>
      <w:r>
        <w:rPr>
          <w:rFonts w:ascii="Times New Roman" w:cs="Times New Roman" w:eastAsia="Times New Roman" w:hAnsi="Times New Roman"/>
          <w:sz w:val="18"/>
          <w:szCs w:val="18"/>
          <w:color w:val="auto"/>
        </w:rPr>
        <w:t>In indications other than those approved by the FDA as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BXCL501 remains an investigational, proprietary, orally dissolving film formulation of Dex, a selective alpha-2 receptor agonist, targeting symptoms from stress-related behaviors such as agitation. BXCL501 is our most advanced neuroscience clinical program, being evaluated for the at-home acute treatment of agitation related to bipolar disorders or schizophrenia and for the acute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treatment of agitation (non-daily) in patients with dementia due to probable Alzheimer’s disease in care facilities and at-home settings.</w:t>
      </w:r>
    </w:p>
    <w:p>
      <w:pPr>
        <w:spacing w:after="0" w:line="135"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As a selective adrenergic agent with a sublingual or buccal route of administration, BXCL501 is designed to be easily administered and, compared to medications that may take days or weeks, has shown a relatively rapid onset of action in multiple clinical trials, including those studying patients with bipolar disorders, schizophrenia, and Alzheimer’s disease. We believe results from these studies suggest that BXCL501 has the potential to reduce agitation without producing excessive sedation. We also believe BXCL501 is highly differentiated from antipsychotics, which are currently used as first-line standard-of-care treatments despite often producing unwanted side effects such as excessive sedation or extra pyramidal motor effects. Managing patient agitation in neuropsychiatric and neurodegenerative disorders represents a significant challenge for physicians and caregivers. We believe BXCL501 has the potential to address these challenges while providing an efficient treatment regimen for patients.</w:t>
      </w:r>
    </w:p>
    <w:p>
      <w:pPr>
        <w:spacing w:after="0" w:line="148" w:lineRule="exact"/>
        <w:rPr>
          <w:sz w:val="20"/>
          <w:szCs w:val="20"/>
          <w:color w:val="auto"/>
        </w:rPr>
      </w:pPr>
    </w:p>
    <w:p>
      <w:pPr>
        <w:jc w:val="both"/>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We also believe that BXCL501, if approved for the respective indications, has the potential to become the standard of care for the acute treatment of agitation arising from diseases such as schizophrenia and bipolar disorder and Alzheimer’s disease.</w:t>
      </w:r>
    </w:p>
    <w:p>
      <w:pPr>
        <w:spacing w:after="0" w:line="135"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In addition, given the differentiated design of BXCL501 and its potential mechanism of action, we believe BXCL501 has the potential to address several diseases or conditions for which agitation is a symptom of the condition or underlying disease, including opioid withdrawal, acute stress disorder (“ASD”) and post-traumatic stress disorder (“PTSD”), which are being evaluated in clinical trials run by third parties.</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BXCL501 Clinical Trials</w:t>
      </w:r>
    </w:p>
    <w:p>
      <w:pPr>
        <w:spacing w:after="0" w:line="185" w:lineRule="exact"/>
        <w:rPr>
          <w:sz w:val="20"/>
          <w:szCs w:val="20"/>
          <w:color w:val="auto"/>
        </w:rPr>
      </w:pPr>
    </w:p>
    <w:p>
      <w:pPr>
        <w:ind w:left="60" w:right="659"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SERENITY Program: Agitation Associated with Bipolar Disorders I and II and Schizophrenia (at-home setting)</w:t>
      </w:r>
    </w:p>
    <w:p>
      <w:pPr>
        <w:spacing w:after="0" w:line="118" w:lineRule="exact"/>
        <w:rPr>
          <w:sz w:val="20"/>
          <w:szCs w:val="20"/>
          <w:color w:val="auto"/>
        </w:rPr>
      </w:pPr>
    </w:p>
    <w:p>
      <w:pPr>
        <w:ind w:left="60" w:right="159" w:firstLine="324"/>
        <w:spacing w:after="0" w:line="274" w:lineRule="auto"/>
        <w:rPr>
          <w:sz w:val="20"/>
          <w:szCs w:val="20"/>
          <w:color w:val="auto"/>
        </w:rPr>
      </w:pPr>
      <w:r>
        <w:rPr>
          <w:rFonts w:ascii="Times New Roman" w:cs="Times New Roman" w:eastAsia="Times New Roman" w:hAnsi="Times New Roman"/>
          <w:sz w:val="17"/>
          <w:szCs w:val="17"/>
          <w:color w:val="auto"/>
        </w:rPr>
        <w:t>We initiated the clinical study of BXCL501 in patients with agitation associated with bipolar disorders or schizophrenia in SERENITY III, which consists of two parts. The first part was comparable to our pivotal SERENITY I and II studies. Using similar inclusion and exclusion criterion under a well-controlled in-patient setting, acutely agitated patients with schizophrenia or bipolar disorders were randomized to self-administer either 60 mcg of BXCL501 or placebo in a double-blind placebo-controlled trial. The primary endpoint of Part I was efficacy, as measured by the change in PEC score change from baseline at two hours post-dose. The secondary objectives of Part I were safety and tolerability.</w:t>
      </w:r>
    </w:p>
    <w:p>
      <w:pPr>
        <w:spacing w:after="0" w:line="146" w:lineRule="exact"/>
        <w:rPr>
          <w:sz w:val="20"/>
          <w:szCs w:val="20"/>
          <w:color w:val="auto"/>
        </w:rPr>
      </w:pPr>
    </w:p>
    <w:p>
      <w:pPr>
        <w:ind w:left="60" w:right="219" w:firstLine="324"/>
        <w:spacing w:after="0" w:line="239" w:lineRule="auto"/>
        <w:rPr>
          <w:sz w:val="20"/>
          <w:szCs w:val="20"/>
          <w:color w:val="auto"/>
        </w:rPr>
      </w:pPr>
      <w:r>
        <w:rPr>
          <w:rFonts w:ascii="Times New Roman" w:cs="Times New Roman" w:eastAsia="Times New Roman" w:hAnsi="Times New Roman"/>
          <w:sz w:val="18"/>
          <w:szCs w:val="18"/>
          <w:color w:val="auto"/>
        </w:rPr>
        <w:t>On May 25, 2023, we reported topline results from Part I of the study. Although the trial did not meet its primary efficacy endpoint, we believe the efficacy results, observed with the 60 mcg dose, representing half of the lowest approved dose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for in-patient use (120 mcg), were promising. Specifically, greater than 50% of individuals were responders, defined as those patients who achieved a 40% or greater reduction in PEC score. Furthermore, this population responder rate was consistent and dose-proportionate to the same response rates observed in the larger SERENITY I and II trials. Although the primary efficacy endpoint as a group mean change in PEC score from baseline at 2 hours was not statistically significant at the primary endpoint at 2 hours (p=0.077), BXCL501 statistically separated from placebo at 4 hours (p=0.049).</w:t>
      </w:r>
    </w:p>
    <w:p>
      <w:pPr>
        <w:spacing w:after="0" w:line="163" w:lineRule="exact"/>
        <w:rPr>
          <w:sz w:val="20"/>
          <w:szCs w:val="20"/>
          <w:color w:val="auto"/>
        </w:rPr>
      </w:pPr>
    </w:p>
    <w:p>
      <w:pPr>
        <w:ind w:left="60" w:right="279" w:firstLine="324"/>
        <w:spacing w:after="0" w:line="255" w:lineRule="auto"/>
        <w:rPr>
          <w:sz w:val="20"/>
          <w:szCs w:val="20"/>
          <w:color w:val="auto"/>
        </w:rPr>
      </w:pPr>
      <w:r>
        <w:rPr>
          <w:rFonts w:ascii="Times New Roman" w:cs="Times New Roman" w:eastAsia="Times New Roman" w:hAnsi="Times New Roman"/>
          <w:sz w:val="18"/>
          <w:szCs w:val="18"/>
          <w:color w:val="auto"/>
        </w:rPr>
        <w:t>Part II of the SERENITY III study was designed to evaluate the same dose tested in Part I, 60 mcg (with an optional additional 60 mcg dose), but in the at-home setting and focusing on safety only. However, because the trial did not meet its primary efficacy endpoint using this 60 mcg dose in Part I, we paused continuation of Part II of the study pending feedback from the FDA. We held a Type C meeting on November 8, 2023 with the FDA to discuss changes to Part II of our SERENITY III study. We proposed the evaluation of an 80 mcg dose based on previous clinical experience with this dose during our Phase 1b trial in schizophrenia patients with agitation, and pharmacokinetic and pharmacodynamic modeling suggesting that use of an 80 mcg dose of BXCL501 could provide an optimal balance between safety and efficacy for at-home use. Based on feedback from the FDA during the meeting, we made the decision to evaluate a 120 mcg dose in the at-home setting. The 120 mcg dose has already demonstrated efficacy based on the approval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(when administered under the supervision of a healthcare provider, for a single agitation</w:t>
      </w:r>
    </w:p>
    <w:p>
      <w:pPr>
        <w:sectPr>
          <w:pgSz w:w="11900" w:h="16838" w:orient="portrait"/>
          <w:cols w:equalWidth="0" w:num="1">
            <w:col w:w="9019"/>
          </w:cols>
          <w:pgMar w:left="1440" w:top="513" w:right="1440" w:bottom="1440" w:gutter="0" w:footer="0" w:header="0"/>
        </w:sectPr>
      </w:pPr>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79"/>
        <w:spacing w:after="0" w:line="282" w:lineRule="auto"/>
        <w:rPr>
          <w:sz w:val="20"/>
          <w:szCs w:val="20"/>
          <w:color w:val="auto"/>
        </w:rPr>
      </w:pPr>
      <w:r>
        <w:rPr>
          <w:rFonts w:ascii="Times New Roman" w:cs="Times New Roman" w:eastAsia="Times New Roman" w:hAnsi="Times New Roman"/>
          <w:sz w:val="18"/>
          <w:szCs w:val="18"/>
          <w:color w:val="auto"/>
        </w:rPr>
        <w:t>episode), so we sought further feedback from the FDA regarding the proposed design of this study amendment in a request for a follow-up meeting with the FDA, which was held on March 6, 2024.</w:t>
      </w:r>
    </w:p>
    <w:p>
      <w:pPr>
        <w:spacing w:after="0" w:line="135" w:lineRule="exact"/>
        <w:rPr>
          <w:sz w:val="20"/>
          <w:szCs w:val="20"/>
          <w:color w:val="auto"/>
        </w:rPr>
      </w:pPr>
    </w:p>
    <w:p>
      <w:pPr>
        <w:ind w:left="60" w:right="259" w:firstLine="324"/>
        <w:spacing w:after="0" w:line="273" w:lineRule="auto"/>
        <w:rPr>
          <w:sz w:val="20"/>
          <w:szCs w:val="20"/>
          <w:color w:val="auto"/>
        </w:rPr>
      </w:pPr>
      <w:r>
        <w:rPr>
          <w:rFonts w:ascii="Times New Roman" w:cs="Times New Roman" w:eastAsia="Times New Roman" w:hAnsi="Times New Roman"/>
          <w:sz w:val="17"/>
          <w:szCs w:val="17"/>
          <w:color w:val="auto"/>
        </w:rPr>
        <w:t>Based on the FDA’s feedback in advance of and during the March 6, 2024 meeting, we are moving forward to evaluate at-home use of the 120 mcg dose of BXCL501, and have amended Part 2 of the SERENITY III study, which we now refer to as the SERENITY At-Home trial, with safety as the primary objective and efficacy measures as exploratory endpoints to support use in the at-home setting as recommended by the FDA in the November 8, 2023 meeting, for the acute treatment of agitation in bipolar disorders or schizophrenia. We also plan to conduct a clinical study designed to enroll approximately 25 patients to evaluate the relationship between patient-and informant-reported efficacy measurement using the PEC scale conducted by trained clinician raters as previously recommended by the FDA.</w:t>
      </w:r>
    </w:p>
    <w:p>
      <w:pPr>
        <w:spacing w:after="0" w:line="123" w:lineRule="exact"/>
        <w:rPr>
          <w:sz w:val="20"/>
          <w:szCs w:val="20"/>
          <w:color w:val="auto"/>
        </w:rPr>
      </w:pPr>
    </w:p>
    <w:p>
      <w:pPr>
        <w:ind w:left="60" w:right="179" w:firstLine="324"/>
        <w:spacing w:after="0" w:line="223" w:lineRule="auto"/>
        <w:rPr>
          <w:sz w:val="20"/>
          <w:szCs w:val="20"/>
          <w:color w:val="auto"/>
        </w:rPr>
      </w:pPr>
      <w:r>
        <w:rPr>
          <w:rFonts w:ascii="Times New Roman" w:cs="Times New Roman" w:eastAsia="Times New Roman" w:hAnsi="Times New Roman"/>
          <w:sz w:val="18"/>
          <w:szCs w:val="18"/>
          <w:color w:val="auto"/>
        </w:rPr>
        <w:t>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is already approved at the 120 mcg dose based on efficacy data that we previously generated in treating a single episode of agitation. Consistent with the data generated to date, the label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currently includes a limitation on use (“LOU”), noting the lack of efficacy or safety data beyond 24 hours following the first dose. During our March 6, 2024 Type C meeting with the FDA, we discussed, among other things, whether evaluating the at-home use of BXCL501 120 mcg, with safety as the primary objective and efficacy measures as exploratory endpoints, if successful, could support the submission of an sNDA seeking expansion of the current label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120 mcg to allow at-home use and labeling without the current LOU. Based on FDA feedback, we believe that our ability to seek labeling without the current LOU will depend, in part, on the number of agitation episodes we observe during our planned study period. On April 22, 2024, we announced our plans, subject to funding, to advance the SERENITY At-Home trial. On September 5, 2024, we announced the initiation of patient enrollment in our SERENITY At-Home trial.</w:t>
      </w:r>
    </w:p>
    <w:p>
      <w:pPr>
        <w:spacing w:after="0" w:line="160" w:lineRule="exact"/>
        <w:rPr>
          <w:sz w:val="20"/>
          <w:szCs w:val="20"/>
          <w:color w:val="auto"/>
        </w:rPr>
      </w:pPr>
    </w:p>
    <w:p>
      <w:pPr>
        <w:ind w:left="60" w:right="959"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TRANQUILITY Program: Acute Treatment of Agitation Associated with Dementia due to Probable Alzheimer’s Disease (AAD)</w:t>
      </w:r>
    </w:p>
    <w:p>
      <w:pPr>
        <w:spacing w:after="0" w:line="132"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On June 29, 2023, we announced positive topline results from TRANQUILITY II, a randomized, double-blind, placebo-controlled, parallel group trial that evaluated the safety and efficacy of BXCL501 for the acute treatment of Alzheimer’s-related agitation in adults 65 years and older with mild to moderate dementia in assisted living facilities (“ALFs”) and residential care settings who required minimal assistance with activities of daily living. The trial dosed 149 patients. Randomized patients self-administered 40 mcg or 60 mcg of BXCL501 or placebo for agitation episodes that occurred over a 12-week period. The primary endpoint was the change from pre-dose in PEC total score at 2 hours post-dose for the first treated episode of agitation. The key secondary efficacy endpoints were PEC change from pre-dose at 1-hour post-dose of study treatment for the first treated episode of agitation, and PEC change from pre-dose at 30 minutes post-dose of study treatment for the first treated episode of agitation.</w:t>
      </w:r>
    </w:p>
    <w:p>
      <w:pPr>
        <w:spacing w:after="0" w:line="148" w:lineRule="exact"/>
        <w:rPr>
          <w:sz w:val="20"/>
          <w:szCs w:val="20"/>
          <w:color w:val="auto"/>
        </w:rPr>
      </w:pPr>
    </w:p>
    <w:p>
      <w:pPr>
        <w:ind w:left="60" w:right="319" w:firstLine="324"/>
        <w:spacing w:after="0" w:line="258" w:lineRule="auto"/>
        <w:rPr>
          <w:sz w:val="20"/>
          <w:szCs w:val="20"/>
          <w:color w:val="auto"/>
        </w:rPr>
      </w:pPr>
      <w:r>
        <w:rPr>
          <w:rFonts w:ascii="Times New Roman" w:cs="Times New Roman" w:eastAsia="Times New Roman" w:hAnsi="Times New Roman"/>
          <w:sz w:val="18"/>
          <w:szCs w:val="18"/>
          <w:color w:val="auto"/>
        </w:rPr>
        <w:t>The Phase 3 trial met its primary efficacy endpoint with the 60 mcg dose; a statistically significant and clinically meaningful 7.5 point reduction from baseline in PEC total score was observed at 2 hours versus 5.4 with placebo (p=0.0112). The 60 mcg dose also met the first key secondary endpoint of reducing agitation symptoms at 1 hour during the first episode of agitation (p=0.0185) but did not meet the other key secondary endpoint of change from baseline in PEC score at 30 minutes.</w:t>
      </w:r>
    </w:p>
    <w:p>
      <w:pPr>
        <w:spacing w:after="0" w:line="143"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Efficacy for this dose was supported by several secondary measures, including CGI-Improvement and Agitation-Calmness Evaluation Scale. Most patients (76%) responded to the first 60 mcg dose and were determined to be “Very Much” or “Much Improved” (CGI-I of 1 or 2, respectively) compared to 50% with placebo. The primary endpoint was not met for the 40 mcg dose, with a 5.7 point reduction from baseline in PEC score.</w:t>
      </w:r>
    </w:p>
    <w:p>
      <w:pPr>
        <w:spacing w:after="0" w:line="153"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On June 29, 2023, we also announced that we had learned that an investigator in this study, who enrolled approximately 40% of the patients, engaged in misconduct. Since that time, we have taken steps to further investigate and evaluate the conduct of the TRANQUILITY II trial at this clinical site. Based on these steps to date, we believe that there have been no further instances of misconduct or fraud or other findings that adversely impact the data integrity or reliability of the eligibility, safety, or efficacy data obtained at the clinical trial site in question.</w:t>
      </w:r>
    </w:p>
    <w:p>
      <w:pPr>
        <w:spacing w:after="0" w:line="143" w:lineRule="exact"/>
        <w:rPr>
          <w:sz w:val="20"/>
          <w:szCs w:val="20"/>
          <w:color w:val="auto"/>
        </w:rPr>
      </w:pPr>
    </w:p>
    <w:p>
      <w:pPr>
        <w:jc w:val="center"/>
        <w:ind w:left="60" w:right="459"/>
        <w:spacing w:after="0" w:line="312" w:lineRule="auto"/>
        <w:rPr>
          <w:sz w:val="20"/>
          <w:szCs w:val="20"/>
          <w:color w:val="auto"/>
        </w:rPr>
      </w:pPr>
      <w:r>
        <w:rPr>
          <w:rFonts w:ascii="Times New Roman" w:cs="Times New Roman" w:eastAsia="Times New Roman" w:hAnsi="Times New Roman"/>
          <w:sz w:val="17"/>
          <w:szCs w:val="17"/>
          <w:color w:val="auto"/>
        </w:rPr>
        <w:t>In a Type B/Breakthrough Therapy designation meeting with the FDA on October 11, 2023, we reviewed our TRANQUILITY clinical trial program and discussed the data package required to support submission of an sNDA for</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the potential approval of BXCL501 for the acute treatment of agitation in patients with mild to moderate dementia due to probable Alzheimer’s disease in the ALF and at-home settings. Specifically, we sought feedback from the FDA as to whether our data package consisting of TRANQUILITY I and II, along with the clinical pharmacology and toxicology programs previously discussed with the FDA, would be sufficient to support an sNDA submission for the potential use of BXCL501 to treat agitation in patients with mild to moderate dementia due to probable Alzheimer’s disease in either the at-home or ALF setting, or, if not, what additional data would be required. Based on the FDA’s feedback in this meeting, we understand that the FDA will require additional efficacy data, including repeat efficacy data, and also long-term safety data. We therefore requested another meeting with the FDA to further discuss the additional data that would be required to support an sNDA submission.</w:t>
      </w:r>
    </w:p>
    <w:p>
      <w:pPr>
        <w:spacing w:after="0" w:line="188"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On February 20, 2024, we held a Type B/Breakthrough Therapy designation meeting with the FDA. The original purpose of this meeting was to obtain feedback on the design of a proposed at-home study that did not include caregiver-collected efficacy endpoints, based on our belief that obtaining caregiver assessments of efficacy would be challenging. We believe there are no validated caregiver endpoints for assessing efficacy in Alzheimer’s disease patients in the at-home setting. As a result, we focused on requesting feedback from the FDA regarding our proposal for an at-home clinical study with safety as the primary objective, and to better understand what additional data would be required to submit an sNDA to support labeling for BXCL501 to include the acute treatment of agitation associated with dementia in probable Alzheimer’s disease or, in the alternative, in this population in the care setting only. In its preliminary responses, the FDA reiterated its prior comments that we need to generate additional efficacy data, including repeat-dose efficacy data, to support an sNDA submission, as the FDA indicated that our proposed efficacy database, which currently includes the 70 patients who have been treated with 60 mcg of BXCL501 in TRANQUILITY I and TRANQUILITY II, would not contain substantial evidence of effectiveness absent additional data. The FDA advised that we generate the necessary efficacy data in care facilities prior to conducting any trials in the at-home setting. In addition, the FDA indicated the need to generate long-term safety data to support an sNDA submission, including from probable Alzheimer’s disease patients exposed to BXCL501, for up to one year. Based on the FDA’s feedback, we are currently planning to generate additional Phase 3 efficacy and safety data, in a variety of relevant care-facility settings and across severity of dementia, in our planned TRANQUILITY In-Care Phase 3 trial. In addition, we plan to discuss the details of the requirement for long-term safety data at a future meeting with the FDA. Also, although we announced in November 2023 that we were planning to conduct a Phase 3 trial in the at-home setting, with safety as the primary objective (TRANQUILITY At Home), given the priority to expand the database to generate additional efficacy and safety data in care facilities, and subject to funding, we are re-evaluating the timing for initiating TRANQUILITY At Home.</w:t>
      </w:r>
    </w:p>
    <w:p>
      <w:pPr>
        <w:spacing w:after="0" w:line="201"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On September 5, 2024, we submitted to the FDA the proposed protocol for our TRANQUILITY In-Care Phase 3 trial designed to evaluate the efficacy and safety of a 60 mcg dose of BXCL501 for agitation associated with Alzheimer’s dementia.</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Adjunctive Treatment in Major Depressive Disorder (“MDD”)</w:t>
      </w:r>
    </w:p>
    <w:p>
      <w:pPr>
        <w:spacing w:after="0" w:line="202" w:lineRule="exact"/>
        <w:rPr>
          <w:sz w:val="20"/>
          <w:szCs w:val="20"/>
          <w:color w:val="auto"/>
        </w:rPr>
      </w:pPr>
    </w:p>
    <w:p>
      <w:pPr>
        <w:jc w:val="both"/>
        <w:ind w:left="60" w:right="639" w:firstLine="324"/>
        <w:spacing w:after="0" w:line="266" w:lineRule="auto"/>
        <w:rPr>
          <w:sz w:val="20"/>
          <w:szCs w:val="20"/>
          <w:color w:val="auto"/>
        </w:rPr>
      </w:pPr>
      <w:r>
        <w:rPr>
          <w:rFonts w:ascii="Times New Roman" w:cs="Times New Roman" w:eastAsia="Times New Roman" w:hAnsi="Times New Roman"/>
          <w:sz w:val="18"/>
          <w:szCs w:val="18"/>
          <w:color w:val="auto"/>
        </w:rPr>
        <w:t>We were previously evaluating BXCL501 as an adjunctive treatment for MDD. The initial clinical study in this program was a double-blind, placebo-controlled, multiple ascending dose (“MAD”) trial to evaluate the safety and tolerability of daily doses of BXCL501 in healthy volunteers.</w:t>
      </w:r>
    </w:p>
    <w:p>
      <w:pPr>
        <w:spacing w:after="0" w:line="135" w:lineRule="exact"/>
        <w:rPr>
          <w:sz w:val="20"/>
          <w:szCs w:val="20"/>
          <w:color w:val="auto"/>
        </w:rPr>
      </w:pPr>
    </w:p>
    <w:p>
      <w:pPr>
        <w:ind w:left="60" w:right="159" w:firstLine="324"/>
        <w:spacing w:after="0" w:line="289" w:lineRule="auto"/>
        <w:rPr>
          <w:sz w:val="20"/>
          <w:szCs w:val="20"/>
          <w:color w:val="auto"/>
        </w:rPr>
      </w:pPr>
      <w:r>
        <w:rPr>
          <w:rFonts w:ascii="Times New Roman" w:cs="Times New Roman" w:eastAsia="Times New Roman" w:hAnsi="Times New Roman"/>
          <w:sz w:val="17"/>
          <w:szCs w:val="17"/>
          <w:color w:val="auto"/>
        </w:rPr>
        <w:t>As part of the Reprioritization announced on August 14, 2023, we have paused our plan to develop a Phase 2 human proof-of-concept trial design to investigate BXCL501 as a potential adjunctive treatment and its potential accelerant effect in combination with first-line selective serotonin reuptake inhibitors or serotonin-norepinephrine reuptake inhibitors.</w:t>
      </w:r>
    </w:p>
    <w:p>
      <w:pPr>
        <w:spacing w:after="0" w:line="1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Pediatric Study</w:t>
      </w:r>
    </w:p>
    <w:p>
      <w:pPr>
        <w:spacing w:after="0" w:line="189" w:lineRule="exact"/>
        <w:rPr>
          <w:sz w:val="20"/>
          <w:szCs w:val="20"/>
          <w:color w:val="auto"/>
        </w:rPr>
      </w:pPr>
    </w:p>
    <w:p>
      <w:pPr>
        <w:ind w:left="60" w:right="139" w:firstLine="324"/>
        <w:spacing w:after="0" w:line="233" w:lineRule="auto"/>
        <w:rPr>
          <w:sz w:val="20"/>
          <w:szCs w:val="20"/>
          <w:color w:val="auto"/>
        </w:rPr>
      </w:pPr>
      <w:r>
        <w:rPr>
          <w:rFonts w:ascii="Times New Roman" w:cs="Times New Roman" w:eastAsia="Times New Roman" w:hAnsi="Times New Roman"/>
          <w:sz w:val="18"/>
          <w:szCs w:val="18"/>
          <w:color w:val="auto"/>
        </w:rPr>
        <w:t>In June 2021, we initiated a global clinical trial designed to evaluate the safety and efficacy of BXCL501 in the acute treatment of agitation associated with pediatric schizophrenia and bipolar disorders, in part to fulfill pediatric study requirements agreed to with the FDA in connection with the approval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The trial protocol has been reviewed by the FDA, as well as by the European Medicines Agency, to fulfill potential commitments to study the effects of BXCL501 in pediatric patients ages 13 to 17 with schizophrenia and ages 10 to 17 with bipolar disorders.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Enrollment of patients with schizophrenia, schizoaffective disorder, bipolar I, and bipolar II disorder is ongoing in this multisite, double-blind, placebo-controlled parallel group trial. Approximately 63% of the 150 total subjects have been enrolled in the U.S. and 95 of such subjects have completed the clinical trial. In July 2023, we stopped activities in the European region as enrollment and site recruitment was unproductive. Similar to our registration trials in schizophrenia and bipolar disorder (SERENITY I and II), the primary endpoint is the change from baseline PEC total score at two hours. The U.S. portion of this program remains active following the Reprioritization.</w:t>
      </w:r>
    </w:p>
    <w:p>
      <w:pPr>
        <w:spacing w:after="0" w:line="187"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In October 2024, we submitted a request to the FDA for an extension and plan to submit an updated trial protocol to complete enrollment requirements for pediatric patients with schizophrenia or schizoaffective disorder.</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Post-Marketing Study Update</w:t>
      </w:r>
    </w:p>
    <w:p>
      <w:pPr>
        <w:spacing w:after="0" w:line="202" w:lineRule="exact"/>
        <w:rPr>
          <w:sz w:val="20"/>
          <w:szCs w:val="20"/>
          <w:color w:val="auto"/>
        </w:rPr>
      </w:pPr>
    </w:p>
    <w:p>
      <w:pPr>
        <w:ind w:left="60" w:right="339" w:firstLine="324"/>
        <w:spacing w:after="0"/>
        <w:rPr>
          <w:sz w:val="20"/>
          <w:szCs w:val="20"/>
          <w:color w:val="auto"/>
        </w:rPr>
      </w:pPr>
      <w:r>
        <w:rPr>
          <w:rFonts w:ascii="Times New Roman" w:cs="Times New Roman" w:eastAsia="Times New Roman" w:hAnsi="Times New Roman"/>
          <w:sz w:val="18"/>
          <w:szCs w:val="18"/>
          <w:color w:val="auto"/>
        </w:rPr>
        <w:t>On June 25, 2024, we announced positive topline results from our post-marketing requirement study evaluating whether tolerance, tachyphylaxis, or withdrawal occur following repeat dosing of the 180mg (highest approved dose)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This study was a single-arm, open-label study of 28 inpatient adults with frequent episodes of agitation associated with bipolar disorders or schizophrenia self-administered 180 mcg dose of IGALMI™ as needed over seven days. A total of 83 episodes were treated. The study achieved its objective and demonstrated no evidence of tachyphylaxis, tolerance, or withdrawal, and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was generally well tolerated during the study.</w:t>
      </w: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Additional Neuroscience Opportunities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BXCL501 Pipeline Opportunities for Franchise Expansion</w:t>
      </w:r>
    </w:p>
    <w:p>
      <w:pPr>
        <w:spacing w:after="0" w:line="189" w:lineRule="exact"/>
        <w:rPr>
          <w:sz w:val="20"/>
          <w:szCs w:val="20"/>
          <w:color w:val="auto"/>
        </w:rPr>
      </w:pPr>
    </w:p>
    <w:p>
      <w:pPr>
        <w:ind w:left="60" w:right="479" w:firstLine="324"/>
        <w:spacing w:after="0" w:line="266" w:lineRule="auto"/>
        <w:rPr>
          <w:sz w:val="20"/>
          <w:szCs w:val="20"/>
          <w:color w:val="auto"/>
        </w:rPr>
      </w:pPr>
      <w:r>
        <w:rPr>
          <w:rFonts w:ascii="Times New Roman" w:cs="Times New Roman" w:eastAsia="Times New Roman" w:hAnsi="Times New Roman"/>
          <w:sz w:val="18"/>
          <w:szCs w:val="18"/>
          <w:color w:val="auto"/>
        </w:rPr>
        <w:t>Given the differentiated design of BXCL501 and its selective mechanism of action, we believe BXCL501 has the potential for broad applicability across several indications where agitation is a symptom of a condition or underlying disease.</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Government-Supported Investigator-Initiated Trial Programs</w:t>
      </w:r>
    </w:p>
    <w:p>
      <w:pPr>
        <w:spacing w:after="0" w:line="229" w:lineRule="exact"/>
        <w:rPr>
          <w:sz w:val="20"/>
          <w:szCs w:val="20"/>
          <w:color w:val="auto"/>
        </w:rPr>
      </w:pPr>
    </w:p>
    <w:p>
      <w:pPr>
        <w:ind w:left="60" w:right="259" w:firstLine="324"/>
        <w:spacing w:after="0" w:line="254" w:lineRule="auto"/>
        <w:rPr>
          <w:sz w:val="20"/>
          <w:szCs w:val="20"/>
          <w:color w:val="auto"/>
        </w:rPr>
      </w:pPr>
      <w:r>
        <w:rPr>
          <w:rFonts w:ascii="Times New Roman" w:cs="Times New Roman" w:eastAsia="Times New Roman" w:hAnsi="Times New Roman"/>
          <w:sz w:val="18"/>
          <w:szCs w:val="18"/>
          <w:color w:val="auto"/>
        </w:rPr>
        <w:t>The Company has been awarded key opportunities for the development of BXCL501 in acute stress disorder (ASD), post-traumatic stress disorder (“PTSD”), alcohol use disorder (“AUD”), and opioid use disorder (“OUD”). These are being funded through Cooperative Agreements with the U.S. Department of Defense Congressionally Directed Medical Research Program and National Institute on Drug Abuse (“NIDA”). Clinical and regulatory responsibilities are led by clinical researchers and regulatory staff at the Veterans Affairs Connecticut Healthcare System, Yale University Medical School, RTI International, Columbia University New York State Psychiatric Institute, and NIDA. The Company has retained all rights to commercialization of BXCL501 in all potential indications evaluated in clinical trials supported by the U.S. government.</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Opioid Use Disorder Program</w:t>
      </w:r>
    </w:p>
    <w:p>
      <w:pPr>
        <w:spacing w:after="0" w:line="229" w:lineRule="exact"/>
        <w:rPr>
          <w:sz w:val="20"/>
          <w:szCs w:val="20"/>
          <w:color w:val="auto"/>
        </w:rPr>
      </w:pPr>
    </w:p>
    <w:p>
      <w:pPr>
        <w:ind w:left="60" w:right="239" w:firstLine="405"/>
        <w:spacing w:after="0" w:line="253" w:lineRule="auto"/>
        <w:rPr>
          <w:sz w:val="20"/>
          <w:szCs w:val="20"/>
          <w:color w:val="auto"/>
        </w:rPr>
      </w:pPr>
      <w:r>
        <w:rPr>
          <w:rFonts w:ascii="Times New Roman" w:cs="Times New Roman" w:eastAsia="Times New Roman" w:hAnsi="Times New Roman"/>
          <w:sz w:val="18"/>
          <w:szCs w:val="18"/>
          <w:color w:val="auto"/>
        </w:rPr>
        <w:t xml:space="preserve">As previously announced, NIDA awarded a grant to Columbia University to fund clinical testing of BXCL501 as a potential treatment for opioid withdrawal in patients diagnosed with OUD. The original 160-patient, three-site, four-arm </w:t>
      </w:r>
      <w:r>
        <w:rPr>
          <w:rFonts w:ascii="Times New Roman" w:cs="Times New Roman" w:eastAsia="Times New Roman" w:hAnsi="Times New Roman"/>
          <w:sz w:val="18"/>
          <w:szCs w:val="18"/>
          <w:color w:val="212121"/>
        </w:rPr>
        <w:t>study is a randomized, double-blind, double-dummy inpatient study comparing BXCL501 (180 mcg and 240 mcg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 xml:space="preserve">BID), lofexidine (as a positive control), and placebo. The study’s goal is to evaluate the safety and efficacy of BXCL501 relative to lofexidine and placebo in subjects with OUD. A majority of OUD patients participating in the study are anticipated to be exposed to </w:t>
      </w:r>
      <w:r>
        <w:rPr>
          <w:rFonts w:ascii="Times New Roman" w:cs="Times New Roman" w:eastAsia="Times New Roman" w:hAnsi="Times New Roman"/>
          <w:sz w:val="18"/>
          <w:szCs w:val="18"/>
          <w:color w:val="000000"/>
        </w:rPr>
        <w:t>fentanyl adulterated or associated with xylazine</w:t>
      </w:r>
      <w:r>
        <w:rPr>
          <w:rFonts w:ascii="Times New Roman" w:cs="Times New Roman" w:eastAsia="Times New Roman" w:hAnsi="Times New Roman"/>
          <w:sz w:val="18"/>
          <w:szCs w:val="18"/>
          <w:color w:val="212121"/>
        </w:rPr>
        <w:t>. To date, a</w:t>
      </w:r>
      <w:r>
        <w:rPr>
          <w:rFonts w:ascii="Times New Roman" w:cs="Times New Roman" w:eastAsia="Times New Roman" w:hAnsi="Times New Roman"/>
          <w:sz w:val="18"/>
          <w:szCs w:val="18"/>
          <w:color w:val="000000"/>
        </w:rPr>
        <w:t>ll three initial sites have recruited,</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enrolled, and dosed patients diagnosed with OUD who are physically dependent on opioids, including prescription opioids. The Company is supplying the drug product for the conduct of this study, which is sponsored by Columbia University</w:t>
      </w:r>
      <w:r>
        <w:rPr>
          <w:rFonts w:ascii="Times New Roman" w:cs="Times New Roman" w:eastAsia="Times New Roman" w:hAnsi="Times New Roman"/>
          <w:sz w:val="18"/>
          <w:szCs w:val="18"/>
          <w:color w:val="212121"/>
        </w:rPr>
        <w:t>. We expect that the results from current study will be used to select a recommended dose of BXCL501 to</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121"/>
        </w:rPr>
        <w:t xml:space="preserve">compare to placebo in a later outpatient Phase 3 study sponsored by </w:t>
      </w:r>
      <w:r>
        <w:rPr>
          <w:rFonts w:ascii="Times New Roman" w:cs="Times New Roman" w:eastAsia="Times New Roman" w:hAnsi="Times New Roman"/>
          <w:sz w:val="18"/>
          <w:szCs w:val="18"/>
          <w:color w:val="000000"/>
        </w:rPr>
        <w:t>NIDA.</w:t>
      </w:r>
    </w:p>
    <w:p>
      <w:pPr>
        <w:spacing w:after="0" w:line="194" w:lineRule="exact"/>
        <w:rPr>
          <w:sz w:val="20"/>
          <w:szCs w:val="20"/>
          <w:color w:val="auto"/>
        </w:rPr>
      </w:pPr>
    </w:p>
    <w:p>
      <w:pPr>
        <w:ind w:left="60" w:right="159" w:firstLine="324"/>
        <w:spacing w:after="0" w:line="312" w:lineRule="auto"/>
        <w:rPr>
          <w:sz w:val="20"/>
          <w:szCs w:val="20"/>
          <w:color w:val="auto"/>
        </w:rPr>
      </w:pPr>
      <w:r>
        <w:rPr>
          <w:rFonts w:ascii="Times New Roman" w:cs="Times New Roman" w:eastAsia="Times New Roman" w:hAnsi="Times New Roman"/>
          <w:sz w:val="17"/>
          <w:szCs w:val="17"/>
          <w:color w:val="auto"/>
        </w:rPr>
        <w:t>On November 6, 2023, we announced that NIDA requested Columbia University, the trial coordinator, to add a fourth site to expedite trial completion. The patient screening and enrollment process for the fourth site commenced in March</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2024, and completion of the trial is anticipated in the first half of 2025, with a potential mid-study readout anticipated in the first quarter of 2025. Subject to favorable results, we plan to seek FDA feedback on potential registrational paths.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Alcohol Use Disorder with Comorbid Post-traumatic Stress Disorder Program</w:t>
      </w:r>
    </w:p>
    <w:p>
      <w:pPr>
        <w:spacing w:after="0" w:line="22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In December 2020, the Veterans Affairs Connecticut Healthcare System and Yale University Medical School were awarded a grant by the U.S. Department of Defense’s Congressionally Directed Medical Research Program with the overall objective to evaluate BXCL501 in patients who suffer from AUD with comorbid PTSD. The Company provided BXCL501 for the inpatient Alcohol Interaction Study, which has been completed. We understand Yale is currently seeking approval from its IRB and allowance from the FDA to proceed with a trial evaluating the effects of up to 80 mcg BID of BXCL501 per day for 28 days on alcohol consumption, PTSD symptoms, cognitive function, memory, sleep, and mood in patients diagnosed with mild, moderate, or severe AUD and who meet Criterion A for comorbid PTSD. The new outpatient study has received funding approval from the Pharmacotherapies for Alcohol and Substance Use Disorders Alliance (funded through a Cooperative Agreement between the U.S. Department of Defense Congressionally Directed Medical Research Program and RTI International). Patient screening and enrollment is expected to start in the fourth quarter of 2024. We believe the results from this study may be used to inform a Phase 3 study intended to commence with support by the alliance.</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Acute Stress Disorder (ASD) Program</w:t>
      </w:r>
    </w:p>
    <w:p>
      <w:pPr>
        <w:spacing w:after="0" w:line="229"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On October 15, 2024, we announced a U.S. Department of Defense grant to the University of North Carolina to Fund Study of BXCL501 for treating ASD. The award provides $2,800 to the UNC Institute for Trauma Recovery from September 15, 2024 through September 14, 2026 to evaluate the potential efficacy of BXCL501 to reduce ASD symptom severity and/or posttraumatic neuropsychiatric symptoms. The double-blind, placebo-controlled trial is expected to enroll 100 patients experiencing ASD resulting from motor vehicle collisions, beginning in the first half of 2025. We will supply BXCL501 for the trial.</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BXCL502 Development</w:t>
      </w:r>
    </w:p>
    <w:p>
      <w:pPr>
        <w:spacing w:after="0" w:line="18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We identified a second neuropsychiatric drug candidate, BXCL502 − Latrepirdine (Dimebon) − through our AI-based platform. We plan to evaluate BXCL502 initially as a monotherapy and possibly in combination with BXCL501 for the chronic treatment of agitation in patients with dementia and acute stress disorder. The active pharmaceutical ingredient (“API”) underlying BXCL502 affects serotonergic signaling in the brain. Our preclinical data suggests BXCL502 has the potential to treat stress-related neuropsychiatric symptoms in dementia and other stress-related disorders. In previously published third-party clinical trial data, daily administration of the API of BXCL502 demonstrated improvement in behaviors using a well-established, clinically validated symptom scale. Formulation and further clinical development planning are currently on hold with BXCL502.</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Product Candidates Leveraging the AI Platform</w:t>
      </w:r>
    </w:p>
    <w:p>
      <w:pPr>
        <w:spacing w:after="0" w:line="202" w:lineRule="exact"/>
        <w:rPr>
          <w:sz w:val="20"/>
          <w:szCs w:val="20"/>
          <w:color w:val="auto"/>
        </w:rPr>
      </w:pPr>
    </w:p>
    <w:p>
      <w:pPr>
        <w:ind w:left="60" w:right="159" w:firstLine="324"/>
        <w:spacing w:after="0" w:line="273" w:lineRule="auto"/>
        <w:rPr>
          <w:sz w:val="20"/>
          <w:szCs w:val="20"/>
          <w:color w:val="auto"/>
        </w:rPr>
      </w:pPr>
      <w:r>
        <w:rPr>
          <w:rFonts w:ascii="Times New Roman" w:cs="Times New Roman" w:eastAsia="Times New Roman" w:hAnsi="Times New Roman"/>
          <w:sz w:val="17"/>
          <w:szCs w:val="17"/>
          <w:color w:val="auto"/>
        </w:rPr>
        <w:t>Our AI platform is comprised of a series of customized and specific AI applications aimed at identifying, predicting efficacy and testing of late-stage assets with known mechanisms of action and associated pharmacology and safety data. We target neuropsychiatric and neurological rare disorders, where the compounds are either disease-modifying or mitigate symptoms. Compounds are tested in relevant models of disease and rank-ordered based on the potential to enter the clinic and ease of development. Disease areas of interest are stress related such as agitation, or neuropsychiatric symptoms associated with dementia and responsible for increased levels of healthcare burden. For example, our pipeline concepts BXCL503 and BXCL504 putatively have the potential to address apathy and aggression in dementia, respectively.</w:t>
      </w:r>
    </w:p>
    <w:p>
      <w:pPr>
        <w:spacing w:after="0" w:line="1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Neuroscience Intellectual Property</w:t>
      </w:r>
    </w:p>
    <w:p>
      <w:pPr>
        <w:spacing w:after="0" w:line="189"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Our policy is to protect and enhance the proprietary technologies, inventions, and improvements that are commercially important to our business by filing patent applications in the U.S. and other jurisdictions related to our proprietary technology, inventions, improvements, and product candidates. We also rely on trademarks, trade secrets, and know-how relating to our proprietary technologies and product candidates, continuing innovation, and in-licensing</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79"/>
        <w:spacing w:after="0" w:line="266" w:lineRule="auto"/>
        <w:rPr>
          <w:sz w:val="20"/>
          <w:szCs w:val="20"/>
          <w:color w:val="auto"/>
        </w:rPr>
      </w:pPr>
      <w:r>
        <w:rPr>
          <w:rFonts w:ascii="Times New Roman" w:cs="Times New Roman" w:eastAsia="Times New Roman" w:hAnsi="Times New Roman"/>
          <w:sz w:val="18"/>
          <w:szCs w:val="18"/>
          <w:color w:val="auto"/>
        </w:rPr>
        <w:t>technology and products. This reliance is expected to develop, maintain, and strengthen our proprietary position for novel therapeutics and novel formulations of existing therapeutics across multiple therapeutic areas. We also plan to rely on data exclusivity, market exclusivity, and patent term extensions when available.</w:t>
      </w:r>
    </w:p>
    <w:p>
      <w:pPr>
        <w:spacing w:after="0" w:line="149" w:lineRule="exact"/>
        <w:rPr>
          <w:sz w:val="20"/>
          <w:szCs w:val="20"/>
          <w:color w:val="auto"/>
        </w:rPr>
      </w:pPr>
    </w:p>
    <w:p>
      <w:pPr>
        <w:ind w:left="60" w:right="199" w:firstLine="324"/>
        <w:spacing w:after="0" w:line="264" w:lineRule="auto"/>
        <w:rPr>
          <w:sz w:val="20"/>
          <w:szCs w:val="20"/>
          <w:color w:val="auto"/>
        </w:rPr>
      </w:pPr>
      <w:r>
        <w:rPr>
          <w:rFonts w:ascii="Times New Roman" w:cs="Times New Roman" w:eastAsia="Times New Roman" w:hAnsi="Times New Roman"/>
          <w:sz w:val="18"/>
          <w:szCs w:val="18"/>
          <w:color w:val="auto"/>
        </w:rPr>
        <w:t>We have multiple patent families filed to protect our Neuroscience program, including BXCL501. As of October 14, 2024, our neuroscience patent portfolio included four Patent Cooperation Treaty (“PCT”) applications not yet in national phase, 15 U.S. utility applications, one U.S. provisional applications, one allowed US application, 15 issued U.S. utility patents, 110 pending non-U.S. utility applications, 23 allowed or granted non-U.S. patents (including four in Japan), one pending U.S. design patent application, and 39 allowed or registered design patents (including two in Japan). Twelve U.S. utility patents, directed to our proprietary sublingual film formulation of Dex and methods of treating agitation, are listed in the FDA’s Approved Drug Products with Therapeutic Equivalence Evaluations (commonly known as the “Orange Book”) for IGALMI™ with expiration dates between 2037 and 2043. In the formulation family, we have granted or allowed patents in China, Europe, Eurasia, Japan, Mexico, and the U.S., and pending applications in the U.S., China, and other major markets. We expect that patents issued in this family will expire no earlier than 2039. We have also filed applications in additional patent families that are relevant to BXCL501. We have one granted European patent and applications pending in the U.S. and Japan directed to methods of treating insomnia using sublingual Dex. We expect that patents issued from these applications, will expire no earlier than 2035. We also have granted patents and pending applications filed in major markets, including the U.S., Europe, Japan, and China, directed to methods of treating agitation. We expect that patents issued from these applications, will expire between 2039 and 2043. We also have four PCT applications directed to treating mania, depression, stress and agitation. If patents are issued from those cases, we expect them to expire in 2043 or 2044.</w:t>
      </w:r>
    </w:p>
    <w:p>
      <w:pPr>
        <w:spacing w:after="0" w:line="152" w:lineRule="exact"/>
        <w:rPr>
          <w:sz w:val="20"/>
          <w:szCs w:val="20"/>
          <w:color w:val="auto"/>
        </w:rPr>
      </w:pPr>
    </w:p>
    <w:p>
      <w:pPr>
        <w:ind w:left="60" w:right="199" w:firstLine="324"/>
        <w:spacing w:after="0" w:line="287" w:lineRule="auto"/>
        <w:rPr>
          <w:sz w:val="20"/>
          <w:szCs w:val="20"/>
          <w:color w:val="auto"/>
        </w:rPr>
      </w:pPr>
      <w:r>
        <w:rPr>
          <w:rFonts w:ascii="Times New Roman" w:cs="Times New Roman" w:eastAsia="Times New Roman" w:hAnsi="Times New Roman"/>
          <w:sz w:val="17"/>
          <w:szCs w:val="17"/>
          <w:color w:val="auto"/>
        </w:rPr>
        <w:t>In August 2024, the Company received a Notice of Allowance from the U.S. Patent and Trademark Office (“USPTO”) for U.S. Patent Application No. 18/600,431 (the “’431 Application”). The ’431 Application claims methods of treating agitation using an oromucosal formulation of dexmedetomidine. This patent, when issued, is expected to have an expiration date of January 12, 2043. In October 2024, the Company received an Issue Notification from the USPTO indicating that the ‘431 Application is projected to issue on or about November 12, 2024 as U.S. Patent No. 12, 138,247 (the “’247 Patent”). When issued, the ’247 Patent is expected to be eligible for listing in the Orange Book for IGALMI™.</w:t>
      </w:r>
    </w:p>
    <w:p>
      <w:pPr>
        <w:spacing w:after="0" w:line="136" w:lineRule="exact"/>
        <w:rPr>
          <w:sz w:val="20"/>
          <w:szCs w:val="20"/>
          <w:color w:val="auto"/>
        </w:rPr>
      </w:pPr>
    </w:p>
    <w:p>
      <w:pPr>
        <w:ind w:left="60" w:right="219" w:firstLine="324"/>
        <w:spacing w:after="0" w:line="274" w:lineRule="auto"/>
        <w:rPr>
          <w:sz w:val="20"/>
          <w:szCs w:val="20"/>
          <w:color w:val="auto"/>
        </w:rPr>
      </w:pPr>
      <w:r>
        <w:rPr>
          <w:rFonts w:ascii="Times New Roman" w:cs="Times New Roman" w:eastAsia="Times New Roman" w:hAnsi="Times New Roman"/>
          <w:sz w:val="18"/>
          <w:szCs w:val="18"/>
          <w:color w:val="auto"/>
        </w:rPr>
        <w:t>In September 2024, the Company received U.S. Patent No. 12,109,140, which is directed to methods of treating mild or moderate agitation associated with schizophrenia or bipolar I or II disorder in a human subject having severe hepatic impairment. The patent is expected to expire no earlier than January 12, 2043.</w:t>
      </w:r>
    </w:p>
    <w:p>
      <w:pPr>
        <w:spacing w:after="0" w:line="142" w:lineRule="exact"/>
        <w:rPr>
          <w:sz w:val="20"/>
          <w:szCs w:val="20"/>
          <w:color w:val="auto"/>
        </w:rPr>
      </w:pPr>
    </w:p>
    <w:p>
      <w:pPr>
        <w:ind w:left="60" w:right="259" w:firstLine="324"/>
        <w:spacing w:after="0" w:line="281" w:lineRule="auto"/>
        <w:rPr>
          <w:sz w:val="20"/>
          <w:szCs w:val="20"/>
          <w:color w:val="auto"/>
        </w:rPr>
      </w:pPr>
      <w:r>
        <w:rPr>
          <w:rFonts w:ascii="Times New Roman" w:cs="Times New Roman" w:eastAsia="Times New Roman" w:hAnsi="Times New Roman"/>
          <w:sz w:val="18"/>
          <w:szCs w:val="18"/>
          <w:color w:val="auto"/>
        </w:rPr>
        <w:t>In October 2024, the Company received U.S. Patent No. 12,109,196, which is directed to methods of treating agitation using an oromucosal formulation of dexmedetomidine. The patent is expected to expire no earlier than July 17, 2040.</w:t>
      </w:r>
    </w:p>
    <w:p>
      <w:pPr>
        <w:spacing w:after="0" w:line="137"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for patents in the countries in which they are obtained. In most countries, including the U.S., the patent term is 20 years from the earliest filing date of a non-provisional patent application. Depending upon the timing, duration, and specifics of FDA approval of our product candidates, a U.S. patent that we own or license may be eligible for limited patent term extension under the Drug Price Competition and Patent Term Restoration Act of 1984 (a.k.a., the “Hatch-Waxman Act”). The act permits a patent restoration term of up to five years as compensation for patent term lost during product development and the drug approval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new drug application (“NDA”), plus the time between the submission date of an NDA and the approval of that application. Only one patent applicable to an approved drug is eligible for the extension, and the application for extension must be made prior to patent expiration. The USPTO, in consultation with the FDA, reviews and approves the application for any patent term extension or restoration. In the future, we intend to apply for restorations of patent term for some of our currently owned or licensed patents to add patent life beyond their current expiration date, depending on the expected length of clinical trials and other factors involved in the submission of the relevant NDA.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The term of a patent can also be extended by PTA established in 35 U.S.C. 154(b). The intention of the PTA is to accommodate for delays caused by the USPTO during the prosecution of a US utility or plant patent application. Under PTA, the USPTO delay is divided into three types: type A (delays after 14 months from the filing date of the application until the USPTO issues a first Office Action and delays after four months from the filing of certain actions by the applicant until the USPTO responds to such actions); type B (delays after three years from the earliest effective filing date until a patent is granted); and type C (delays due to interferences, secrecy orders, and successful appeals). The total amount of PTA is calculated by adding the types A, B, and C delays, and then subtracting any delay that is overlapped among three types or that is attributable to the applicant.</w:t>
      </w:r>
    </w:p>
    <w:p>
      <w:pPr>
        <w:spacing w:after="0" w:line="192"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The term of a patent can also be shortened by a terminal disclaimer. A terminal disclaimer is a statement filed by a patent owner in which the owner disclaims or dedicates to the public the terminal part of the term of a patent. Often, the terminal disclaimer is filed in cases where at least one claim of a pending application would have been obvious in light of at least one claim in an earlier-filed patent, (or non-statutory obviousness-type double patenting rejection).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Immuno-Oncology</w:t>
      </w:r>
    </w:p>
    <w:p>
      <w:pPr>
        <w:spacing w:after="0" w:line="202"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On April 19, 2022, we announced the formation of a wholly owned subsidiary, OnkosXcel to develop potentially transformative medicines in oncology. OnkosXcel uses proprietary AI capabilities to drive the capital-efficient development of innovative anti-cancer therapeutics. On March 14, 2023, we announced that OnkosXcel had confidentially submitted a draft registration statement on Form S-1 with the SEC relating to the proposed initial public offering of its common stock following its conversion into a corporation. The Company is continuing to evaluate strategic options for OnkosXcel. With the Company’s Reprioritization announcement on August 14, 2023, further work on the immuno-oncology programs described below have generally been paused, except as noted below.</w:t>
      </w:r>
    </w:p>
    <w:p>
      <w:pPr>
        <w:spacing w:after="0" w:line="148" w:lineRule="exact"/>
        <w:rPr>
          <w:sz w:val="20"/>
          <w:szCs w:val="20"/>
          <w:color w:val="auto"/>
        </w:rPr>
      </w:pPr>
    </w:p>
    <w:p>
      <w:pPr>
        <w:ind w:left="60" w:right="159" w:firstLine="324"/>
        <w:spacing w:after="0" w:line="242" w:lineRule="auto"/>
        <w:rPr>
          <w:sz w:val="20"/>
          <w:szCs w:val="20"/>
          <w:color w:val="auto"/>
        </w:rPr>
      </w:pPr>
      <w:r>
        <w:rPr>
          <w:rFonts w:ascii="Times New Roman" w:cs="Times New Roman" w:eastAsia="Times New Roman" w:hAnsi="Times New Roman"/>
          <w:sz w:val="18"/>
          <w:szCs w:val="18"/>
          <w:color w:val="auto"/>
        </w:rPr>
        <w:t>Our approach to drug discovery leverages the application and methodology of our proprietary AI-based research and development platform, complemented by EvolverAI, utilized in the successful development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with the aim of efficiently identifying and developing immuno-oncology product candidates. We believe that BXCL701 reflects the potential of this discovery approach in immuno-oncology. BXCL701 is an investigational, oral innate immune activator which demonstrated a 25% composite response rate in a Phase 2a clinical trial to treat patients with small cell neuroendocrine carcinoma (“SCNC”) phenotype metastatic castration-resistant prostate cancer (“mCRPC”). On February 12, 2024, the Company announced that the FDA has designated as a Fast Track development program the investigation of BXCL701 in combination with a checkpoint inhibitor for the treatment of patients with metastatic SCNC with progression on chemotherapy and no evidence of microsatellite instability. We have finalized a potential registrational trial design in mCRPC patients with SCNC phenotype, however in light of our Clinical Prioritization, we have not met with the FDA to discuss this, nor plan at the current time to initiate this trial.</w:t>
      </w:r>
    </w:p>
    <w:p>
      <w:pPr>
        <w:spacing w:after="0" w:line="163"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mCRPC is often characterized as a “cold” tumor, which is a tumor with an immunosuppressive tumor microenvironment (“TME”) and poor immune cell infiltration. Currently approved checkpoint inhibitors (“CPIs”) that target programmed cell death 1 (“PD-1”) or cytotoxic T-lymphocyte-associated protein 4 (“CTLA-4") have failed to demonstrate meaningful single-agent activity against such difficult-to-treat tumor types, including mCRPC. BXCL701 is designed to promote an immune-induced inflammatory response in the TME primarily via inhibition of dipeptidyl peptidases (“DPP”) 8 and 9, which we believe can provide enhanced CPIs therapeutic utility. We believe BXCL701 can potentially provide significant benefits for the approximately 20% of the estimated 299,010 men who will be diagnosed with prostate cancer in the U.S. in 2024 and are expected to progress to the more aggressive mCRPC form of the disease, including approximately 20%, or 11,960, of those patients who will develop the SCNC phenotype, for which there are currently limited treatment options. Immune checkpoints represent a myriad of inhibitory pathways that act to regulate the duration and intensity of an antigen-induced immune response and factor prominently in mediating immune tolerance. They function as critical gatekeepers that prevent the indiscriminate attack of normal host cells by components of the immune system. Certain cancers co-opt these pathways and overexpress immune checkpoint molecules to camouflage themselves to avoid detection and destruction. CPIs, designed to harness the intrinsic power resident in the immune system, work by disabling the suppressive function of immune checkpoints, allowing the immune system to bypass such cancers’ shield of immune tolerance. CPIs are expected to generate sales of more than $50 billion worldwide by 2025, up from sales of approximately $29 billion in 2020. While CPIs have proven to be a significant advancement in cancer therapy, those currently approved by the FDA do not produce meaningful results in 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majority of patients, as the clinical benefit is generally viewed to be limited to between 13% and 30% of cancer patients, and the duration of response is relatively short.</w:t>
      </w:r>
    </w:p>
    <w:p>
      <w:pPr>
        <w:spacing w:after="0" w:line="135" w:lineRule="exact"/>
        <w:rPr>
          <w:sz w:val="20"/>
          <w:szCs w:val="20"/>
          <w:color w:val="auto"/>
        </w:rPr>
      </w:pPr>
    </w:p>
    <w:p>
      <w:pPr>
        <w:ind w:left="60" w:right="279" w:firstLine="324"/>
        <w:spacing w:after="0" w:line="256" w:lineRule="auto"/>
        <w:rPr>
          <w:sz w:val="20"/>
          <w:szCs w:val="20"/>
          <w:color w:val="auto"/>
        </w:rPr>
      </w:pPr>
      <w:r>
        <w:rPr>
          <w:rFonts w:ascii="Times New Roman" w:cs="Times New Roman" w:eastAsia="Times New Roman" w:hAnsi="Times New Roman"/>
          <w:sz w:val="18"/>
          <w:szCs w:val="18"/>
          <w:color w:val="auto"/>
        </w:rPr>
        <w:t>We believe the limited efficacy of approved CPIs results primarily from their intervention at later stages of the immune response. As a result, other targets and pathways can be exploited by the tumor to create a TME that can evade the enhanced immunological response enabled by approved CPIs. While numerous agents designed to target the earlier stages of an immune response are in development for use in combination with CPIs, their activity is restricted to a single component of the immune response. In contrast, we have developed BXCL701 to simultaneously address multiple components of the immune response, including:</w:t>
      </w:r>
    </w:p>
    <w:p>
      <w:pPr>
        <w:spacing w:after="0" w:line="145" w:lineRule="exact"/>
        <w:rPr>
          <w:sz w:val="20"/>
          <w:szCs w:val="20"/>
          <w:color w:val="auto"/>
        </w:rPr>
      </w:pPr>
    </w:p>
    <w:p>
      <w:pPr>
        <w:ind w:left="720" w:right="259" w:hanging="319"/>
        <w:spacing w:after="0" w:line="284"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Cancer antigen presentation by dendritic cells</w:t>
      </w:r>
      <w:r>
        <w:rPr>
          <w:rFonts w:ascii="Times New Roman" w:cs="Times New Roman" w:eastAsia="Times New Roman" w:hAnsi="Times New Roman"/>
          <w:sz w:val="18"/>
          <w:szCs w:val="18"/>
          <w:color w:val="auto"/>
        </w:rPr>
        <w:t>: stimulation of dendritic cell trafficking to tumor draining lymph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nodes.</w:t>
      </w:r>
    </w:p>
    <w:p>
      <w:pPr>
        <w:spacing w:after="0" w:line="117" w:lineRule="exact"/>
        <w:rPr>
          <w:rFonts w:ascii="Times New Roman" w:cs="Times New Roman" w:eastAsia="Times New Roman" w:hAnsi="Times New Roman"/>
          <w:sz w:val="18"/>
          <w:szCs w:val="18"/>
          <w:color w:val="auto"/>
        </w:rPr>
      </w:pPr>
    </w:p>
    <w:p>
      <w:pPr>
        <w:ind w:left="720" w:right="299" w:hanging="319"/>
        <w:spacing w:after="0" w:line="284"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Priming and activation of T cells</w:t>
      </w:r>
      <w:r>
        <w:rPr>
          <w:rFonts w:ascii="Times New Roman" w:cs="Times New Roman" w:eastAsia="Times New Roman" w:hAnsi="Times New Roman"/>
          <w:sz w:val="18"/>
          <w:szCs w:val="18"/>
          <w:color w:val="auto"/>
        </w:rPr>
        <w:t>: acceleration of tumor-induced priming of T cells and the formation of potent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cytotoxic T lymphocytes (“CTLs”).</w:t>
      </w:r>
    </w:p>
    <w:p>
      <w:pPr>
        <w:spacing w:after="0" w:line="131" w:lineRule="exact"/>
        <w:rPr>
          <w:rFonts w:ascii="Times New Roman" w:cs="Times New Roman" w:eastAsia="Times New Roman" w:hAnsi="Times New Roman"/>
          <w:sz w:val="18"/>
          <w:szCs w:val="18"/>
          <w:color w:val="auto"/>
        </w:rPr>
      </w:pPr>
    </w:p>
    <w:p>
      <w:pPr>
        <w:ind w:left="720" w:right="299" w:hanging="319"/>
        <w:spacing w:after="0" w:line="284"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Infiltration of immune cells into the tumor</w:t>
      </w:r>
      <w:r>
        <w:rPr>
          <w:rFonts w:ascii="Times New Roman" w:cs="Times New Roman" w:eastAsia="Times New Roman" w:hAnsi="Times New Roman"/>
          <w:sz w:val="18"/>
          <w:szCs w:val="18"/>
          <w:color w:val="auto"/>
        </w:rPr>
        <w:t>: stimulation of release of chemokines that attract effector T cells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block regulatory T cells, and also induce NK cell and neutrophil migration.</w:t>
      </w:r>
    </w:p>
    <w:p>
      <w:pPr>
        <w:spacing w:after="0" w:line="117" w:lineRule="exact"/>
        <w:rPr>
          <w:rFonts w:ascii="Times New Roman" w:cs="Times New Roman" w:eastAsia="Times New Roman" w:hAnsi="Times New Roman"/>
          <w:sz w:val="18"/>
          <w:szCs w:val="18"/>
          <w:color w:val="auto"/>
        </w:rPr>
      </w:pPr>
    </w:p>
    <w:p>
      <w:pPr>
        <w:ind w:left="720" w:right="579" w:hanging="319"/>
        <w:spacing w:after="0" w:line="284"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Killing of tumor cells</w:t>
      </w:r>
      <w:r>
        <w:rPr>
          <w:rFonts w:ascii="Times New Roman" w:cs="Times New Roman" w:eastAsia="Times New Roman" w:hAnsi="Times New Roman"/>
          <w:sz w:val="18"/>
          <w:szCs w:val="18"/>
          <w:color w:val="auto"/>
        </w:rPr>
        <w:t>: induction of formation of CTLs and NK cells expressing tumor-killing perforins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granzymes, as well as the formation of memory T cells that can selectively kill returning tumor cells.</w:t>
      </w:r>
    </w:p>
    <w:p>
      <w:pPr>
        <w:spacing w:after="0" w:line="120"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Accordingly, we believe BXCL701 may have utility in stimulating increased activation, proliferation, and infiltration of tumor cells by immune effector cells, enabling its potential application in combination with currently approved CPIs, across a range of solid tumors and hematological malignancies, to potentially:</w:t>
      </w:r>
    </w:p>
    <w:p>
      <w:pPr>
        <w:spacing w:after="0" w:line="147" w:lineRule="exact"/>
        <w:rPr>
          <w:sz w:val="20"/>
          <w:szCs w:val="20"/>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Convert immunological cold tumors into ones sensitive to CPIs;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Enhance hot tumors’ response rate and depth of response to CPIs;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Restore CPI sensitivity to tumors that were previously responsive.</w:t>
      </w:r>
    </w:p>
    <w:p>
      <w:pPr>
        <w:spacing w:after="0" w:line="200"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Central to our drug discovery initiatives are proprietary, AI-driven platform technologies we employ to identify novel therapeutic uses for approved therapeutics and candidates in clinical evaluation. The first and most advanced of our AI-driven discovery programs is our innate immune modulation program, which supported the pursuit of BXCL701 as a development candidate. We believe the application of this program provides us actionable insights into the inflammasome, a component of the innate immune system responsible for activation of the inflammatory response.</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Our Immuno-Oncology Programs</w:t>
      </w:r>
    </w:p>
    <w:p>
      <w:pPr>
        <w:spacing w:after="0" w:line="189" w:lineRule="exact"/>
        <w:rPr>
          <w:sz w:val="20"/>
          <w:szCs w:val="20"/>
          <w:color w:val="auto"/>
        </w:rPr>
      </w:pPr>
    </w:p>
    <w:p>
      <w:pPr>
        <w:ind w:left="60" w:right="259" w:firstLine="324"/>
        <w:spacing w:after="0" w:line="258" w:lineRule="auto"/>
        <w:rPr>
          <w:sz w:val="20"/>
          <w:szCs w:val="20"/>
          <w:color w:val="auto"/>
        </w:rPr>
      </w:pPr>
      <w:r>
        <w:rPr>
          <w:rFonts w:ascii="Times New Roman" w:cs="Times New Roman" w:eastAsia="Times New Roman" w:hAnsi="Times New Roman"/>
          <w:sz w:val="18"/>
          <w:szCs w:val="18"/>
          <w:color w:val="auto"/>
        </w:rPr>
        <w:t>Below is a summary of the status of our immuno-oncology clinical development programs as of the date of this Quarterly Report on Form 10-Q. We believe our product candidates, if successfully developed and approved, have the potential to become compelling treatment options for their respective indications. With our Strategic Reprioritization announcement on August 14, 2023, further work on our immuno-oncology program has been paused, other than as noted below.</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694690</wp:posOffset>
            </wp:positionV>
            <wp:extent cx="5503545" cy="24003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0354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Immuno-Oncology Clinical Trials</w:t>
      </w:r>
    </w:p>
    <w:p>
      <w:pPr>
        <w:spacing w:after="0" w:line="202"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Leveraging the insights enabled by the application and methodology of our proprietary AI-based platform complemented by EvolverAI, which was used to identify novel therapeutic uses for our approved therapeutics and product candidates in clinical evaluation, and our industry expertise, we are pursuing two proprietary discovery programs to advance our goal of developing anti-cancer therapeutics. The first program, which encompasses BXCL701 across a range of indications, is based on the application of innate immune modulation technology. This program has been constructed to embrace key distinguishing characteristics of the innate immune system and we believe it is supported by our development efforts. This approach has driven the development of BXCL701, which we are currently evaluating in a Phase 1b/2a clinical proof-of-concept trial as a potential treatment for mCRPC with either SCNC or adenocarcinoma phenotype. Fundamental to the innate immune modulation program is BXCL701’s potential to:</w:t>
      </w:r>
    </w:p>
    <w:p>
      <w:pPr>
        <w:spacing w:after="0" w:line="148" w:lineRule="exact"/>
        <w:rPr>
          <w:sz w:val="20"/>
          <w:szCs w:val="20"/>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cold tumors into ones sensitive to CPIs;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hot tumors’ response rate and depth of response to CPIs; and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Restore CPI sensitivity to tumors which had previously been responsive.</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BXCL701 Innate Immune Activator</w:t>
      </w:r>
    </w:p>
    <w:p>
      <w:pPr>
        <w:spacing w:after="0" w:line="189"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BXCL701 is an oral small molecule inhibitor of a class of enzymes called DPPs, specifically DPP8/9 and DPP4. Inhibition of DPP8/9 initiates activation of the inflammasome and ultimately activation of the innate immune system. Key characteristics of BXCL701 include:</w:t>
      </w:r>
    </w:p>
    <w:p>
      <w:pPr>
        <w:spacing w:after="0" w:line="149" w:lineRule="exact"/>
        <w:rPr>
          <w:sz w:val="20"/>
          <w:szCs w:val="20"/>
          <w:color w:val="auto"/>
        </w:rPr>
      </w:pPr>
    </w:p>
    <w:p>
      <w:pPr>
        <w:ind w:left="720" w:right="41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Orally bioavailable, potentially sole inhibitor of both DPP8/9 and DPP4, key regulators of the inflammasome directed innate immune response, currently in clinical development for cancer.</w:t>
      </w:r>
    </w:p>
    <w:p>
      <w:pPr>
        <w:spacing w:after="0" w:line="121" w:lineRule="exact"/>
        <w:rPr>
          <w:rFonts w:ascii="Times New Roman" w:cs="Times New Roman" w:eastAsia="Times New Roman" w:hAnsi="Times New Roman"/>
          <w:sz w:val="18"/>
          <w:szCs w:val="18"/>
          <w:color w:val="auto"/>
        </w:rPr>
      </w:pPr>
    </w:p>
    <w:p>
      <w:pPr>
        <w:ind w:left="720" w:right="379" w:hanging="319"/>
        <w:spacing w:after="0" w:line="266"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Novel proposed mechanism of action may complement CPIs activity, enabling therapeutic access to immunologically cold tumors as well as other difficult-to-treat cancers, including relapsed or refractory tumor types.</w:t>
      </w:r>
    </w:p>
    <w:p>
      <w:pPr>
        <w:spacing w:after="0" w:line="135" w:lineRule="exact"/>
        <w:rPr>
          <w:rFonts w:ascii="Times New Roman" w:cs="Times New Roman" w:eastAsia="Times New Roman" w:hAnsi="Times New Roman"/>
          <w:sz w:val="18"/>
          <w:szCs w:val="18"/>
          <w:color w:val="auto"/>
        </w:rPr>
      </w:pPr>
    </w:p>
    <w:p>
      <w:pPr>
        <w:ind w:left="720" w:right="43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clinical proof-of-concept achieved in treating mCRPC patients with either adenocarcinoma or SCNC phenotype.</w:t>
      </w:r>
    </w:p>
    <w:p>
      <w:pPr>
        <w:spacing w:after="0" w:line="135"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The initial focus on mCRPC with SCNC phenotype is designed to provide for a more efficient clinical development pathway than current industry standards.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BXCL701 as a Potential Treatment for mCRPC</w:t>
      </w:r>
    </w:p>
    <w:p>
      <w:pPr>
        <w:spacing w:after="0" w:line="202" w:lineRule="exact"/>
        <w:rPr>
          <w:sz w:val="20"/>
          <w:szCs w:val="20"/>
          <w:color w:val="auto"/>
        </w:rPr>
      </w:pPr>
    </w:p>
    <w:p>
      <w:pPr>
        <w:ind w:left="60" w:right="499" w:firstLine="324"/>
        <w:spacing w:after="0" w:line="261" w:lineRule="auto"/>
        <w:rPr>
          <w:sz w:val="20"/>
          <w:szCs w:val="20"/>
          <w:color w:val="auto"/>
        </w:rPr>
      </w:pPr>
      <w:r>
        <w:rPr>
          <w:rFonts w:ascii="Times New Roman" w:cs="Times New Roman" w:eastAsia="Times New Roman" w:hAnsi="Times New Roman"/>
          <w:sz w:val="18"/>
          <w:szCs w:val="18"/>
          <w:color w:val="auto"/>
        </w:rPr>
        <w:t>We believe BXCL701 may have utility in stimulating increased activation, proliferation, and infiltration of tumor cells by immune effector cells, enabling its potential use in combination with currently approved CPIs to treat cold tumors, such as mCRPC. We elected to pursue mCRPC as an indication for BXCL701 due to its enrichment for DPP mutations, which are especially prevalent in tumors with SCNC phenotype.</w:t>
      </w:r>
    </w:p>
    <w:p>
      <w:pPr>
        <w:spacing w:after="0" w:line="139"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BXCL701 is being evaluated in a Phase 1b/2a clinical proof-of-concept trial that we are sponsoring to investigate its potential efficacy when used in combination with pembrolizumab. Enrollment in this trial is complete.</w:t>
      </w:r>
    </w:p>
    <w:p>
      <w:pPr>
        <w:spacing w:after="0" w:line="121" w:lineRule="exact"/>
        <w:rPr>
          <w:sz w:val="20"/>
          <w:szCs w:val="20"/>
          <w:color w:val="auto"/>
        </w:rPr>
      </w:pPr>
    </w:p>
    <w:p>
      <w:pPr>
        <w:ind w:left="60" w:right="159" w:firstLine="324"/>
        <w:spacing w:after="0" w:line="239" w:lineRule="auto"/>
        <w:rPr>
          <w:sz w:val="20"/>
          <w:szCs w:val="20"/>
          <w:color w:val="auto"/>
        </w:rPr>
      </w:pPr>
      <w:r>
        <w:rPr>
          <w:rFonts w:ascii="Times New Roman" w:cs="Times New Roman" w:eastAsia="Times New Roman" w:hAnsi="Times New Roman"/>
          <w:sz w:val="18"/>
          <w:szCs w:val="18"/>
          <w:color w:val="auto"/>
        </w:rPr>
        <w:t>We received initial comments from the FDA on our proposed clinical development plan, and received feedback regarding dose-optimization for use in future studies. However, the start of any such additional trial is paused following the Company’s Reprioritization. The Phase 1b portion of our Phase 1b/2 clinical trial was a dose escalation safety lead-in which employed a standard 3 x 3 trial design to determine the recommended Phase 2 dose (“RP2D”). During each 21-day treatment cycle, 200 mg of pembrolizumab were administered intravenously on day one, with BXCL701 taken twice daily on days one through 14, for a minimum of two cycles. The results of this Phase 1b trial, which were presented at The Society for Immunotherapy of Cancer’s 35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Anniversary Annual Meeting, allowed us to identify 0.3 mg, taken twice daily, as the RP2D.</w:t>
      </w:r>
    </w:p>
    <w:p>
      <w:pPr>
        <w:spacing w:after="0" w:line="203"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The Phase 2a portion of the trial was segregated into two 28-patient trial cohorts, one cohort consisting of mCRPC patients with SCNC phenotype and a second cohort consisting of mCRPC patients with adenocarcinoma phenotype. Initially, we focused on mCRPC with SCNC phenotype as the primary patient population for BXCL701, since DPP9 is amplified in approximately 17% of treatment-emergent mCRPC with SCNC phenotype, compared to 5% or less in the broader prostate cancer population. However, we also observed responses in mCRPC patients with adenocarcinoma phenotype who were microsatellite stable in the Phase 1b portion of the trial. On this basis, we widened our Phase 2a trial to include relapsed mCRPC patients with either SCNC or adenocarcinoma phenotype. Both cohorts employed a Simon two-stage trial design of 15 trial participants followed by 13 additional patients. The primary endpoint of the Phase 2a portion of this trial was a composite response rate, determined as either a RECIST 1.1 response (defined as a reduction in RECIST score of 30% or more), and/or a reduction in prostate specific antigen (“PSA”) level of 50% or more, and/or a conversion in circulating tumor cells (“CTCs”) from 5 or more CTCs/7.5 milliliter (“ml”) to less than 5 CTCs/7.5 ml. Secondary endpoints included duration of response, progression-free survival, overall survival, changes in circulating cytokines, and certain disease-specific biomarkers.</w:t>
      </w:r>
    </w:p>
    <w:p>
      <w:pPr>
        <w:spacing w:after="0" w:line="160"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We believe the results observed in the Phase 2a trial of BXCL701 administered in combination with pembrolizumab support further development.</w:t>
      </w:r>
    </w:p>
    <w:p>
      <w:pPr>
        <w:spacing w:after="0" w:line="121" w:lineRule="exact"/>
        <w:rPr>
          <w:sz w:val="20"/>
          <w:szCs w:val="20"/>
          <w:color w:val="auto"/>
        </w:rPr>
      </w:pPr>
    </w:p>
    <w:p>
      <w:pPr>
        <w:ind w:left="60" w:right="179" w:firstLine="324"/>
        <w:spacing w:after="0" w:line="238" w:lineRule="auto"/>
        <w:rPr>
          <w:sz w:val="20"/>
          <w:szCs w:val="20"/>
          <w:color w:val="auto"/>
        </w:rPr>
      </w:pPr>
      <w:r>
        <w:rPr>
          <w:rFonts w:ascii="Times New Roman" w:cs="Times New Roman" w:eastAsia="Times New Roman" w:hAnsi="Times New Roman"/>
          <w:sz w:val="18"/>
          <w:szCs w:val="18"/>
          <w:color w:val="auto"/>
        </w:rPr>
        <w:t>We were particularly encouraged by the results observed in the cohort consisting of mCRPC patients with SCNC phenotype. Updated Phase 2a results for the SCNC cohort were presented at the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Annual Prostate Cancer Foundation Scientific Retreat (PCF 2023). BXCL701 in combination with pembrolizumab demonstrated a 25% (seven out of 28 evaluable patients) composite response rate in mCRPC patients with SCNC phenotype, for whom there is no standard of care. As of a data cutoff of September 6, 2023, five of these responders were RECIST 1.1 responders (four confirmed responses and one unconfirmed response) with decreases in tumor size ranging from -45% to -67% and a median duration of response of 7.6 months.</w:t>
      </w:r>
    </w:p>
    <w:p>
      <w:pPr>
        <w:spacing w:after="0" w:line="200"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As of the cutoff date of December 19, 2022, AEs consistent with cytokine activation, including fever, nausea, chills, fatigue, headache, and dizziness were observed during the trial and were generally mild to moderate. SAEs experienced by six trial participants - one patient hospitalized with Grade 1 orthostatic hypotension, one patient hospitalized with Grade 3 hypotension and acute kidney injury (“AKI”), which resolved, one patient with Grade 3 hypothyroidism which resolved, one patient with Grade 3 colitis, one patient with Grade 3 generalized oedema, and one patient hospitalized with Grade 4/5 tumor lysis syndrome/AKI, which resulted in fatality after the patient voluntarily discontinued dialysis - were reported as related or possibly related to BXCL701 or pembrolizumab, though there was no evidence that BXCL701 potentiated immune-related AEs associated with CPIs.</w:t>
      </w:r>
    </w:p>
    <w:p>
      <w:pPr>
        <w:spacing w:after="0" w:line="151" w:lineRule="exact"/>
        <w:rPr>
          <w:sz w:val="20"/>
          <w:szCs w:val="20"/>
          <w:color w:val="auto"/>
        </w:rPr>
      </w:pPr>
    </w:p>
    <w:p>
      <w:pPr>
        <w:ind w:left="60" w:right="499" w:firstLine="324"/>
        <w:spacing w:after="0" w:line="312" w:lineRule="auto"/>
        <w:rPr>
          <w:sz w:val="20"/>
          <w:szCs w:val="20"/>
          <w:color w:val="auto"/>
        </w:rPr>
      </w:pPr>
      <w:r>
        <w:rPr>
          <w:rFonts w:ascii="Times New Roman" w:cs="Times New Roman" w:eastAsia="Times New Roman" w:hAnsi="Times New Roman"/>
          <w:sz w:val="17"/>
          <w:szCs w:val="17"/>
          <w:color w:val="auto"/>
        </w:rPr>
        <w:t>On October 10, 2023, we reported positive overall survival (OS) results from the Phase 2a portion of the trial in SCNC patients. BXCL701 in combination with pembrolizumab demonstrated a compelling median OS and 12-month</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99"/>
        <w:spacing w:after="0" w:line="282" w:lineRule="auto"/>
        <w:rPr>
          <w:sz w:val="20"/>
          <w:szCs w:val="20"/>
          <w:color w:val="auto"/>
        </w:rPr>
      </w:pPr>
      <w:r>
        <w:rPr>
          <w:rFonts w:ascii="Times New Roman" w:cs="Times New Roman" w:eastAsia="Times New Roman" w:hAnsi="Times New Roman"/>
          <w:sz w:val="18"/>
          <w:szCs w:val="18"/>
          <w:color w:val="auto"/>
        </w:rPr>
        <w:t>survival rate. As of a data cutoff of September 6, 2023, evaluable patients with SCNC (n = 28) showed a median OS of 13.6 months (95% CI 10.9–NR), and a 12-month survival rate of 56.5%.</w:t>
      </w:r>
    </w:p>
    <w:p>
      <w:pPr>
        <w:spacing w:after="0" w:line="135" w:lineRule="exact"/>
        <w:rPr>
          <w:sz w:val="20"/>
          <w:szCs w:val="20"/>
          <w:color w:val="auto"/>
        </w:rPr>
      </w:pPr>
    </w:p>
    <w:p>
      <w:pPr>
        <w:jc w:val="both"/>
        <w:ind w:left="60" w:right="399" w:firstLine="324"/>
        <w:spacing w:after="0" w:line="266" w:lineRule="auto"/>
        <w:rPr>
          <w:sz w:val="20"/>
          <w:szCs w:val="20"/>
          <w:color w:val="auto"/>
        </w:rPr>
      </w:pPr>
      <w:r>
        <w:rPr>
          <w:rFonts w:ascii="Times New Roman" w:cs="Times New Roman" w:eastAsia="Times New Roman" w:hAnsi="Times New Roman"/>
          <w:sz w:val="18"/>
          <w:szCs w:val="18"/>
          <w:color w:val="auto"/>
        </w:rPr>
        <w:t>On February 12, 2024 the Company announced that the FDA designated as a Fast Track development program the investigation of BXCL701 in combination with a checkpoint inhibitor for treatment of patients with metastatic SCNC with progression on chemotherapy and no evidence of microsatellite instability.</w:t>
      </w:r>
    </w:p>
    <w:p>
      <w:pPr>
        <w:spacing w:after="0" w:line="176"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The Phase 2a trial has also been completed for the adenocarcinoma cohort. Updated results for this trial cohort were also presented at PCF 2023. BXCL701 in combination with pembrolizumab demonstrated a 21% (six out of 29 evaluable patients) composite response rate in mCRPC patients with adenocarcinoma phenotype, for whom there are limited treatment options. As of a cutoff date of September 6, 2023, five of these composite responders were RECIST 1.1 responders (four confirmed responses and one unconfirmed response) with decreases in tumor size ranging from -30% to -99% and a median duration of response to 19 months.</w:t>
      </w:r>
    </w:p>
    <w:p>
      <w:pPr>
        <w:spacing w:after="0" w:line="187"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As of the cutoff date of December 19, 2022, the majority of AEs experienced by patients in the adenocarcinoma cohort were low grade. AEs consistent with cytokine activation were observed, including fever, myalgia, nausea, chills, fatigue, dyspnea, headache and dizziness. SAEs experienced by five patients (12%) were reported as possibly related to BXCL701 or pembrolizumab: two reports of hypotension; one report of dizziness; one report of peripheral edema; one report of pyrexia; one report of Myasthenia Gravis; and one report of Cytokine Release Syndrome. Two patients (5%) discontinued therapy due to AEs. There was no evidence that BXCL701 potentiated immune-related AEs related to CPIs. The table below summarizes treatment-related AEs observed in the adenocarcinoma cohort.</w:t>
      </w:r>
    </w:p>
    <w:p>
      <w:pPr>
        <w:spacing w:after="0" w:line="189"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On November 8, 2023, we reported positive OS results from the Phase 2a portion of the trial in patients with adenocarcinoma. As of a data cutoff of September 6, 2023, among evaluable patients with adenocarcinoma (n = 29) BXCL701 in combination with pembrolizumab demonstrated a median OS of 15.5 months (95% CI 9.6–NR), and a 12-month survival rate of 59.3%.</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BXCL701 as a Potential Treatment for Small Cell Lung Cancer (“SCLC”)</w:t>
      </w:r>
    </w:p>
    <w:p>
      <w:pPr>
        <w:spacing w:after="0" w:line="189" w:lineRule="exact"/>
        <w:rPr>
          <w:sz w:val="20"/>
          <w:szCs w:val="20"/>
          <w:color w:val="auto"/>
        </w:rPr>
      </w:pPr>
    </w:p>
    <w:p>
      <w:pPr>
        <w:jc w:val="both"/>
        <w:ind w:left="60" w:right="579" w:firstLine="324"/>
        <w:spacing w:after="0" w:line="266" w:lineRule="auto"/>
        <w:rPr>
          <w:sz w:val="20"/>
          <w:szCs w:val="20"/>
          <w:color w:val="auto"/>
        </w:rPr>
      </w:pPr>
      <w:r>
        <w:rPr>
          <w:rFonts w:ascii="Times New Roman" w:cs="Times New Roman" w:eastAsia="Times New Roman" w:hAnsi="Times New Roman"/>
          <w:sz w:val="18"/>
          <w:szCs w:val="18"/>
          <w:color w:val="auto"/>
        </w:rPr>
        <w:t>The American Cancer Society estimates that in 2024, about 35,187 cases of SCLC will be diagnosed in the U.S. Approximately 60-70% of these patients present with extensive disease, and first-line therapy for a majority of these patients involves the combination of a CPI with platinum-based chemotherapy or etoposide.</w:t>
      </w:r>
    </w:p>
    <w:p>
      <w:pPr>
        <w:spacing w:after="0" w:line="149"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We are encouraged by the therapeutic potential of BXCL701 for SCLC given the activity it has demonstrated in the ongoing SCNC clinical trial. We are considering conducting a potential Phase 1b/2 dose-escalation safety lead-in study in effort to establish a RP2D with atezolizumab. However, the start of any pre-clinical work supporting such trial is paused following the Reprioritization.</w:t>
      </w:r>
    </w:p>
    <w:p>
      <w:pPr>
        <w:spacing w:after="0" w:line="3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BXCL701 as a Potential Treatment for Other Cancers</w:t>
      </w:r>
    </w:p>
    <w:p>
      <w:pPr>
        <w:spacing w:after="0" w:line="189" w:lineRule="exact"/>
        <w:rPr>
          <w:sz w:val="20"/>
          <w:szCs w:val="20"/>
          <w:color w:val="auto"/>
        </w:rPr>
      </w:pPr>
    </w:p>
    <w:p>
      <w:pPr>
        <w:ind w:left="60" w:right="199" w:firstLine="324"/>
        <w:spacing w:after="0" w:line="269" w:lineRule="auto"/>
        <w:rPr>
          <w:sz w:val="20"/>
          <w:szCs w:val="20"/>
          <w:color w:val="auto"/>
        </w:rPr>
      </w:pPr>
      <w:r>
        <w:rPr>
          <w:rFonts w:ascii="Times New Roman" w:cs="Times New Roman" w:eastAsia="Times New Roman" w:hAnsi="Times New Roman"/>
          <w:sz w:val="17"/>
          <w:szCs w:val="17"/>
          <w:color w:val="auto"/>
        </w:rPr>
        <w:t>In addition to its potential use in combination with CPIs to treat mCRPC, an immunologically cold tumor, we are developing BXCL701 as a therapeutic for pancreatic cancer, and other solid tumors with greater, or “non-cold,” immunological activity that are nonetheless regarded as difficult-to-treat, and hematological malignancies. We believe the synergistic potential of BXCL701 and CPIs, when administered in combination, could increase cancer cell susceptibility to an enhanced immune response, potentially increasing the clinical benefit of CPIs, whose single-agent efficacy in treating these tumor types is generally viewed to be limited to between 13% and 30% of cancer patients and the duration of response to treatment is often short. As such, we envision the potential therapeutic benefit of BXCL701 increasing the sensitivity of cold tumors to CPI therapy, enabling the potential treatment of a range of cancers including pancreatic cancer, breast cancer, colorectal cancer, and ovarian cancer, as well as enhancing the depth of response to CPIs in other cancers. In addition, based on the preclinical observation that BXCL701 showed direct cytotoxic activity against certain leukemic cells, we have initiated clinical development targeting relapsed or refractory acute myeloid leukemia (“AML”).</w:t>
      </w:r>
    </w:p>
    <w:p>
      <w:pPr>
        <w:spacing w:after="0" w:line="3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Pancreatic Cancer</w:t>
      </w:r>
    </w:p>
    <w:p>
      <w:pPr>
        <w:spacing w:after="0" w:line="202" w:lineRule="exact"/>
        <w:rPr>
          <w:sz w:val="20"/>
          <w:szCs w:val="20"/>
          <w:color w:val="auto"/>
        </w:rPr>
      </w:pPr>
    </w:p>
    <w:p>
      <w:pPr>
        <w:ind w:left="60" w:right="139" w:firstLine="324"/>
        <w:spacing w:after="0" w:line="251" w:lineRule="auto"/>
        <w:rPr>
          <w:sz w:val="20"/>
          <w:szCs w:val="20"/>
          <w:color w:val="auto"/>
        </w:rPr>
      </w:pPr>
      <w:r>
        <w:rPr>
          <w:rFonts w:ascii="Times New Roman" w:cs="Times New Roman" w:eastAsia="Times New Roman" w:hAnsi="Times New Roman"/>
          <w:sz w:val="18"/>
          <w:szCs w:val="18"/>
          <w:color w:val="auto"/>
        </w:rPr>
        <w:t>The American Cancer Society estimates that in 2024, approximately 66,440 cases of pancreatic cancer will be diagnosed in the U.S. We are supporting a Phase 2 investigator-sponsored trial (“IST”) sponsored by Georgetown Lombardi Comprehensive Cancer Center (“Georgetown Lombardi”), designed to evaluate the use of BXCL701 along with pembrolizumab to treat pancreatic cancer. Few therapeutic options are available for patients with this disease, which has a five-year survival rate of less than 10%, among the lowest of all cancers. Pancreatic cancer has among the highest levels of overexpression and amplification of DPPs. Preclinical models demonstrated synergy between DPP inhibition with BXCL701 and anti-PD-1 antibody in the pancreatic cancer tumor microenvironment. Based on these preclinical observations, Georgetown Lombardi has initiated a Phase 2 IST to assess the safety of BXCL701 when administered in combination with pembrolizumab (safety lead-in), as well as to estimate the 18-week progression-free survival rate (primary objective of the efficacy phase) in previously treated metastatic pancreatic ductal adenocarcinoma. This trial started in the third quarter of 2023. On February 6, 2024, we announced the completion of patient enrollment in the safety lead-in portion of the trial. As part of the trial’s safety lead-in, the first six patients have been enrolled and will be observed for a six-week safety window period. The trial is then expected to enroll approximately 39 patients in its efficacy phase in a Simon 2-stage single-arm, open-label design (19 patients in stage 1 and 20 patients in stage 2). Patients will be monitored radiographically and by tumor markers for response assessment. Tumor biopsies and blood samples will also be collected over the course of treatment to better understand the potential mechanism of action for the combination. The human proof of concept portion of the trial started in the first half of 2024. On April 24, 2024, we announced that an abstract entitled “Phase II trial of BXCL701 and pembrolizumab in patients with metastatic pancreatic ductal adenocarcinoma (EXPEL-PANC): Preliminary findings,” was selected for presentation at the poster session at the 2024 American Society of Clinical Oncology (ASCO) Annual Meeting that took place in Chicago, Illinois from May 31 to June 4, 2024. Investigators reported that, as of the applicable cutoff date, one patient was progression-free at 18 weeks, three patients showed substantial reductions in serum CA19-9, a tumor marker that may correlate with increased T-cell infiltration, and one patient showed a best response of partial responses, out of six patients that had been treated with the combination.</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Relapsed or Refractory AML</w:t>
      </w:r>
    </w:p>
    <w:p>
      <w:pPr>
        <w:spacing w:after="0" w:line="189"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The American Cancer Society estimates that in 2024, approximately 20,800 new cases of AML will be diagnosed in the U.S. We are supporting a Phase 1b IST sponsored by the Dana-Farber Cancer Institute (“Dana-Farber”) designed to evaluate the use of BXCL701, along with the current standard of care to treat relapsed or refractory AML. We believe that pyroptosis triggered by BXCL701 may provide potent single agent cytotoxicity directed towards AML. We also believe that DPP9 copy number may provide an actionable biomarker, as high copy number has been observed to correlate with BXCL701 toxicity in human AML cell lines. DPP8/9 inhibition has been shown to be cytotoxic to THP-1 cells, monocytic cancer cells cultured from a patient with AML, but not other cell lines, suggesting a specific vulnerability of AML to these inhibitors which we believe can be exploited for therapeutic benefit. Based on these preclinical observations, Dana-Farber has initiated a Phase 1b trial to assess the safety of BXCL701 and to determine the maximum tolerated dose or the RP2D of BXCL701 as a single agent. This trial started in the first quarter of 2023. Subject to successful completion of this Phase 1b trial, we anticipate that Dana-Farber will conduct further studies to determine BXCL701's objective response rate in AML in combination with the standard of care.</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Potential Anti-cancer Programs</w:t>
      </w:r>
    </w:p>
    <w:p>
      <w:pPr>
        <w:spacing w:after="0" w:line="18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We collaborated with the University of Texas MD Anderson Cancer Center in a Phase 2a IST to evaluate the potential efficacy of BXCL701 administered in combination with pembrolizumab in patients with advanced solid cancer. The design of this open label trial included two cohorts and incorporated a two-stage configuration, which allowed for an expansion of patient enrollment to a total of 17 patients in each cohort if a RECIST 1.1 complete response or partial response was observed in at least one of the initial nine patients. The first cohort enrolled patients who previously had not received CPI therapy, with a second cohort consisting of patients that were either refractory to CPI therapy or had relapsed while on CPI therapy, meaning that no further response to CPI treatment is anticipated among patients in the second cohort. Trial participants received 200 mg of pembrolizumab on day 1 of a 21-day cycle, with 0.2 mg of BXCL701 administered twice-daily (“BID”) on days 1 through 7 during the first cycle, the dose increasing to 0.3 mg BID on Days 8 through 14 during the first and the subsequent cycles. Evaluable trial participants were required to receive a minimum of two treatment cycles. A preliminary assessment of BXCL701 dosed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58" w:lineRule="auto"/>
        <w:rPr>
          <w:sz w:val="20"/>
          <w:szCs w:val="20"/>
          <w:color w:val="auto"/>
        </w:rPr>
      </w:pPr>
      <w:r>
        <w:rPr>
          <w:rFonts w:ascii="Times New Roman" w:cs="Times New Roman" w:eastAsia="Times New Roman" w:hAnsi="Times New Roman"/>
          <w:sz w:val="18"/>
          <w:szCs w:val="18"/>
          <w:color w:val="auto"/>
        </w:rPr>
        <w:t>combination with a CPI, as of completion of the first stage, noted responses in one patient in each of the CPI naïve and CPI refractory/relapsed cohorts, including a partial response in CPI-naïve, microsatellite stable endometrial carcinoma, PD-L1 negative (CPS &lt;1) and a partial response in CPI-refractory uveal melanoma. These preliminary results were presented at the 2021 American Society of Clinical Oncology annual meeting (ASCO 2021). Patient enrollment in this trial was completed in the third quarter of 2022.</w:t>
      </w:r>
    </w:p>
    <w:p>
      <w:pPr>
        <w:spacing w:after="0" w:line="156"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We believe BXCL701 may have potential application in breast cancer, as its use in combination with monoclonal antibody therapy generated encouraging in vivo data in a preclinical disease model where enhanced antibody-dependent cellular cytotoxicity was observed.</w:t>
      </w:r>
    </w:p>
    <w:p>
      <w:pPr>
        <w:spacing w:after="0" w:line="135"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The FDA has granted BXCL701 orphan drug designation for the treatment of AML, stage IIb to IV melanoma, pancreatic cancer, and soft tissue sarcoma. As we consider BXCL701’s therapeutic potential for additional indications that represent unmet medical needs, we intend to apply for additional orphan drug designations for BXCL701.</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Biomarker Development Initiatives Intended to Complement BXCL701 Administration</w:t>
      </w:r>
    </w:p>
    <w:p>
      <w:pPr>
        <w:spacing w:after="0" w:line="202" w:lineRule="exact"/>
        <w:rPr>
          <w:sz w:val="20"/>
          <w:szCs w:val="20"/>
          <w:color w:val="auto"/>
        </w:rPr>
      </w:pPr>
    </w:p>
    <w:p>
      <w:pPr>
        <w:ind w:left="60" w:right="219" w:firstLine="324"/>
        <w:spacing w:after="0" w:line="239" w:lineRule="auto"/>
        <w:rPr>
          <w:sz w:val="20"/>
          <w:szCs w:val="20"/>
          <w:color w:val="auto"/>
        </w:rPr>
      </w:pPr>
      <w:r>
        <w:rPr>
          <w:rFonts w:ascii="Times New Roman" w:cs="Times New Roman" w:eastAsia="Times New Roman" w:hAnsi="Times New Roman"/>
          <w:sz w:val="18"/>
          <w:szCs w:val="18"/>
          <w:color w:val="auto"/>
        </w:rPr>
        <w:t>We are also actively engaged in the identification and development of predictive biomarkers that we believe could be used in conjunction with BXCL701 to predict the likelihood of patient response to therapy across the range of targeted indications. Based on preliminary data from AML patients, we believe DPP9 copy number could correlate to BXCL701 response rate, with a greater likelihood of BXCL701 cytotoxicity in patients with increased DPP9 copy number. We are pursuing its use in our biomarker discovery activities as a potential companion diagnostic. At the Society for Immunotherapy of Cancer’s 38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Annual Meeting (SITC 2023), we presented data from the Phase 2a trial in SCNC patients, which indicated DPP9 overexpression is a potential response-predictive biomarker of BXCL701 and pembrolizumab combination treatment in mCRPC patients with SCNC phenotype.</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Immuno-Oncology Intellectual Property</w:t>
      </w:r>
    </w:p>
    <w:p>
      <w:pPr>
        <w:spacing w:after="0" w:line="189"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As of October 14, 2024, we have multiple patent families filed to protect our immuno-oncology program, including our core patent family directed to methods of using BXCL701 with immune checkpoint inhibitors, which is granted in the U.S., Japan, Australia, Canada, Russia, China, India, Taiwan, South Africa, Mexico, New Zealand, Europe and United Arab Emirates. Additional applications in this family are pending in major markets. Patents issued from this family are expected to expire no earlier than 2036. We have an additional patent issued in the U.S. directed to a method of selecting patients based on a biomarker and methods of treating certain cancers, with an expected expiration date no earlier than 2039. A corresponding European Patent case directed to selecting patients is issued and is expected to expire no earlier than 2039.</w:t>
      </w:r>
    </w:p>
    <w:p>
      <w:pPr>
        <w:spacing w:after="0" w:line="151" w:lineRule="exact"/>
        <w:rPr>
          <w:sz w:val="20"/>
          <w:szCs w:val="20"/>
          <w:color w:val="auto"/>
        </w:rPr>
      </w:pPr>
    </w:p>
    <w:p>
      <w:pPr>
        <w:ind w:left="60" w:right="379" w:firstLine="324"/>
        <w:spacing w:after="0" w:line="258" w:lineRule="auto"/>
        <w:rPr>
          <w:sz w:val="20"/>
          <w:szCs w:val="20"/>
          <w:color w:val="auto"/>
        </w:rPr>
      </w:pPr>
      <w:r>
        <w:rPr>
          <w:rFonts w:ascii="Times New Roman" w:cs="Times New Roman" w:eastAsia="Times New Roman" w:hAnsi="Times New Roman"/>
          <w:sz w:val="18"/>
          <w:szCs w:val="18"/>
          <w:color w:val="auto"/>
        </w:rPr>
        <w:t>Additional applications are directed to administering BXCL701 in combination with various other molecules, biomarkers, and dosing regimens. We also have four PCT applications directed to novel formulations of BXCL701, various dosing regimens, methods of use, combination therapies, and to methods of treating small cell lung cancer. We also have a provisional application directed to biomarkers. We expect that any patents issuing from the PCT and provisional applications will expire no earlier than 2043 to 2044.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02" w:lineRule="exact"/>
        <w:rPr>
          <w:sz w:val="20"/>
          <w:szCs w:val="20"/>
          <w:color w:val="auto"/>
        </w:rPr>
      </w:pPr>
    </w:p>
    <w:p>
      <w:pPr>
        <w:ind w:left="60" w:right="799" w:firstLine="324"/>
        <w:spacing w:after="0" w:line="282" w:lineRule="auto"/>
        <w:rPr>
          <w:sz w:val="20"/>
          <w:szCs w:val="20"/>
          <w:color w:val="auto"/>
        </w:rPr>
      </w:pPr>
      <w:r>
        <w:rPr>
          <w:rFonts w:ascii="Times New Roman" w:cs="Times New Roman" w:eastAsia="Times New Roman" w:hAnsi="Times New Roman"/>
          <w:sz w:val="18"/>
          <w:szCs w:val="18"/>
          <w:color w:val="auto"/>
        </w:rPr>
        <w:t>The Company’s condensed consolidated financial statements are prepared in accordance with U.S. Generally Accepted Accounting Principles.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94" w:lineRule="exact"/>
        <w:rPr>
          <w:sz w:val="20"/>
          <w:szCs w:val="20"/>
          <w:color w:val="auto"/>
        </w:rPr>
      </w:pPr>
    </w:p>
    <w:p>
      <w:pPr>
        <w:jc w:val="both"/>
        <w:ind w:left="60" w:right="279" w:firstLine="324"/>
        <w:spacing w:after="0" w:line="226" w:lineRule="auto"/>
        <w:rPr>
          <w:sz w:val="20"/>
          <w:szCs w:val="20"/>
          <w:color w:val="auto"/>
        </w:rPr>
      </w:pPr>
      <w:r>
        <w:rPr>
          <w:rFonts w:ascii="Times New Roman" w:cs="Times New Roman" w:eastAsia="Times New Roman" w:hAnsi="Times New Roman"/>
          <w:sz w:val="18"/>
          <w:szCs w:val="18"/>
          <w:color w:val="auto"/>
        </w:rPr>
        <w:t>Revenues relate to sales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reflect limited market access since commercial launch in July 2022. The revenues are net of rebates, chargebacks, discounts, and other adjustments. During the fourth quarter of 2022, we began contracting directly with intermediaries such as GPOs.</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02"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Cost of goods sold primarily relates to the costs of producing, packaging, and delivering our product to customers, as well as costs related to excess or obsolete inventory.</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89" w:lineRule="exact"/>
        <w:rPr>
          <w:sz w:val="20"/>
          <w:szCs w:val="20"/>
          <w:color w:val="auto"/>
        </w:rPr>
      </w:pPr>
    </w:p>
    <w:p>
      <w:pPr>
        <w:ind w:left="60" w:right="239" w:firstLine="324"/>
        <w:spacing w:after="0" w:line="254" w:lineRule="auto"/>
        <w:rPr>
          <w:sz w:val="20"/>
          <w:szCs w:val="20"/>
          <w:color w:val="auto"/>
        </w:rPr>
      </w:pPr>
      <w:r>
        <w:rPr>
          <w:rFonts w:ascii="Times New Roman" w:cs="Times New Roman" w:eastAsia="Times New Roman" w:hAnsi="Times New Roman"/>
          <w:sz w:val="18"/>
          <w:szCs w:val="18"/>
          <w:color w:val="auto"/>
        </w:rPr>
        <w:t>Our research and development expenses reflect costs associated with the identification of our preclinical and clinical product candidates. Expenditures primarily consist of salary, benefits and non-cash stock-based compensation for our research and development personnel, costs incurred under agreements with contract research organizations and sites that conduct our non-clinical studies and clinical trials, costs of outside consultants engaged in research and development activities, travel expenses, the cost of acquiring, developing and manufacturing preclinical and clinical trial materials and lab supplies, and depreciation and other expenses. Payments to BioXcel LLC are also included in research and development expenses. Costs associated with third parties that provide non-clinical services such as toxicology, pharmacology, research and discovery, biomarker studies and similar services are included in the professional fees category of research and development expenses.</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expense research and development costs as incurred.</w:t>
      </w:r>
    </w:p>
    <w:p>
      <w:pPr>
        <w:spacing w:after="0" w:line="185"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Our research and development costs by program for the three and nine months ended September 30, 2024 and 2023 were as follows:</w:t>
      </w: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1800" w:type="dxa"/>
            <w:vAlign w:val="bottom"/>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26"/>
        </w:trPr>
        <w:tc>
          <w:tcPr>
            <w:tcW w:w="4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9"/>
                <w:szCs w:val="19"/>
                <w:color w:val="auto"/>
              </w:rPr>
            </w:pPr>
          </w:p>
        </w:tc>
        <w:tc>
          <w:tcPr>
            <w:tcW w:w="1800" w:type="dxa"/>
            <w:vAlign w:val="bottom"/>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23"/>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 external costs</w:t>
            </w:r>
          </w:p>
        </w:tc>
        <w:tc>
          <w:tcPr>
            <w:tcW w:w="2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3"/>
        </w:trPr>
        <w:tc>
          <w:tcPr>
            <w:tcW w:w="46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BXCL501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41,335</w:t>
            </w:r>
          </w:p>
        </w:tc>
        <w:tc>
          <w:tcPr>
            <w:tcW w:w="0" w:type="dxa"/>
            <w:vAlign w:val="bottom"/>
          </w:tcPr>
          <w:p>
            <w:pPr>
              <w:spacing w:after="0"/>
              <w:rPr>
                <w:sz w:val="1"/>
                <w:szCs w:val="1"/>
                <w:color w:val="auto"/>
              </w:rPr>
            </w:pPr>
          </w:p>
        </w:tc>
      </w:tr>
      <w:tr>
        <w:trPr>
          <w:trHeight w:val="216"/>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BXCL701</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research and development programs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0" w:type="dxa"/>
            <w:vAlign w:val="bottom"/>
          </w:tcPr>
          <w:p>
            <w:pPr>
              <w:spacing w:after="0"/>
              <w:rPr>
                <w:sz w:val="1"/>
                <w:szCs w:val="1"/>
                <w:color w:val="auto"/>
              </w:rPr>
            </w:pPr>
          </w:p>
        </w:tc>
      </w:tr>
      <w:tr>
        <w:trPr>
          <w:trHeight w:val="21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direct external costs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12,597</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12,413</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51,118</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 personnel costs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6,179</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10,497</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20,223</w:t>
            </w:r>
          </w:p>
        </w:tc>
        <w:tc>
          <w:tcPr>
            <w:tcW w:w="0" w:type="dxa"/>
            <w:vAlign w:val="bottom"/>
          </w:tcPr>
          <w:p>
            <w:pPr>
              <w:spacing w:after="0"/>
              <w:rPr>
                <w:sz w:val="1"/>
                <w:szCs w:val="1"/>
                <w:color w:val="auto"/>
              </w:rPr>
            </w:pPr>
          </w:p>
        </w:tc>
      </w:tr>
      <w:tr>
        <w:trPr>
          <w:trHeight w:val="210"/>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 direct costs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18,776</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22,910</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71,341</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Indirect costs and overhead</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0" w:type="dxa"/>
            <w:vAlign w:val="bottom"/>
          </w:tcPr>
          <w:p>
            <w:pPr>
              <w:spacing w:after="0"/>
              <w:rPr>
                <w:sz w:val="1"/>
                <w:szCs w:val="1"/>
                <w:color w:val="auto"/>
              </w:rPr>
            </w:pPr>
          </w:p>
        </w:tc>
      </w:tr>
      <w:tr>
        <w:trPr>
          <w:trHeight w:val="209"/>
        </w:trPr>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19,619</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24,534</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74,392</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02"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primarily consist of salaries, benefits and non-cash stock-based compensation for our sales, executive and administrative personnel. Selling, general and administrative expenses also include legal expenses to pursue patent protection of our intellectual property, professional fees for audit and tax services and insurance charges. We may also incur costs to comply with corporate governance, internal controls, investor relations and disclosures and similar requirements applicable to public companies.</w:t>
      </w:r>
    </w:p>
    <w:p>
      <w:pPr>
        <w:spacing w:after="0" w:line="143" w:lineRule="exact"/>
        <w:rPr>
          <w:sz w:val="20"/>
          <w:szCs w:val="20"/>
          <w:color w:val="auto"/>
        </w:rPr>
      </w:pPr>
    </w:p>
    <w:p>
      <w:pPr>
        <w:ind w:left="60" w:right="259" w:firstLine="324"/>
        <w:spacing w:after="0" w:line="230" w:lineRule="auto"/>
        <w:rPr>
          <w:sz w:val="20"/>
          <w:szCs w:val="20"/>
          <w:color w:val="auto"/>
        </w:rPr>
      </w:pPr>
      <w:r>
        <w:rPr>
          <w:rFonts w:ascii="Times New Roman" w:cs="Times New Roman" w:eastAsia="Times New Roman" w:hAnsi="Times New Roman"/>
          <w:sz w:val="18"/>
          <w:szCs w:val="18"/>
          <w:color w:val="auto"/>
        </w:rPr>
        <w:t>As a result of our restructuring activities completed during 2024, we expect that our selling, general and administrative expenses will continue to decline due to the restructured commercialization plan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reduced personnel costs. However, we may also experience increased selling, general and administrative expenses due to higher fees for outside consultants, attorneys, and accountants.</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202" w:lineRule="exact"/>
        <w:rPr>
          <w:sz w:val="20"/>
          <w:szCs w:val="20"/>
          <w:color w:val="auto"/>
        </w:rPr>
      </w:pPr>
    </w:p>
    <w:p>
      <w:pPr>
        <w:ind w:left="60" w:right="379" w:firstLine="324"/>
        <w:spacing w:after="0" w:line="256" w:lineRule="auto"/>
        <w:rPr>
          <w:sz w:val="20"/>
          <w:szCs w:val="20"/>
          <w:color w:val="auto"/>
        </w:rPr>
      </w:pPr>
      <w:r>
        <w:rPr>
          <w:rFonts w:ascii="Times New Roman" w:cs="Times New Roman" w:eastAsia="Times New Roman" w:hAnsi="Times New Roman"/>
          <w:sz w:val="18"/>
          <w:szCs w:val="18"/>
          <w:color w:val="auto"/>
        </w:rPr>
        <w:t>On August 8, 2023, our Board of Directors approved the Reprioritization. We took actions to reduce certain operational and workforce expenses that were no longer deemed core to ongoing operations in order to extend our cash runway and drive innovation and growth in high potential clinical development and value creating opportunities. These actions included a shift in commercial strategy for IGALMI™ in the institutional setting, a reduction of in-hospital commercialization expenses, a suspension of programs no longer determined to be core to ongoing operations, and a prioritization of at-home treatment setting opportunities for BXCL501.</w:t>
      </w:r>
    </w:p>
    <w:p>
      <w:pPr>
        <w:spacing w:after="0" w:line="147"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As part of this strategy, the Company’s Board of Directors approved a reduction of approximately 60% of the Company’s workforce. The Company notified impacted employees on August 14, 2023. Annual operating expenses are expected to be reduced by approximately $80,000.</w:t>
      </w:r>
    </w:p>
    <w:p>
      <w:pPr>
        <w:spacing w:after="0" w:line="135"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As a result of the Reprioritization, the Company recorded restructuring costs of $4,163 for the year ended December 31, 2023. These costs consisted of severance and benefit payments of $4,063 and contract termination costs of $100, which were paid in cash. The Company paid $3,998 of severance and benefit costs and $100 of contract termination costs during the year ended December 31, 2023. As of December 31, 2023, the Reprioritization was substantially completed and the remaining costs were paid during the three months ended March 31, 2024.</w:t>
      </w:r>
    </w:p>
    <w:p>
      <w:pPr>
        <w:spacing w:after="0" w:line="156" w:lineRule="exact"/>
        <w:rPr>
          <w:sz w:val="20"/>
          <w:szCs w:val="20"/>
          <w:color w:val="auto"/>
        </w:rPr>
      </w:pPr>
    </w:p>
    <w:p>
      <w:pPr>
        <w:ind w:left="60" w:right="359" w:firstLine="324"/>
        <w:spacing w:after="0" w:line="258" w:lineRule="auto"/>
        <w:rPr>
          <w:sz w:val="20"/>
          <w:szCs w:val="20"/>
          <w:color w:val="auto"/>
        </w:rPr>
      </w:pPr>
      <w:r>
        <w:rPr>
          <w:rFonts w:ascii="Times New Roman" w:cs="Times New Roman" w:eastAsia="Times New Roman" w:hAnsi="Times New Roman"/>
          <w:sz w:val="18"/>
          <w:szCs w:val="18"/>
          <w:color w:val="auto"/>
        </w:rPr>
        <w:t>On May 8, 2024 the Company took additional actions as part of its continued efforts to preserve cash and prioritize investment in its core clinical programs. As part of these actions, the Company initiated a further reduction of approximately 15% of the Company’s then current workforce. The Company notified impacted employees on May 8, 2024 and recorded total restructuring costs of $856 for the three months ended June 30, 2024. These costs consisted of severance and benefit costs, all of which were paid during the three month period ended June 30, 2024.</w:t>
      </w:r>
    </w:p>
    <w:p>
      <w:pPr>
        <w:spacing w:after="0" w:line="183"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On September 17, 2024, the Company approved a plan for an additional reduction its workforce by 15 employees, or approximately 28% of the Company’s headcount (the “Clinical Prioritization”), in order to extend its cash runway and prioritize investment on the clinical development of its lead neuroscience asset, BXCL501. The Company estimates that it will incur aggregate charges in connection with the Clinical Prioritization of approximately $1,553 which relate primarily to severance and benefits costs. The Company completed the Clinical Prioritization in October 2024, and expects to pay the majority of the related costs during the fourth quarter of 2024</w:t>
      </w:r>
    </w:p>
    <w:p>
      <w:pPr>
        <w:spacing w:after="0" w:line="187"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Management believes that, after giving effect to the Reprioritization and additional restructuring activities completed, the Company’s cash and cash equivalents of $40,837 as of September 30, 2024 will allow the Company to fund its operations and meet its liquidity requirements through the end of 2024.</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18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Other (income) expense primarily consists of interest costs associated with the Credit Agreement the Company entered into in April 2022, changes in fair value of derivative financial instruments, and interest income earned on cash and cash equivalents that were comprised primarily of money market funds. Interest expense may increase in the future as our loans provided under the Credit Agreement are subject to floating interest rates following our December 2023</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amendment to the Credit Agreement and, if we meet required milestones, we may draw down additional funds under the Credit Agreement.</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89" w:lineRule="exact"/>
        <w:rPr>
          <w:sz w:val="20"/>
          <w:szCs w:val="20"/>
          <w:color w:val="auto"/>
        </w:rPr>
      </w:pPr>
    </w:p>
    <w:p>
      <w:pPr>
        <w:ind w:left="60" w:right="559" w:firstLine="324"/>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is set forth in Note 3 to the condensed consolidated financial statements included elsewhere in this Quarterly Report on Form 10-Q.</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ind w:left="380" w:right="3239"/>
        <w:spacing w:after="0" w:line="451" w:lineRule="auto"/>
        <w:rPr>
          <w:sz w:val="20"/>
          <w:szCs w:val="20"/>
          <w:color w:val="auto"/>
        </w:rPr>
      </w:pPr>
      <w:r>
        <w:rPr>
          <w:rFonts w:ascii="Times New Roman" w:cs="Times New Roman" w:eastAsia="Times New Roman" w:hAnsi="Times New Roman"/>
          <w:sz w:val="18"/>
          <w:szCs w:val="18"/>
          <w:b w:val="1"/>
          <w:bCs w:val="1"/>
          <w:color w:val="auto"/>
        </w:rPr>
        <w:t xml:space="preserve">Comparison of the Three Months Ended September 30, 2024 and 2023 </w:t>
      </w:r>
      <w:r>
        <w:rPr>
          <w:rFonts w:ascii="Times New Roman" w:cs="Times New Roman" w:eastAsia="Times New Roman" w:hAnsi="Times New Roman"/>
          <w:sz w:val="18"/>
          <w:szCs w:val="18"/>
          <w:b w:val="1"/>
          <w:bCs w:val="1"/>
          <w:i w:val="1"/>
          <w:iCs w:val="1"/>
          <w:color w:val="auto"/>
        </w:rPr>
        <w:t>Product Revenue, Net</w:t>
      </w:r>
    </w:p>
    <w:p>
      <w:pPr>
        <w:spacing w:after="0" w:line="1" w:lineRule="exact"/>
        <w:rPr>
          <w:sz w:val="20"/>
          <w:szCs w:val="20"/>
          <w:color w:val="auto"/>
        </w:rPr>
      </w:pPr>
    </w:p>
    <w:p>
      <w:pPr>
        <w:ind w:left="60" w:right="159" w:firstLine="324"/>
        <w:spacing w:after="0" w:line="222" w:lineRule="auto"/>
        <w:rPr>
          <w:sz w:val="20"/>
          <w:szCs w:val="20"/>
          <w:color w:val="auto"/>
        </w:rPr>
      </w:pPr>
      <w:r>
        <w:rPr>
          <w:rFonts w:ascii="Times New Roman" w:cs="Times New Roman" w:eastAsia="Times New Roman" w:hAnsi="Times New Roman"/>
          <w:sz w:val="18"/>
          <w:szCs w:val="18"/>
          <w:color w:val="auto"/>
        </w:rPr>
        <w:t>Commercial sales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launched in July 2022. As part of the Company’s Reprioritization, the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commercial team shifted focus to a hospital/contracting strategy with a CAD team. The goal of the realigned CAD team is to work with large IDNs and drive sales utilizing a top-down approach, allowing the Company to continue to make inroads into the institutional market in a more cost-efficient manner.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product revenue, net was $214 and $341 in the three months ended September 30, 2024 and 2023, respectively. The decrease in sales was primarily due to timing of re-orders from exisiting customers.</w:t>
      </w:r>
    </w:p>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89" w:lineRule="exact"/>
        <w:rPr>
          <w:sz w:val="20"/>
          <w:szCs w:val="20"/>
          <w:color w:val="auto"/>
        </w:rPr>
      </w:pPr>
    </w:p>
    <w:p>
      <w:pPr>
        <w:ind w:left="60" w:right="139" w:firstLine="324"/>
        <w:spacing w:after="0" w:line="230" w:lineRule="auto"/>
        <w:rPr>
          <w:sz w:val="20"/>
          <w:szCs w:val="20"/>
          <w:color w:val="auto"/>
        </w:rPr>
      </w:pPr>
      <w:r>
        <w:rPr>
          <w:rFonts w:ascii="Times New Roman" w:cs="Times New Roman" w:eastAsia="Times New Roman" w:hAnsi="Times New Roman"/>
          <w:sz w:val="18"/>
          <w:szCs w:val="18"/>
          <w:color w:val="auto"/>
        </w:rPr>
        <w:t>Cost of goods sold for the three months ended September 30, 2024 and 2023, were $1,170 and $512, respectively. Cost of goods sold is related to the costs to produce, package and deliver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to customers, as well as costs related to excess or obsolete inventory. We entered into a commercial supply agreement with ARx, LLC (“ARx”) pursuant to which ARx has agreed to exclusively manufacture and supply us with all of our worldwide demand of film formulation of Dex to be used for the commercial supply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for ongoing clinical trials of our product candidate BXCL501, subject to certain alternative supply provisions. The increase in Cost of goods sold for the three months ended September 30, 2024 is the result of higher charges for reserves for excess or obsolete inventory compared to the same period in 2023. Charges for reserves for excess or obsolete inventory were $1,157 and $495 in the three months ended September 30, 2024 and 2023, respectively.</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Research and development expenses for the three months ended September 30, 2024 and 2023 were as follows: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(3,309)</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(761)</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(2,025)</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trials expense</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(6,844)</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Chemical, manufacturing and controls cost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(1,327)</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Travel and other costs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(252)</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The overall decrease of $14,518 for the three months ended September 30, 2024 relative to the same period in 2023 was primarily attributable to:</w:t>
      </w:r>
    </w:p>
    <w:p>
      <w:pPr>
        <w:spacing w:after="0" w:line="135" w:lineRule="exact"/>
        <w:rPr>
          <w:sz w:val="20"/>
          <w:szCs w:val="20"/>
          <w:color w:val="auto"/>
        </w:rPr>
      </w:pPr>
    </w:p>
    <w:p>
      <w:pPr>
        <w:jc w:val="both"/>
        <w:ind w:left="720" w:right="319" w:hanging="319"/>
        <w:spacing w:after="0" w:line="312" w:lineRule="auto"/>
        <w:tabs>
          <w:tab w:leader="none" w:pos="7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Decreased clinical trials expense as a result of reduced costs associated with the wind down of the SERENITY III study evaluating BXCL501 for at-home use for the acute treatment of agitation related to schizophrenia and</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519"/>
        <w:spacing w:after="0" w:line="282" w:lineRule="auto"/>
        <w:rPr>
          <w:sz w:val="20"/>
          <w:szCs w:val="20"/>
          <w:color w:val="auto"/>
        </w:rPr>
      </w:pPr>
      <w:r>
        <w:rPr>
          <w:rFonts w:ascii="Times New Roman" w:cs="Times New Roman" w:eastAsia="Times New Roman" w:hAnsi="Times New Roman"/>
          <w:sz w:val="18"/>
          <w:szCs w:val="18"/>
          <w:color w:val="auto"/>
        </w:rPr>
        <w:t>bipolar disorders, as well as the TRANQUILITY II and III study of BXCL501 for the potential treatment of agitation in patients with Alzheimer’s disease.</w:t>
      </w:r>
    </w:p>
    <w:p>
      <w:pPr>
        <w:spacing w:after="0" w:line="135" w:lineRule="exact"/>
        <w:rPr>
          <w:sz w:val="20"/>
          <w:szCs w:val="20"/>
          <w:color w:val="auto"/>
        </w:rPr>
      </w:pPr>
    </w:p>
    <w:p>
      <w:pPr>
        <w:ind w:left="720" w:right="519" w:hanging="319"/>
        <w:spacing w:after="0" w:line="282"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professional fees due to lower pharmacology costs, research and discovery costs, toxicology, and consulting costs.</w:t>
      </w:r>
    </w:p>
    <w:p>
      <w:pPr>
        <w:spacing w:after="0" w:line="121" w:lineRule="exact"/>
        <w:rPr>
          <w:rFonts w:ascii="Times New Roman" w:cs="Times New Roman" w:eastAsia="Times New Roman" w:hAnsi="Times New Roman"/>
          <w:sz w:val="18"/>
          <w:szCs w:val="18"/>
          <w:color w:val="auto"/>
        </w:rPr>
      </w:pPr>
    </w:p>
    <w:p>
      <w:pPr>
        <w:ind w:left="720" w:right="139" w:hanging="319"/>
        <w:spacing w:after="0" w:line="282"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personnel and related costs as a result of our Reprioritization and the further reduction in force in May 2024.</w:t>
      </w:r>
    </w:p>
    <w:p>
      <w:pPr>
        <w:spacing w:after="0" w:line="121" w:lineRule="exact"/>
        <w:rPr>
          <w:rFonts w:ascii="Times New Roman" w:cs="Times New Roman" w:eastAsia="Times New Roman" w:hAnsi="Times New Roman"/>
          <w:sz w:val="18"/>
          <w:szCs w:val="18"/>
          <w:color w:val="auto"/>
        </w:rPr>
      </w:pPr>
    </w:p>
    <w:p>
      <w:pPr>
        <w:ind w:left="720" w:right="139" w:hanging="319"/>
        <w:spacing w:after="0" w:line="266"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chemistry, manufacturing and controls (“CMC”) costs associated with producing materials for our clinical trials of BXCL501 and BXCL701 for the treatment of prostate and lung cancers due to decreased clinical trial activities.</w:t>
      </w:r>
    </w:p>
    <w:p>
      <w:pPr>
        <w:spacing w:after="0" w:line="141" w:lineRule="exact"/>
        <w:rPr>
          <w:sz w:val="20"/>
          <w:szCs w:val="20"/>
          <w:color w:val="auto"/>
        </w:rPr>
      </w:pPr>
    </w:p>
    <w:p>
      <w:pPr>
        <w:ind w:left="60" w:right="159" w:firstLine="324"/>
        <w:spacing w:after="0" w:line="217" w:lineRule="auto"/>
        <w:rPr>
          <w:sz w:val="20"/>
          <w:szCs w:val="20"/>
          <w:color w:val="auto"/>
        </w:rPr>
      </w:pPr>
      <w:r>
        <w:rPr>
          <w:rFonts w:ascii="Times New Roman" w:cs="Times New Roman" w:eastAsia="Times New Roman" w:hAnsi="Times New Roman"/>
          <w:sz w:val="18"/>
          <w:szCs w:val="18"/>
          <w:color w:val="auto"/>
        </w:rPr>
        <w:t>Following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’s approval by the FDA, we capitalize costs related to commercial production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as inventory and expense those CMC costs related to clinical trials.</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189" w:lineRule="exact"/>
        <w:rPr>
          <w:sz w:val="20"/>
          <w:szCs w:val="20"/>
          <w:color w:val="auto"/>
        </w:rPr>
      </w:pPr>
    </w:p>
    <w:p>
      <w:pPr>
        <w:ind w:left="60" w:right="679" w:firstLine="324"/>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September 30, 2024 and 2023 were as follows: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(6,843)</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(1,388)</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(4,901)</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marketing</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(2,710)</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Travel and other costs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(826)</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The overall decrease of $16,661 for the three months ended September 30, 2024, relative to the same period in 2023 was primarily attributable to:</w:t>
      </w:r>
    </w:p>
    <w:p>
      <w:pPr>
        <w:spacing w:after="0" w:line="121" w:lineRule="exact"/>
        <w:rPr>
          <w:sz w:val="20"/>
          <w:szCs w:val="20"/>
          <w:color w:val="auto"/>
        </w:rPr>
      </w:pPr>
    </w:p>
    <w:p>
      <w:pPr>
        <w:ind w:left="720" w:right="15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personnel and related costs as a result of the Reprioritization and the further reduction in force in May 2024.</w:t>
      </w:r>
    </w:p>
    <w:p>
      <w:pPr>
        <w:spacing w:after="0" w:line="134"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professional fees as a result of lower legal costs and the write-off of the OnkosXcel deferred IPO costs in 2023.</w:t>
      </w:r>
    </w:p>
    <w:p>
      <w:pPr>
        <w:spacing w:after="0" w:line="121" w:lineRule="exact"/>
        <w:rPr>
          <w:rFonts w:ascii="Times New Roman" w:cs="Times New Roman" w:eastAsia="Times New Roman" w:hAnsi="Times New Roman"/>
          <w:sz w:val="18"/>
          <w:szCs w:val="18"/>
          <w:color w:val="auto"/>
        </w:rPr>
      </w:pPr>
    </w:p>
    <w:p>
      <w:pPr>
        <w:ind w:left="720" w:right="299" w:hanging="319"/>
        <w:spacing w:after="0" w:line="285"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commercial and marketing expense as result of higher spending in 2023 related to media, marketing and data and business analytics costs associated with commercialization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w:t>
      </w:r>
    </w:p>
    <w:p>
      <w:pPr>
        <w:spacing w:after="0" w:line="6" w:lineRule="exact"/>
        <w:rPr>
          <w:rFonts w:ascii="Times New Roman" w:cs="Times New Roman" w:eastAsia="Times New Roman" w:hAnsi="Times New Roman"/>
          <w:sz w:val="18"/>
          <w:szCs w:val="18"/>
          <w:color w:val="auto"/>
        </w:rPr>
      </w:pPr>
    </w:p>
    <w:p>
      <w:pPr>
        <w:ind w:left="720" w:right="47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travel and other costs as a result of the commercial launch activities that occurred in 2023 and the Reprioritization impact on 2024.</w:t>
      </w:r>
    </w:p>
    <w:p>
      <w:pPr>
        <w:spacing w:after="0" w:line="134" w:lineRule="exact"/>
        <w:rPr>
          <w:rFonts w:ascii="Times New Roman" w:cs="Times New Roman" w:eastAsia="Times New Roman" w:hAnsi="Times New Roman"/>
          <w:sz w:val="18"/>
          <w:szCs w:val="18"/>
          <w:color w:val="auto"/>
        </w:rPr>
      </w:pPr>
    </w:p>
    <w:p>
      <w:pPr>
        <w:ind w:left="720" w:right="43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non-cash stock based compensation costs as a result of the Reprioritization and other restructuring actions.</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202" w:lineRule="exact"/>
        <w:rPr>
          <w:sz w:val="20"/>
          <w:szCs w:val="20"/>
          <w:color w:val="auto"/>
        </w:rPr>
      </w:pPr>
    </w:p>
    <w:p>
      <w:pPr>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Restructuring costs charged in the three months ended September 30, 2024 was $1,553 related to the Clinical Prioritization approved in September 2024. Restructuring costs charged in the three months ended September 30, 2023 was $4,163 related to the Strategic Reprioritization approved in August 2023.</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Interest expense increased to $3,790 for the three months ended September 30, 2024 from $3,252 in the same period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2023 primarily due to higher debt balances and interest rates under the Credit Agreement. The expense was partially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offset by lower interest income earned on lower levels of cash and cash equivalents that were held primarily in short-term</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money market funds. Interest income decreased to $616 for the three months ended September 30, 2024 compared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$1,068 for three months ended September 30, 2023, due to lower average cash balances during the year. Other (income)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expense, net is primarily associated with changes in fair value of derivative financial instruments for the period, which</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relate to instruments associated with the Credit Agreement and the March 2024 registered direct equity offering.</w:t>
      </w:r>
    </w:p>
    <w:p>
      <w:pPr>
        <w:spacing w:after="0" w:line="200" w:lineRule="exact"/>
        <w:rPr>
          <w:sz w:val="20"/>
          <w:szCs w:val="20"/>
          <w:color w:val="auto"/>
        </w:rPr>
      </w:pPr>
    </w:p>
    <w:p>
      <w:pPr>
        <w:spacing w:after="0" w:line="367" w:lineRule="exact"/>
        <w:rPr>
          <w:sz w:val="20"/>
          <w:szCs w:val="20"/>
          <w:color w:val="auto"/>
        </w:rPr>
      </w:pPr>
    </w:p>
    <w:p>
      <w:pPr>
        <w:ind w:left="380" w:right="3339"/>
        <w:spacing w:after="0" w:line="459" w:lineRule="auto"/>
        <w:rPr>
          <w:sz w:val="20"/>
          <w:szCs w:val="20"/>
          <w:color w:val="auto"/>
        </w:rPr>
      </w:pPr>
      <w:r>
        <w:rPr>
          <w:rFonts w:ascii="Times New Roman" w:cs="Times New Roman" w:eastAsia="Times New Roman" w:hAnsi="Times New Roman"/>
          <w:sz w:val="18"/>
          <w:szCs w:val="18"/>
          <w:b w:val="1"/>
          <w:bCs w:val="1"/>
          <w:color w:val="auto"/>
        </w:rPr>
        <w:t xml:space="preserve">Comparison of the Nine Months Ended September 30, 2024 and 2023 </w:t>
      </w:r>
      <w:r>
        <w:rPr>
          <w:rFonts w:ascii="Times New Roman" w:cs="Times New Roman" w:eastAsia="Times New Roman" w:hAnsi="Times New Roman"/>
          <w:sz w:val="18"/>
          <w:szCs w:val="18"/>
          <w:b w:val="1"/>
          <w:bCs w:val="1"/>
          <w:i w:val="1"/>
          <w:iCs w:val="1"/>
          <w:color w:val="auto"/>
        </w:rPr>
        <w:t>Product Revenue, Net</w:t>
      </w:r>
    </w:p>
    <w:p>
      <w:pPr>
        <w:spacing w:after="0" w:line="1" w:lineRule="exact"/>
        <w:rPr>
          <w:sz w:val="20"/>
          <w:szCs w:val="20"/>
          <w:color w:val="auto"/>
        </w:rPr>
      </w:pPr>
    </w:p>
    <w:p>
      <w:pPr>
        <w:ind w:left="60" w:right="459" w:firstLine="324"/>
        <w:spacing w:after="0" w:line="238" w:lineRule="auto"/>
        <w:rPr>
          <w:sz w:val="20"/>
          <w:szCs w:val="20"/>
          <w:color w:val="auto"/>
        </w:rPr>
      </w:pPr>
      <w:r>
        <w:rPr>
          <w:rFonts w:ascii="Times New Roman" w:cs="Times New Roman" w:eastAsia="Times New Roman" w:hAnsi="Times New Roman"/>
          <w:sz w:val="17"/>
          <w:szCs w:val="17"/>
          <w:color w:val="auto"/>
        </w:rPr>
        <w:t>IGALMI</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product revenue, net was $1,900 and $1,004 in the nine months ended September 30, 2024 and 2023, respectively. The increase in sales was primarily due to a single large order received from a GPO during the second quarter of 2024, as well as increased market penetration, resulting from the implementation of our new sales strategy.</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89" w:lineRule="exact"/>
        <w:rPr>
          <w:sz w:val="20"/>
          <w:szCs w:val="20"/>
          <w:color w:val="auto"/>
        </w:rPr>
      </w:pPr>
    </w:p>
    <w:p>
      <w:pPr>
        <w:ind w:left="60" w:right="199" w:firstLine="324"/>
        <w:spacing w:after="0" w:line="236" w:lineRule="auto"/>
        <w:rPr>
          <w:sz w:val="20"/>
          <w:szCs w:val="20"/>
          <w:color w:val="auto"/>
        </w:rPr>
      </w:pPr>
      <w:r>
        <w:rPr>
          <w:rFonts w:ascii="Times New Roman" w:cs="Times New Roman" w:eastAsia="Times New Roman" w:hAnsi="Times New Roman"/>
          <w:sz w:val="18"/>
          <w:szCs w:val="18"/>
          <w:color w:val="auto"/>
        </w:rPr>
        <w:t>Cost of goods sold for the nine months ended September 30, 2024 and 2023, were $1,311 and $546, respectively. Cost of goods sold is primarily related to the costs to produce, package and deliver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to customers, as well as costs related to excess or obsolete inventory. The increase in Cost of goods sold for the nine months ended September 30, 2024 was the result of the increase in the units sold compared to the same prior year period and the increase in the reserve for excess and obsolete inventory. Charges for reserves for excess or obsolete inventory were $1,202 and $495 in the nine months ended September 30, 2024 and 2023, respectively.</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Research and development expenses for the nine months ended September 30, 2024 and 2023 were as follows: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(7,333)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(2,394)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(8,527)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trials expense</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(24,663)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Chemical, manufacturing and controls cost</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(5,840)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Travel and other costs</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9"/>
        </w:trPr>
        <w:tc>
          <w:tcPr>
            <w:tcW w:w="37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74,392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38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78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7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The overall decrease of $49,858 for the nine months ended September 30, 2024 relative to the same period in 2023 was primarily attributable to:</w:t>
      </w:r>
    </w:p>
    <w:p>
      <w:pPr>
        <w:spacing w:after="0" w:line="135" w:lineRule="exact"/>
        <w:rPr>
          <w:sz w:val="20"/>
          <w:szCs w:val="20"/>
          <w:color w:val="auto"/>
        </w:rPr>
      </w:pPr>
    </w:p>
    <w:p>
      <w:pPr>
        <w:ind w:left="720" w:right="199" w:hanging="319"/>
        <w:spacing w:after="0" w:line="261"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clinical trials expense as a result of reduced costs associated with the wind down of the SERENITY III study evaluating BXCL501 for at-home use for the acute treatment of agitation related to schizophrenia and bipolar disorders, as well as the TRANQUILITY II study of BXCL501 for the potential treatment of agitation in patients with Alzheimer’s disease.</w:t>
      </w:r>
    </w:p>
    <w:p>
      <w:pPr>
        <w:spacing w:after="0" w:line="139" w:lineRule="exact"/>
        <w:rPr>
          <w:rFonts w:ascii="Times New Roman" w:cs="Times New Roman" w:eastAsia="Times New Roman" w:hAnsi="Times New Roman"/>
          <w:sz w:val="18"/>
          <w:szCs w:val="18"/>
          <w:color w:val="auto"/>
        </w:rPr>
      </w:pPr>
    </w:p>
    <w:p>
      <w:pPr>
        <w:ind w:left="720" w:right="55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professional fees due to lower pharmacology costs, research and discovery costs, toxicology and consulting costs.</w:t>
      </w:r>
    </w:p>
    <w:p>
      <w:pPr>
        <w:spacing w:after="0" w:line="121" w:lineRule="exact"/>
        <w:rPr>
          <w:rFonts w:ascii="Times New Roman" w:cs="Times New Roman" w:eastAsia="Times New Roman" w:hAnsi="Times New Roman"/>
          <w:sz w:val="18"/>
          <w:szCs w:val="18"/>
          <w:color w:val="auto"/>
        </w:rPr>
      </w:pPr>
    </w:p>
    <w:p>
      <w:pPr>
        <w:ind w:left="720" w:right="39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personnel and related costs as a result of our Reprioritization and further reduction in force in May 2024.</w:t>
      </w:r>
    </w:p>
    <w:p>
      <w:pPr>
        <w:spacing w:after="0" w:line="134" w:lineRule="exact"/>
        <w:rPr>
          <w:rFonts w:ascii="Times New Roman" w:cs="Times New Roman" w:eastAsia="Times New Roman" w:hAnsi="Times New Roman"/>
          <w:sz w:val="18"/>
          <w:szCs w:val="18"/>
          <w:color w:val="auto"/>
        </w:rPr>
      </w:pPr>
    </w:p>
    <w:p>
      <w:pPr>
        <w:ind w:left="720" w:right="139" w:hanging="319"/>
        <w:spacing w:after="0" w:line="266"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chemistry, manufacturing and controls (“CMC”) costs associated with producing materials for our clinical trials of BXCL501 and BXCL701 for the treatment of prostate and lung cancers due to decreased clinical trial activities.</w:t>
      </w:r>
    </w:p>
    <w:p>
      <w:pPr>
        <w:spacing w:after="0" w:line="135" w:lineRule="exact"/>
        <w:rPr>
          <w:rFonts w:ascii="Times New Roman" w:cs="Times New Roman" w:eastAsia="Times New Roman" w:hAnsi="Times New Roman"/>
          <w:sz w:val="18"/>
          <w:szCs w:val="18"/>
          <w:color w:val="auto"/>
        </w:rPr>
      </w:pPr>
    </w:p>
    <w:p>
      <w:pPr>
        <w:ind w:left="720" w:right="43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non-cash stock based compensation costs as a result of the Reprioritization and other restructuring actions.</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02" w:lineRule="exact"/>
        <w:rPr>
          <w:sz w:val="20"/>
          <w:szCs w:val="20"/>
          <w:color w:val="auto"/>
        </w:rPr>
      </w:pPr>
    </w:p>
    <w:p>
      <w:pPr>
        <w:ind w:left="60" w:right="739" w:firstLine="324"/>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for the nine months ended September 30, 2024 and 2023 were as follows: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(19,174)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10,175</w:t>
            </w: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(6,267)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(2,929)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marketing</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12,166</w:t>
            </w: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(11,259)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Travel and other costs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6,308</w:t>
            </w: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(3,631)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9"/>
        </w:trPr>
        <w:tc>
          <w:tcPr>
            <w:tcW w:w="51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(43,412)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The overall decrease of $43,412 for the nine months ended September 30, 2024, relative to the same period in 2023 was primarily attributable to:</w:t>
      </w:r>
    </w:p>
    <w:p>
      <w:pPr>
        <w:spacing w:after="0" w:line="121" w:lineRule="exact"/>
        <w:rPr>
          <w:sz w:val="20"/>
          <w:szCs w:val="20"/>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personnel and related costs as a result of the Reprioritization.</w:t>
      </w:r>
    </w:p>
    <w:p>
      <w:pPr>
        <w:spacing w:after="0" w:line="198"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professional fees, primarily related to the expensing of the OnkosXcel deferred IPO costs in 2023 and reductions in consulting fees.</w:t>
      </w:r>
    </w:p>
    <w:p>
      <w:pPr>
        <w:spacing w:after="0" w:line="121" w:lineRule="exact"/>
        <w:rPr>
          <w:rFonts w:ascii="Times New Roman" w:cs="Times New Roman" w:eastAsia="Times New Roman" w:hAnsi="Times New Roman"/>
          <w:sz w:val="18"/>
          <w:szCs w:val="18"/>
          <w:color w:val="auto"/>
        </w:rPr>
      </w:pPr>
    </w:p>
    <w:p>
      <w:pPr>
        <w:ind w:left="720" w:right="299" w:hanging="319"/>
        <w:spacing w:after="0" w:line="285"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commercial and marketing expense as result of higher spending in 2023 related to media, marketing and data and business analytics costs associated with commercialization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w:t>
      </w:r>
    </w:p>
    <w:p>
      <w:pPr>
        <w:spacing w:after="0" w:line="6" w:lineRule="exact"/>
        <w:rPr>
          <w:rFonts w:ascii="Times New Roman" w:cs="Times New Roman" w:eastAsia="Times New Roman" w:hAnsi="Times New Roman"/>
          <w:sz w:val="18"/>
          <w:szCs w:val="18"/>
          <w:color w:val="auto"/>
        </w:rPr>
      </w:pPr>
    </w:p>
    <w:p>
      <w:pPr>
        <w:ind w:left="720" w:right="47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travel and other costs as a result of the commercial launch activities that occurred in 2023 and the Reprioritization impact on 2024.</w:t>
      </w:r>
    </w:p>
    <w:p>
      <w:pPr>
        <w:spacing w:after="0" w:line="134" w:lineRule="exact"/>
        <w:rPr>
          <w:rFonts w:ascii="Times New Roman" w:cs="Times New Roman" w:eastAsia="Times New Roman" w:hAnsi="Times New Roman"/>
          <w:sz w:val="18"/>
          <w:szCs w:val="18"/>
          <w:color w:val="auto"/>
        </w:rPr>
      </w:pPr>
    </w:p>
    <w:p>
      <w:pPr>
        <w:ind w:left="720" w:right="43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non-cash stock based compensation costs as a result of the Reprioritization and other restructuring actions.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202" w:lineRule="exact"/>
        <w:rPr>
          <w:sz w:val="20"/>
          <w:szCs w:val="20"/>
          <w:color w:val="auto"/>
        </w:rPr>
      </w:pPr>
    </w:p>
    <w:p>
      <w:pPr>
        <w:ind w:left="60" w:right="479" w:firstLine="324"/>
        <w:spacing w:after="0" w:line="266" w:lineRule="auto"/>
        <w:rPr>
          <w:sz w:val="20"/>
          <w:szCs w:val="20"/>
          <w:color w:val="auto"/>
        </w:rPr>
      </w:pPr>
      <w:r>
        <w:rPr>
          <w:rFonts w:ascii="Times New Roman" w:cs="Times New Roman" w:eastAsia="Times New Roman" w:hAnsi="Times New Roman"/>
          <w:sz w:val="18"/>
          <w:szCs w:val="18"/>
          <w:color w:val="auto"/>
        </w:rPr>
        <w:t>Restructuring costs charged in the nine months ended September 30, 2024 was $2,409 related to the reductions in force approved in May and September 2024. Restructuring costs of $4,163 were charged in the nine months ended September 30, 2023.</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189" w:lineRule="exact"/>
        <w:rPr>
          <w:sz w:val="20"/>
          <w:szCs w:val="20"/>
          <w:color w:val="auto"/>
        </w:rPr>
      </w:pPr>
    </w:p>
    <w:p>
      <w:pPr>
        <w:ind w:left="60" w:right="219" w:firstLine="324"/>
        <w:spacing w:after="0" w:line="273" w:lineRule="auto"/>
        <w:rPr>
          <w:sz w:val="20"/>
          <w:szCs w:val="20"/>
          <w:color w:val="auto"/>
        </w:rPr>
      </w:pPr>
      <w:r>
        <w:rPr>
          <w:rFonts w:ascii="Times New Roman" w:cs="Times New Roman" w:eastAsia="Times New Roman" w:hAnsi="Times New Roman"/>
          <w:sz w:val="17"/>
          <w:szCs w:val="17"/>
          <w:color w:val="auto"/>
        </w:rPr>
        <w:t>Interest expense increased to $11,097 for the nine months ended September 30, 2024 from $9,879 in the same period in 2023 primarily due to higher debt balances and interest rates under the Credit Agreement. The expense was partially offset by lower interest income earned on lower levels of cash and cash equivalents that were held primarily in short-term money market funds. Interest income decreased to $2,234 for the nine months ended September 30, 2024 compared to $4,703 for nine months ended September 30, 2023, due to lower average cash balances during the year. Other (income) expense, net is primarily associated with changes in fair value of derivative financial instruments for the period, which relate to instruments associated with the Credit Agreement and the March 2024 registered direct equity offering.</w:t>
      </w:r>
    </w:p>
    <w:p>
      <w:pPr>
        <w:spacing w:after="0" w:line="1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89"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clinical trial costs. We do not believe that inflation has had a material effect on our results of operations during the periods presented. For a discussion of inflationary risks to our future revenues under the Inflation Reduction Act, see “</w:t>
      </w:r>
      <w:r>
        <w:rPr>
          <w:rFonts w:ascii="Times New Roman" w:cs="Times New Roman" w:eastAsia="Times New Roman" w:hAnsi="Times New Roman"/>
          <w:sz w:val="18"/>
          <w:szCs w:val="18"/>
          <w:i w:val="1"/>
          <w:iCs w:val="1"/>
          <w:color w:val="auto"/>
        </w:rPr>
        <w:t>Healthcare reform measures could hinder or prevent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product candidates’ commercial success.</w:t>
      </w:r>
      <w:r>
        <w:rPr>
          <w:rFonts w:ascii="Times New Roman" w:cs="Times New Roman" w:eastAsia="Times New Roman" w:hAnsi="Times New Roman"/>
          <w:sz w:val="18"/>
          <w:szCs w:val="18"/>
          <w:color w:val="auto"/>
        </w:rPr>
        <w:t>” in Part II, Item 1A, “Risk Factors” elsewhere in this Quarterly Report on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10-Q.</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As of September 30, 2024, we had cash and cash equivalents of $40,387, working capital of $22,235 and stockholders’ deficit of $85,633. Net cash used in operating activities was $57,218 and $128,143 for the nine months ended September 30, 2024 and 2023, respectively. We incurred losses of approximately $48,740 and $156,797 for the nine months ended September 30, 2024 and 2023, respectively. We will need to generate significant product revenues to achieve profitability. Our history of significant losses, negative cash flows from operations, potential near-term increased covenant-driven amortization payments or full repayment obligations under our Credit Agreement, the regulatory event of default triggers under the Credit Agreement, other funding requirement covenants under the Credit Agreement, limited liquidity resources currently on hand, and dependence on our ability to obtain additional financing to fund our operations after the current resources are exhausted, about which there can be no certainty, have resulted in management’s assessment that there is substantial doubt about our ability to continue as a going concern for a period of at least 12 months from the issuance date of the financial statements included in this Quarterly Report on Form 10-Q.</w:t>
      </w:r>
    </w:p>
    <w:p>
      <w:pPr>
        <w:spacing w:after="0" w:line="151" w:lineRule="exact"/>
        <w:rPr>
          <w:sz w:val="20"/>
          <w:szCs w:val="20"/>
          <w:color w:val="auto"/>
        </w:rPr>
      </w:pPr>
    </w:p>
    <w:p>
      <w:pPr>
        <w:ind w:left="60" w:right="299" w:firstLine="324"/>
        <w:spacing w:after="0" w:line="258" w:lineRule="auto"/>
        <w:rPr>
          <w:sz w:val="20"/>
          <w:szCs w:val="20"/>
          <w:color w:val="auto"/>
        </w:rPr>
      </w:pPr>
      <w:r>
        <w:rPr>
          <w:rFonts w:ascii="Times New Roman" w:cs="Times New Roman" w:eastAsia="Times New Roman" w:hAnsi="Times New Roman"/>
          <w:sz w:val="18"/>
          <w:szCs w:val="18"/>
          <w:color w:val="auto"/>
        </w:rPr>
        <w:t>Successful completion of the Company’s development programs and, ultimately, the attainment of profitable operations are dependent upon future events, including obtaining adequate financing to support the Company’s cost structure and operating plan. Management’s plans to improve the Company’s liquidity and reduce its operating expenses and capital requirements include, among other things, pursuing one or more of the following steps to raise additional capital, none of which can be guaranteed or are entirely within the Company’s control:</w:t>
      </w:r>
    </w:p>
    <w:p>
      <w:pPr>
        <w:spacing w:after="0" w:line="143" w:lineRule="exact"/>
        <w:rPr>
          <w:sz w:val="20"/>
          <w:szCs w:val="20"/>
          <w:color w:val="auto"/>
        </w:rPr>
      </w:pPr>
    </w:p>
    <w:p>
      <w:pPr>
        <w:ind w:left="1340" w:hanging="642"/>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the sale of the Company’s equity securities;</w:t>
      </w:r>
    </w:p>
    <w:p>
      <w:pPr>
        <w:spacing w:after="0" w:line="27"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third-party investments in or other strategic options for OnkosXcel;</w:t>
      </w:r>
    </w:p>
    <w:p>
      <w:pPr>
        <w:spacing w:after="0" w:line="9"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debt financing and/or restructuring of its existing Credit Agreement;</w:t>
      </w:r>
    </w:p>
    <w:p>
      <w:pPr>
        <w:spacing w:after="0" w:line="9"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collaborations with potential partners to advance the Company’s product pipeline;</w:t>
      </w:r>
    </w:p>
    <w:p>
      <w:pPr>
        <w:spacing w:after="0" w:line="9"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collaborations with potential marketing partners;</w:t>
      </w:r>
    </w:p>
    <w:p>
      <w:pPr>
        <w:spacing w:after="0" w:line="9"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overhead and headcount to focus on core priorities, and/or</w:t>
      </w:r>
    </w:p>
    <w:p>
      <w:pPr>
        <w:spacing w:after="0" w:line="9"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207" w:lineRule="exact"/>
        <w:rPr>
          <w:sz w:val="20"/>
          <w:szCs w:val="20"/>
          <w:color w:val="auto"/>
        </w:rPr>
      </w:pPr>
    </w:p>
    <w:p>
      <w:pPr>
        <w:ind w:left="60" w:right="359" w:firstLine="324"/>
        <w:spacing w:after="0" w:line="312" w:lineRule="auto"/>
        <w:rPr>
          <w:sz w:val="20"/>
          <w:szCs w:val="20"/>
          <w:color w:val="auto"/>
        </w:rPr>
      </w:pPr>
      <w:r>
        <w:rPr>
          <w:rFonts w:ascii="Times New Roman" w:cs="Times New Roman" w:eastAsia="Times New Roman" w:hAnsi="Times New Roman"/>
          <w:sz w:val="17"/>
          <w:szCs w:val="17"/>
          <w:color w:val="auto"/>
        </w:rPr>
        <w:t>We require additional funding to continue as a going concern. There are no assurances that we will be successful in obtaining an adequate level of financing as and when needed to finance our operations on terms acceptable to us or at</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2" w:lineRule="auto"/>
        <w:rPr>
          <w:sz w:val="20"/>
          <w:szCs w:val="20"/>
          <w:color w:val="auto"/>
        </w:rPr>
      </w:pPr>
      <w:r>
        <w:rPr>
          <w:rFonts w:ascii="Times New Roman" w:cs="Times New Roman" w:eastAsia="Times New Roman" w:hAnsi="Times New Roman"/>
          <w:sz w:val="18"/>
          <w:szCs w:val="18"/>
          <w:color w:val="auto"/>
        </w:rPr>
        <w:t>all, particularly when there is market uncertainty or an economic downturn or if other events make investment in our securities less appealing. If we are unable to secure adequate additional funding as and when needed on acceptable or commercially reasonable terms, we may have to significantly delay, scale back or discontinue the development and commercialization of one or more product candidates. In addition, there are various macro-economic trends affecting the financing markets whose impact on our liquidity and future funding requirements are uncertain as of the filing date of this Quarterly Report on Form 10-Q. We will need substantial additional funding, and if we are unable to raise capital when needed, we could be compelled to pursue alternative options, including, without limitation, implementing further workforce reductions, reducing or ceasing product development programs and advancement of our clinical trials and product candidates, selling our assets or seeking other strategic alternatives. See “Risks Related to Financial Position and Need for Additional Capital — We will need substantial additional funding, and if we are unable to raise capital when needed, we could be forced to delay, reduce or eliminate our product development programs or commercialization efforts or otherwise seek strategic alternatives.” in Part II. Item 1A., “Risk Factors” elsewhere in this Quarterly Report on Form 10-Q. Further, if we are unable to raise additional capital or successfully consummate a strategic transaction, we may trigger an event of default under our Credit Agreement. See “Risks Related to Financial Position and Need for Additional Capital — We have identified conditions and events that raise substantial doubt regarding our ability to continue as a going concern.” in Part II. Item 1A., “Risk Factors” elsewhere in this Quarterly Report on Form 10-Q.</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Sources of Liquidity</w:t>
      </w:r>
    </w:p>
    <w:p>
      <w:pPr>
        <w:spacing w:after="0" w:line="189" w:lineRule="exact"/>
        <w:rPr>
          <w:sz w:val="20"/>
          <w:szCs w:val="20"/>
          <w:color w:val="auto"/>
        </w:rPr>
      </w:pPr>
    </w:p>
    <w:p>
      <w:pPr>
        <w:ind w:left="60" w:right="199" w:firstLine="324"/>
        <w:spacing w:after="0" w:line="238" w:lineRule="auto"/>
        <w:rPr>
          <w:sz w:val="20"/>
          <w:szCs w:val="20"/>
          <w:color w:val="auto"/>
        </w:rPr>
      </w:pPr>
      <w:r>
        <w:rPr>
          <w:rFonts w:ascii="Times New Roman" w:cs="Times New Roman" w:eastAsia="Times New Roman" w:hAnsi="Times New Roman"/>
          <w:sz w:val="18"/>
          <w:szCs w:val="18"/>
          <w:color w:val="auto"/>
        </w:rPr>
        <w:t>We have primarily focused our efforts on raising capital and building the products in our pipeline, and, although we generate revenue from sales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we do not expect to generate positive cash flows from operations in the near term. Since our inception, our operations have been financed primarily from proceeds from the sale of equity securities, including our initial public offering, private placements of our common stock, registered offerings of our common stock, an Open Market Sale Agreement (the “Sale Agreement”) with Jefferies LLC (“Jefferies”), and borrowings under strategic financing arrangements (as described below). We have not yet established an ongoing source of revenue sufficient to cover our operating costs and will need to do so in future periods.</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Financing Agreements</w:t>
      </w:r>
    </w:p>
    <w:p>
      <w:pPr>
        <w:spacing w:after="0" w:line="202" w:lineRule="exact"/>
        <w:rPr>
          <w:sz w:val="20"/>
          <w:szCs w:val="20"/>
          <w:color w:val="auto"/>
        </w:rPr>
      </w:pPr>
    </w:p>
    <w:p>
      <w:pPr>
        <w:ind w:left="60" w:right="219" w:firstLine="324"/>
        <w:spacing w:after="0" w:line="241" w:lineRule="auto"/>
        <w:rPr>
          <w:sz w:val="20"/>
          <w:szCs w:val="20"/>
          <w:color w:val="auto"/>
        </w:rPr>
      </w:pPr>
      <w:r>
        <w:rPr>
          <w:rFonts w:ascii="Times New Roman" w:cs="Times New Roman" w:eastAsia="Times New Roman" w:hAnsi="Times New Roman"/>
          <w:sz w:val="18"/>
          <w:szCs w:val="18"/>
          <w:color w:val="auto"/>
        </w:rPr>
        <w:t>In April 2022, we entered into two financing agreements: the Credit Agreement and the RIFA. Pursuant to the Credit Agreement, the Lenders originally agreed to provide us up to $135,000 in senior secured term loans to us. On April 28, 2022, we borrowed the first $70,000 tranche of loans under the Credit Agreement. Pursuant to the RIFA, the Purchasers agreed to provide us with up to $120,000 in financing for our near-term commercial activities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development and commercialization of BXCL501 and other general corporate purposes. On July 8, 2022, we drew down the first tranche of $30,000 under the RIFA. In connection with the Credit Agreement, we granted to the Lenders (i) warrants to purchase up to 278 shares of our common stock (the “Original Warrants”), (ii) rights to purchase up to $5,000 of our common stock and (iii) warrants to purchase up to 175 individual ownership units (i.e., not in thousands) in OnkosXcel (the “OnkosXcel Warrants”).</w:t>
      </w:r>
    </w:p>
    <w:p>
      <w:pPr>
        <w:spacing w:after="0" w:line="157"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In November 2023, we, the Lenders and OFA entered into a Waiver and First Amendment to Credit Agreement and Guaranty (the “First Amendment”) that provided for, among other things, a waiver and a modification to the covenant in the Credit Agreement regarding investments in OnkosXcel, pursuant to which we are permitted to invest up to a maximum of $30,000 at any time outstanding in OnkosXcel, increased from the $25,000 at any time outstanding. The First Amendment waived any defaults or events of default arising under the Credit Agreement due to a breach prior to the date of the First Amendment of the OnkosXcel investment covenant, or a breach of our obligation to notify OFA of such default, including our investment in an amount in excess of what was previously permitted under the OnkosXcel investment covenant. In connection with the First Amendment, we paid to the Lenders a fee of $180 (representing 0.25% of the loans outstanding under the Credit Agreement on the date of the First Amendment) and agreed to pay to the Lenders an exit fee equal to 0.25% of the loans under the Credit Agreement repaid upon maturity or prepayment of the loans.</w:t>
      </w:r>
    </w:p>
    <w:p>
      <w:pPr>
        <w:spacing w:after="0" w:line="151" w:lineRule="exact"/>
        <w:rPr>
          <w:sz w:val="20"/>
          <w:szCs w:val="20"/>
          <w:color w:val="auto"/>
        </w:rPr>
      </w:pPr>
    </w:p>
    <w:p>
      <w:pPr>
        <w:jc w:val="both"/>
        <w:ind w:left="60" w:right="339" w:firstLine="324"/>
        <w:spacing w:after="0" w:line="289" w:lineRule="auto"/>
        <w:rPr>
          <w:sz w:val="20"/>
          <w:szCs w:val="20"/>
          <w:color w:val="auto"/>
        </w:rPr>
      </w:pPr>
      <w:r>
        <w:rPr>
          <w:rFonts w:ascii="Times New Roman" w:cs="Times New Roman" w:eastAsia="Times New Roman" w:hAnsi="Times New Roman"/>
          <w:sz w:val="17"/>
          <w:szCs w:val="17"/>
          <w:color w:val="auto"/>
        </w:rPr>
        <w:t>In December 2023, we entered into the Second Amendment to Credit Agreement and Guaranty and Termination of Revenue Interest Financing Agreement (the “Second Amendment”) with the Lenders and OFA, as administrative agent. The Second Amendment terminated the RIFA and converted the financing previously provided to us thereunder to term</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66" w:lineRule="auto"/>
        <w:rPr>
          <w:sz w:val="20"/>
          <w:szCs w:val="20"/>
          <w:color w:val="auto"/>
        </w:rPr>
      </w:pPr>
      <w:r>
        <w:rPr>
          <w:rFonts w:ascii="Times New Roman" w:cs="Times New Roman" w:eastAsia="Times New Roman" w:hAnsi="Times New Roman"/>
          <w:sz w:val="18"/>
          <w:szCs w:val="18"/>
          <w:color w:val="auto"/>
        </w:rPr>
        <w:t>loans under the Credit Agreement. In addition, the Second Amendment replaced the Credit Agreement’s existing “Tranche B” and “Tranche C” term loan opportunities with three new tranches aggregating up to $100,000 in potential funding:</w:t>
      </w:r>
    </w:p>
    <w:p>
      <w:pPr>
        <w:spacing w:after="0" w:line="149" w:lineRule="exact"/>
        <w:rPr>
          <w:sz w:val="20"/>
          <w:szCs w:val="20"/>
          <w:color w:val="auto"/>
        </w:rPr>
      </w:pPr>
    </w:p>
    <w:p>
      <w:pPr>
        <w:ind w:left="1040" w:right="459" w:hanging="315"/>
        <w:spacing w:after="0" w:line="255"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$20,000 “Tranche B” term loan available upon satisfaction of the following conditions on or before December 31, 2024: (i) us raising an aggregate of at least $40,000 after the date of the First Amendment from (a) equity proceeds or (b) a bona fide contract with a governmental authority to use BXCL501 for opioid withdrawal, (ii) initiation of a new clinical trial in the TRANQUILITY program based on our meeting with the FDA held on October 11, 2023, and (iii) the total pro forma indebtedness outstanding under the Credit Agreement as a percentage of our trailing 30-day market capitalization being less than 30%;</w:t>
      </w:r>
    </w:p>
    <w:p>
      <w:pPr>
        <w:spacing w:after="0" w:line="148" w:lineRule="exact"/>
        <w:rPr>
          <w:rFonts w:ascii="Times New Roman" w:cs="Times New Roman" w:eastAsia="Times New Roman" w:hAnsi="Times New Roman"/>
          <w:sz w:val="18"/>
          <w:szCs w:val="18"/>
          <w:color w:val="auto"/>
        </w:rPr>
      </w:pPr>
    </w:p>
    <w:p>
      <w:pPr>
        <w:ind w:left="1040" w:right="299" w:hanging="315"/>
        <w:spacing w:after="0" w:line="254"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$30,000 “Tranche C” term loan available upon satisfaction of the following conditions on or before December 31, 2025: (i) either (a) receipt of approval from the FDA of an sNDA in respect of the use of BXCL501 for the acute treatment of agitation associated with dementia or (b) the receipt of approval from the FDA of an sNDA in respect of the use of BXCL501 for (x) the acute treatment of agitation associated with schizophrenia in adults and (y) the acute treatment of agitation associated with bipolar I or II disorder in adults, in each case, in the community/at home setting without the requirement for administration under the supervision of a healthcare provider, and (ii) the total pro forma indebtedness outstanding under the Credit Agreement as a percentage of our trailing 30-day market capitalization being less than 30%; and</w:t>
      </w:r>
    </w:p>
    <w:p>
      <w:pPr>
        <w:spacing w:after="0" w:line="151" w:lineRule="exact"/>
        <w:rPr>
          <w:rFonts w:ascii="Times New Roman" w:cs="Times New Roman" w:eastAsia="Times New Roman" w:hAnsi="Times New Roman"/>
          <w:sz w:val="18"/>
          <w:szCs w:val="18"/>
          <w:color w:val="auto"/>
        </w:rPr>
      </w:pPr>
    </w:p>
    <w:p>
      <w:pPr>
        <w:ind w:left="1040" w:right="259" w:hanging="315"/>
        <w:spacing w:after="0" w:line="258"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$50,000 “Tranche D” term loan available upon satisfaction of the following conditions on or before December 31, 2025: (i) the conditions precedent to the borrowing of Tranche C (as described in the preceding bullet point) have been satisfied, and (ii) our total net revenue attributable to sales of BXCL501 (for the avoidance of doubt, including any revenues attributable to use of BXCL501 for opioid withdrawal) for the trailing twelve consecutive month period exceeding a specified amount.</w:t>
      </w:r>
    </w:p>
    <w:p>
      <w:pPr>
        <w:spacing w:after="0" w:line="156" w:lineRule="exact"/>
        <w:rPr>
          <w:sz w:val="20"/>
          <w:szCs w:val="20"/>
          <w:color w:val="auto"/>
        </w:rPr>
      </w:pPr>
    </w:p>
    <w:p>
      <w:pPr>
        <w:ind w:left="60" w:right="399" w:firstLine="324"/>
        <w:spacing w:after="0" w:line="261" w:lineRule="auto"/>
        <w:rPr>
          <w:sz w:val="20"/>
          <w:szCs w:val="20"/>
          <w:color w:val="auto"/>
        </w:rPr>
      </w:pPr>
      <w:r>
        <w:rPr>
          <w:rFonts w:ascii="Times New Roman" w:cs="Times New Roman" w:eastAsia="Times New Roman" w:hAnsi="Times New Roman"/>
          <w:sz w:val="18"/>
          <w:szCs w:val="18"/>
          <w:color w:val="auto"/>
        </w:rPr>
        <w:t>In addition, pursuant to the Second Amendment, the Lenders agreed to permit the Company to invest up to a maximum of $30,865 at any time outstanding in OnkosXcel, increased from $30,000. The Second Amendment also modified the interest rate of the loans provided under the Credit Agreement to be a floating rate per annum equal to the secured overnight financing rate (“SOFR”) (subject to a SOFR floor of 2.5% and a cap of 5.5%) plus 7.5%.</w:t>
      </w:r>
    </w:p>
    <w:p>
      <w:pPr>
        <w:spacing w:after="0" w:line="139"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Following the Second Amendment, we must also comply with certain covenants under the Credit Agreement, including a financial covenant that requires we maintain a minimum cash liquidity amount of $15,000 (or higher upon certain events) and a modified minimum revenue requirement measured on a quarterly basis based on the revenue attributable to BXCL501 for the six consecutive month period ending on the last day of the relevant quarter (the “Revenue Covenant”), subject to cure payments of not less than $1,000 if we fail to meet the minimum revenue requirement. The Revenue Covenant applies beginning with the six-month period ending on December 31, 2024. If we fail to meet the minimum Revenue Covenant for the preceding six-month periods ending on December 31, 2024, March 31, 2025, June 30, 2025 and September 30, 2025, we could be required to make revenue cure payments of up to $4,500, $6,200, $8,500, and $8,500, respectively, plus aggregate prepayment fees of $1,900. Under the Credit Agreement, these cure payments would be due on April 21, 2025, June 6, 2025, September 5, 2025 and December 8, 2025, respectively. We are only permitted to make cure payments for revenue shortfalls up to three times during the term of the Credit Agreement, after which we would default on the Credit Agreement if we are unable to satisfy the minimum revenue requirement for any subsequent fiscal quarter. As of September 30, 2024, we had aggregate principal indebtedness of $106,501 outstanding under the Credit Agreement.</w:t>
      </w:r>
    </w:p>
    <w:p>
      <w:pPr>
        <w:spacing w:after="0" w:line="157"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closing of the Second Amendment, we amended and restated the Original Warrants granted to the Lenders on April 19, 2022 to purchase up to 278 shares of the Company’s common stock at an exercise price of $20.04 per share. Pursuant to the amendment and restatement of the Original Warrants, dated December 5, 2023 (the “Amended and Restated Original Warrants”), the exercise price of the Original Warrants has been reduced to $3.6452 per share, which represents the arithmetic average of the volume-weighted average price of the Company’s common stock on the Nasdaq Capital Market during the 30 trading days preceding the Second Amendment Effective Date. In addition, the Company granted new warrants to the Lenders to purchase up to 70 shares of the Company’s common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stock (the “2023 Warrant Shares”) at an exercise price of $3.6452 per share (the “2023 Warrants”). The Original Warrants and the 2023 Warrants will expire on April 19, 2029 and may be net exercised at the holder’s election.</w:t>
      </w:r>
    </w:p>
    <w:p>
      <w:pPr>
        <w:spacing w:after="0" w:line="135" w:lineRule="exact"/>
        <w:rPr>
          <w:sz w:val="20"/>
          <w:szCs w:val="20"/>
          <w:color w:val="auto"/>
        </w:rPr>
      </w:pPr>
    </w:p>
    <w:p>
      <w:pPr>
        <w:ind w:left="60" w:right="259" w:firstLine="324"/>
        <w:spacing w:after="0" w:line="256" w:lineRule="auto"/>
        <w:rPr>
          <w:sz w:val="20"/>
          <w:szCs w:val="20"/>
          <w:color w:val="auto"/>
        </w:rPr>
      </w:pPr>
      <w:r>
        <w:rPr>
          <w:rFonts w:ascii="Times New Roman" w:cs="Times New Roman" w:eastAsia="Times New Roman" w:hAnsi="Times New Roman"/>
          <w:sz w:val="18"/>
          <w:szCs w:val="18"/>
          <w:color w:val="auto"/>
        </w:rPr>
        <w:t>On March 20, 2024 (the “Effective Date”), we entered into the Fourth Amendment to the Credit Agreement (“the Fourth Amendment”), pursuant to which the Lenders waived the covenant that we not receive a report and opinion from our independent registered public accounting firm that contains a “going concern” or similar qualification with respect to our financial statements for the year ended December 31, 2023. Accordingly, while our independent registered public accounting firm’s report contained in our Annual Report on Form 10-K for the year ended December 31, 2023 contains a “going concern” explanatory paragraph, it does not constitute an event of default under the Credit Agreement.</w:t>
      </w:r>
    </w:p>
    <w:p>
      <w:pPr>
        <w:spacing w:after="0" w:line="147"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The Fourth Amendment includes covenants that we will receive, (i) after the Effective Date and on or before April 15, 2024, at least $25,000 in gross proceeds from the issuance of our common stock, warrants and/or pre-funded warrants, and/or in non-refundable cash consideration from partnering transactions entered into after the Effective Date (so long as such partnering transactions would not require us or any of our subsidiaries to make any cash investments in connection with the partnering transactions and no such cash investments are made), and (ii) after the Effective Date and on or before November 30, 2024, at least $50,000 (for the avoidance of doubt, inclusive of amounts previously counted toward the preceding clause (i)) in gross proceeds from the issuance of our common stock, warrants and/or pre-funded warrants, and/or in cash and/or non-cash consideration (measured at fair market value, as determined by the Administrative Agent (as defined in the Credit Agreement) in its sole discretion ) from partnering transactions entered into after the Effective Date. Failure to perform this covenant would constitute (A) a default under the Credit Agreement and (B) an event of default under the Credit Agreement, subject to a cure period, in the case of clause (i) of the preceding sentence, until May 15, 2024 (for the avoidance of doubt, failure to perform clause (ii) would constitute an immediate event of default under the Credit Agreement without any cure or grace period).</w:t>
      </w:r>
    </w:p>
    <w:p>
      <w:pPr>
        <w:spacing w:after="0" w:line="147" w:lineRule="exact"/>
        <w:rPr>
          <w:sz w:val="20"/>
          <w:szCs w:val="20"/>
          <w:color w:val="auto"/>
        </w:rPr>
      </w:pPr>
    </w:p>
    <w:p>
      <w:pPr>
        <w:ind w:left="60" w:right="159" w:firstLine="324"/>
        <w:spacing w:after="0" w:line="251" w:lineRule="auto"/>
        <w:rPr>
          <w:sz w:val="20"/>
          <w:szCs w:val="20"/>
          <w:color w:val="auto"/>
        </w:rPr>
      </w:pPr>
      <w:r>
        <w:rPr>
          <w:rFonts w:ascii="Times New Roman" w:cs="Times New Roman" w:eastAsia="Times New Roman" w:hAnsi="Times New Roman"/>
          <w:sz w:val="18"/>
          <w:szCs w:val="18"/>
          <w:color w:val="auto"/>
        </w:rPr>
        <w:t>In addition, the Fourth Amendment provides that if we have not, after the Effective Date and on or before September 30, 2024, received at least $40,000 in gross proceeds from the issuance of our common stock, warrants and/or pre-funded warrants, and/or cash and/or non-cash consideration (measured at fair market value, as determined by the Administrative Agent in its sole discretion) from partnering transactions entered into after the Effective Date, the “Minimum Liquidity Amount” (as defined in the Credit Agreement) that we are required to maintain at all times will increase to $25,000 from $15,000, unless and until we have received, after the Effective Date and on or before November 30, 2024, at least $50,000 in gross proceeds from the issuance of our common stock, warrants and/or pre-funded warrants, and/or in cash and/or non-cash consideration (measured at fair market value, as determined by the Administrative Agent in its sole discretion) from partnering transactions entered into after the Effective Date. As of the date of this filing, we still need to raise (i) approximately an additional $10,000 in gross proceeds from the issuance of our common stock, warrants and/or pre-funded warrants and/or in cash and/or non-cash consideration (measured at fair market value, as determined by the Administrative Agent in its sole discretion) from partnering transactions by September 30, 2024 in order to prevent such an increase in the Minimum Liquidity Amount that we are required to maintain under our Credit Agreement and (ii) approximately an additional $20,000 in gross proceeds from the issuance of our common stock, warrants and/or pre-funded warrants and/or in cash and/or non-cash consideration (measured at fair market value, as determined by the Administrative Agent in its sole discretion) from partnering transactions by November 30, 2024 in order to prevent triggering an event of default under our Credit Agreement. Even if we raise the foregoing amounts within these timeframes, we may need to raise additional capital to continue as a going concern, and failure to continue as a going concern in connection with our Annual Report on Form 10-K for the fiscal year ended December 31, 2024 could trigger an event of default under our Credit Agreement, and the lenders could exercise their rights and remedies under the Credit Agreement. As of September 30, 2024, the Company had satisfied $32,687 of the $40,000 required to maintain the Minimum Liquidity Amount and the $50,000 gross proceeds requirement. As a result, the Minimum Liquidity Amount of $15,000 increased to $25,000 as of September 30, 2024.</w:t>
      </w:r>
    </w:p>
    <w:p>
      <w:pPr>
        <w:spacing w:after="0" w:line="178"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Fourth Amendment, on the Effective Date, we granted new warrants to the Lenders to purchase up to 100 shares of our common stock (the “2024 Warrant Shares”) at an exercise price of $3.0723 per share (the “2024 Warrants”), which represents a 10% premium over the arithmetic average of the volume-weighted average price of our common stock on the Nasdaq Capital Market during the 30 trading days preceding the Effective Date. The 2024 Warrants will expire on April 19, 2029 and may be net exercised at the holder’s election.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In addition, pursuant to the Credit Agreement, the Lenders have the right to purchase shares of our common stock, so long as borrowings under the Credit Agreement are outstanding, for a purchase price of $5,000 at a price per share equal to a 10% premium to the volume-weighted average price of the common stock over the 30 trading days prior to the Lenders’ election to proceed with such equity investment (the “Equity Investment Right”). We entered into a registration rights agreement with the Lenders (as amended and restated in connection with the Second Amendment, the “Amended and Restated Registration Rights Agreement”) and filed registration statements on Form S-3 to register the shares issuable upon exercise of the Original Warrants, 2023 Warrants and, if issued, the shares related to the Equity Investment Right, for resale. The maximum shares of our common stock issuable under the Original Warrants, the 2023 Warrants and the Lenders’ Equity Investment Right is 5,852. On the Effective Date, we further amended and restated the Amended and Restated Registration Rights Agreement (the “Second Amended and Restated Registration Rights Agreement”) with the Lenders. Pursuant to the Second Amended and Restated Registration Rights Agreement, we agreed to register the 2024 Warrant Shares for resale.</w:t>
      </w:r>
    </w:p>
    <w:p>
      <w:pPr>
        <w:spacing w:after="0" w:line="159"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As part of entering into the Credit Agreement, OnkosXcel, a wholly owned subsidiary of BTI, granted the OnkosXcel Warrants to the Lenders to purchase 175 individual limited liability company units. The strike price of the OnkosXcel Warrants is formulaic based on the value of OnkosXcel at the time of exercise and can only be exercised upon occurrence of an equity related liquidity event for OnkosXcel of at least $20,000. The exercise price per unit of the OnkosXcel Warrants will be set upon the earlier of the closing of the next sale (or series of related sales) by OnkosXcel of equity securities of OnkosXcel with aggregate proceeds of not less than $20,000 to unrelated third parties (the “Next Equity Financing”) at an exercise price per unit equal to a 10% premium over the price per unit of the equity securities sold by OnkosXcel in such Next Equity Financing or, in the event of a sale of OnkosXcel prior to the Next Equity Financing or an initial public offering constituting the Next Equity Financing, the lesser of (x) 75% of the fair value of the consideration to be paid for a unit upon the consummation of such transaction and (y) 150% of the valuation applicable to the initial profits units issued by OnkosXcel after the closing of the Credit Agreement. The OnkosXcel Warrants are transferable with approval from BTI, which cannot be unreasonably withheld, expire on April 19, 2029, and may be net exercised at the holder’s election.</w:t>
      </w:r>
    </w:p>
    <w:p>
      <w:pPr>
        <w:spacing w:after="0" w:line="145" w:lineRule="exact"/>
        <w:rPr>
          <w:sz w:val="20"/>
          <w:szCs w:val="20"/>
          <w:color w:val="auto"/>
        </w:rPr>
      </w:pPr>
    </w:p>
    <w:p>
      <w:pPr>
        <w:ind w:left="60" w:right="599" w:firstLine="324"/>
        <w:spacing w:after="0" w:line="261" w:lineRule="auto"/>
        <w:rPr>
          <w:sz w:val="20"/>
          <w:szCs w:val="20"/>
          <w:color w:val="auto"/>
        </w:rPr>
      </w:pPr>
      <w:r>
        <w:rPr>
          <w:rFonts w:ascii="Times New Roman" w:cs="Times New Roman" w:eastAsia="Times New Roman" w:hAnsi="Times New Roman"/>
          <w:sz w:val="18"/>
          <w:szCs w:val="18"/>
          <w:color w:val="auto"/>
        </w:rPr>
        <w:t xml:space="preserve">See Note 9, </w:t>
      </w:r>
      <w:r>
        <w:rPr>
          <w:rFonts w:ascii="Times New Roman" w:cs="Times New Roman" w:eastAsia="Times New Roman" w:hAnsi="Times New Roman"/>
          <w:sz w:val="18"/>
          <w:szCs w:val="18"/>
          <w:i w:val="1"/>
          <w:iCs w:val="1"/>
          <w:color w:val="auto"/>
        </w:rPr>
        <w:t>Debt and Credit Facilities</w:t>
      </w:r>
      <w:r>
        <w:rPr>
          <w:rFonts w:ascii="Times New Roman" w:cs="Times New Roman" w:eastAsia="Times New Roman" w:hAnsi="Times New Roman"/>
          <w:sz w:val="18"/>
          <w:szCs w:val="18"/>
          <w:color w:val="auto"/>
        </w:rPr>
        <w:t xml:space="preserve"> included elsewhere in this Quarterly Report on Form 10-Q for additional information relating to the Credit Agreement and RIFA, including applicable interest rates, payment obligations and certain restrictive and financial covenants thereunder. As of September 30, 2024, we were in compliance with all restrictive and financial covenants under the Credit Agreement.</w:t>
      </w:r>
    </w:p>
    <w:p>
      <w:pPr>
        <w:spacing w:after="0" w:line="1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ATM Program</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May 2021, we entered into the Sale Agreement with Jefferies pursuant to which we could offer and sell shares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common stock, having an aggregate offering price of up to $100,000, from time to time, through an “at the market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offering” program under which Jefferies will act as sale agent. On November 1, 2023, we entered into an amendment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Sale Agreement with Jefferies to increase the size of the “at the market offering” program; pursuant to the Sale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Agreement, as amended, we can offer and sell shares of our common stock having an aggregate offering price of up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$150,000 (excluding any shares of common stock already sold in the “at the market offering” program prior to the date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amendment), from time to time, through an “at the market offering” program under which Jefferies will act as sale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agent. During the year ended December 31, 2023, we sold 1,408 shares under the Sale Agreement for net proceeds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$26,221. For the three months ended September 30, 2024, we sold 361 shares under the Sale Agreement for gross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proceeds of $468 and received proceeds of $453, net of issuance costs of $14. For the nine months ended September 30,</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2024, we sold 3,847 shares under the Sale Agreement for gross proceeds of $7,682 and received proceeds of $7,451, net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issuance costs of $231.</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Common Stock Financing Activities</w:t>
      </w:r>
    </w:p>
    <w:p>
      <w:pPr>
        <w:spacing w:after="0" w:line="187" w:lineRule="exact"/>
        <w:rPr>
          <w:sz w:val="20"/>
          <w:szCs w:val="20"/>
          <w:color w:val="auto"/>
        </w:rPr>
      </w:pPr>
    </w:p>
    <w:p>
      <w:pPr>
        <w:ind w:left="60" w:right="179" w:firstLine="405"/>
        <w:spacing w:after="0" w:line="257" w:lineRule="auto"/>
        <w:rPr>
          <w:sz w:val="20"/>
          <w:szCs w:val="20"/>
          <w:color w:val="auto"/>
        </w:rPr>
      </w:pPr>
      <w:r>
        <w:rPr>
          <w:rFonts w:ascii="Times New Roman" w:cs="Times New Roman" w:eastAsia="Times New Roman" w:hAnsi="Times New Roman"/>
          <w:sz w:val="18"/>
          <w:szCs w:val="18"/>
          <w:color w:val="auto"/>
        </w:rPr>
        <w:t xml:space="preserve">As discussed in Note 11, </w:t>
      </w:r>
      <w:r>
        <w:rPr>
          <w:rFonts w:ascii="Times New Roman" w:cs="Times New Roman" w:eastAsia="Times New Roman" w:hAnsi="Times New Roman"/>
          <w:sz w:val="18"/>
          <w:szCs w:val="18"/>
          <w:i w:val="1"/>
          <w:iCs w:val="1"/>
          <w:color w:val="auto"/>
        </w:rPr>
        <w:t>Common Stock Financing Activities</w:t>
      </w:r>
      <w:r>
        <w:rPr>
          <w:rFonts w:ascii="Times New Roman" w:cs="Times New Roman" w:eastAsia="Times New Roman" w:hAnsi="Times New Roman"/>
          <w:sz w:val="18"/>
          <w:szCs w:val="18"/>
          <w:color w:val="auto"/>
        </w:rPr>
        <w:t xml:space="preserve"> included elsewhere in this Quarterly Report on Form 10-Q, on March 25, 2024, the Company entered into a Securities Purchase Agreement (the “Purchase Agreement”) with the purchasers named therein (collectively, the “Purchasers”). Pursuant to the Purchase Agreement, the Company agreed to issue and sell to the Purchasers in a registered direct offering (the “Offering”) under an effective shelf registration statement on Form S-3 (File No. 333-275261) and a related prospectus supplement filed with the Securities and Exchange Commission on March 25, 2024 (the “Prospectus Supplement”) an aggregate of 3,055 shares</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(the “Shares”) of common stock, par value $0.001 per share, and accompanying warrants (the “Accompanying Warrants”) to purchase up to 3,055 shares of common stock at an offering price of $2.901 per Share and Accompanying Warrant and pre-funded warrants (the “Pre-Funded Warrants”) to purchase up to 5,565 shares of common stock and Accompanying Warrants to purchase up to 5,565 shares of common stock, at an offering price of $2.900 per share underlying each Pre-Funded Warrant and Accompanying Warrant, which equals the offering price per Share and Accompanying Warrant less the $0.001 exercise price per share of the Pre-Funded Warrants. The Pre-Funded Warrants and Accompanying Warrants are not listed on the Nasdaq Capital Market or any other securities exchange or trading system and the Company does not intend to list them. On March 27, 2024, The Company received $25,000 of gross proceeds from the Offering. During the third quarter of 2024, the Company received $467 of gross proceeds from the issuance of the Company’s common stock. The Company intends to use the proceeds from these financings, together with its existing cash and cash equivalents, to fund planned clinical trials of BXCL501, commercialization activities for IGALMI™ and for working capital and other general corporate purposes.</w:t>
      </w:r>
    </w:p>
    <w:p>
      <w:pPr>
        <w:spacing w:after="0" w:line="190" w:lineRule="exact"/>
        <w:rPr>
          <w:sz w:val="20"/>
          <w:szCs w:val="20"/>
          <w:color w:val="auto"/>
        </w:rPr>
      </w:pPr>
    </w:p>
    <w:p>
      <w:pPr>
        <w:ind w:left="60" w:right="179" w:firstLine="405"/>
        <w:spacing w:after="0" w:line="274" w:lineRule="auto"/>
        <w:rPr>
          <w:sz w:val="20"/>
          <w:szCs w:val="20"/>
          <w:color w:val="auto"/>
        </w:rPr>
      </w:pPr>
      <w:r>
        <w:rPr>
          <w:rFonts w:ascii="Times New Roman" w:cs="Times New Roman" w:eastAsia="Times New Roman" w:hAnsi="Times New Roman"/>
          <w:sz w:val="17"/>
          <w:szCs w:val="17"/>
          <w:color w:val="auto"/>
        </w:rPr>
        <w:t>The Pre-Funded Warrants have an exercise price per share of common stock equal to $0.001 per share. The exercise price and the number of shares of common stock issuable upon exercise of the Pre-Funded Warrants are subject to appropriate adjustments in the event of certain stock dividends and distributions, stock splits, stock combinations, reclassifications or similar events affecting the common stock. The Pre-Funded Warrants are exercisable at any time after the date of issuance. For the three months ended September 30, 2024, we received $2 for the exercise of 1,705 Pre-funded Warrants.For the nine months ended September 30, 2024, we received $6 for the exercise of 5,565 Pre-funded Warrants.</w:t>
      </w:r>
    </w:p>
    <w:p>
      <w:pPr>
        <w:spacing w:after="0" w:line="173" w:lineRule="exact"/>
        <w:rPr>
          <w:sz w:val="20"/>
          <w:szCs w:val="20"/>
          <w:color w:val="auto"/>
        </w:rPr>
      </w:pPr>
    </w:p>
    <w:p>
      <w:pPr>
        <w:ind w:left="60" w:right="279" w:firstLine="405"/>
        <w:spacing w:after="0" w:line="254" w:lineRule="auto"/>
        <w:rPr>
          <w:sz w:val="20"/>
          <w:szCs w:val="20"/>
          <w:color w:val="auto"/>
        </w:rPr>
      </w:pPr>
      <w:r>
        <w:rPr>
          <w:rFonts w:ascii="Times New Roman" w:cs="Times New Roman" w:eastAsia="Times New Roman" w:hAnsi="Times New Roman"/>
          <w:sz w:val="18"/>
          <w:szCs w:val="18"/>
          <w:color w:val="auto"/>
        </w:rPr>
        <w:t>The Accompanying Warrants have an exercise price per share of common stock equal to $3.20 per share. The exercise price and the number of shares of common stock issuable upon exercise of the Accompanying Warrants are subject to appropriate adjustments in the event of certain stock dividends and distributions, stock splits, stock combinations, reclassifications or similar events affecting the Common Stock. The Accompanying Warrants will be exercisable at any time after the date of issuance and will expire on the fifth anniversary of the date of issuance. The Accompanying Warrants failed to meet the requirements to be indexed to equity and equity classified, and meet the definition of a derivative instrument. Therefore, these instruments are recorded as Derivative liabilities in the Condensed Consolidated Balance Sheet as of September 30, 2024. Therre were no exercises of the Accompanying Warrants as of September 30, 2024.</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646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provided by:</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6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(57,218)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(128,143)</w:t>
            </w:r>
          </w:p>
        </w:tc>
      </w:tr>
      <w:tr>
        <w:trPr>
          <w:trHeight w:val="216"/>
        </w:trPr>
        <w:tc>
          <w:tcPr>
            <w:tcW w:w="6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6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32,384</w:t>
            </w:r>
          </w:p>
        </w:tc>
        <w:tc>
          <w:tcPr>
            <w:tcW w:w="2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24,399</w:t>
            </w:r>
          </w:p>
        </w:tc>
      </w:tr>
    </w:tbl>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89"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2024 was $57,218 and was primarily attributable to our net loss of $48,740, a $736 decrease in Accrued interest, a $997 decrease in Accounts payable, accrued expenses, due to related parties and other current liabilities a $1,017 increase in Prepaid expenses, other current assets and other assets, and a $16,884 change in the fair value of derivative liabilities, partially offset by a $466 decrease in Inventory, a $67 decrease in Accounts receivable, $6,355 of non-cash stock-based compensation, and $3,821 of payable-in-kind interest. The decrease in cash used in operating activities compared to the prior year reflects our actions taken under the Reprioritization.</w:t>
      </w:r>
    </w:p>
    <w:p>
      <w:pPr>
        <w:spacing w:after="0" w:line="148" w:lineRule="exact"/>
        <w:rPr>
          <w:sz w:val="20"/>
          <w:szCs w:val="20"/>
          <w:color w:val="auto"/>
        </w:rPr>
      </w:pPr>
    </w:p>
    <w:p>
      <w:pPr>
        <w:ind w:left="60" w:right="239" w:firstLine="324"/>
        <w:spacing w:after="0" w:line="230"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2023 was $128,143 and was primarily attributable to our net loss of $156,797, which was due to our being in the early stages of commercial launch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our continued product development efforts, in part offset by $15,015 of non-cash stock-based compensation, a $9,098 increase in accounts payable, accrued expenses due to related parties, and other current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liabilities, a $1,724 decrease in prepaid expenses, other current assets and other assets, and a $1,153 increase in accrued interest.</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89" w:lineRule="exact"/>
        <w:rPr>
          <w:sz w:val="20"/>
          <w:szCs w:val="20"/>
          <w:color w:val="auto"/>
        </w:rPr>
      </w:pPr>
    </w:p>
    <w:p>
      <w:pPr>
        <w:ind w:left="60" w:right="719"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2024 and 2023 was $0 and $20, respectively.</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02" w:lineRule="exact"/>
        <w:rPr>
          <w:sz w:val="20"/>
          <w:szCs w:val="20"/>
          <w:color w:val="auto"/>
        </w:rPr>
      </w:pPr>
    </w:p>
    <w:p>
      <w:pPr>
        <w:ind w:left="60" w:right="499"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2024, was $32,384 and was attributable to $25,000 in proceeds received from the March 2024 registered direct offering and net proceeds received from the sale of common stock under the Sale Agreement with Jefferies of $7,451.</w:t>
      </w:r>
    </w:p>
    <w:p>
      <w:pPr>
        <w:spacing w:after="0" w:line="135"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2023 was $24,399 and was primarily attributable to net proceeds received from the sale of common stock under the Sale Agreement with Jefferies of $23,918 and the exercise of stock options.</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Operating Capital and Capital Expenditure Requirements</w:t>
      </w:r>
    </w:p>
    <w:p>
      <w:pPr>
        <w:spacing w:after="0" w:line="202" w:lineRule="exact"/>
        <w:rPr>
          <w:sz w:val="20"/>
          <w:szCs w:val="20"/>
          <w:color w:val="auto"/>
        </w:rPr>
      </w:pPr>
    </w:p>
    <w:p>
      <w:pPr>
        <w:ind w:left="60" w:right="139" w:firstLine="324"/>
        <w:spacing w:after="0" w:line="233" w:lineRule="auto"/>
        <w:rPr>
          <w:sz w:val="20"/>
          <w:szCs w:val="20"/>
          <w:color w:val="auto"/>
        </w:rPr>
      </w:pPr>
      <w:r>
        <w:rPr>
          <w:rFonts w:ascii="Times New Roman" w:cs="Times New Roman" w:eastAsia="Times New Roman" w:hAnsi="Times New Roman"/>
          <w:sz w:val="18"/>
          <w:szCs w:val="18"/>
          <w:color w:val="auto"/>
        </w:rPr>
        <w:t>We expect to continue to incur significant operating losses at least for the next several years as we commercialize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as we expand our clinical trials of and seek marketing approval focused on BXCL501 while pursuing development of additional product candidates for BXCL502, BXCL701 and BXCL702. We expect to continue to incur net losses in the near term. Our net losses may fluctuate significantly from quarter-to-quarter and year-to-year, depending on the timing of our planned clinical trials and our expenditures on other research and development activities.</w:t>
      </w:r>
    </w:p>
    <w:p>
      <w:pPr>
        <w:spacing w:after="0" w:line="161" w:lineRule="exact"/>
        <w:rPr>
          <w:sz w:val="20"/>
          <w:szCs w:val="20"/>
          <w:color w:val="auto"/>
        </w:rPr>
      </w:pPr>
    </w:p>
    <w:p>
      <w:pPr>
        <w:jc w:val="both"/>
        <w:ind w:left="60" w:right="259" w:firstLine="324"/>
        <w:spacing w:after="0" w:line="281" w:lineRule="auto"/>
        <w:rPr>
          <w:sz w:val="20"/>
          <w:szCs w:val="20"/>
          <w:color w:val="auto"/>
        </w:rPr>
      </w:pPr>
      <w:r>
        <w:rPr>
          <w:rFonts w:ascii="Times New Roman" w:cs="Times New Roman" w:eastAsia="Times New Roman" w:hAnsi="Times New Roman"/>
          <w:sz w:val="17"/>
          <w:szCs w:val="17"/>
          <w:color w:val="auto"/>
        </w:rPr>
        <w:t>We have based our projections of operating capital requirements on assumptions that may prove to be incorrect, and we may use all of our available capital resources sooner than we expect. Because of the numerous risks and uncertainties associated with research, development, and commercialization of pharmaceutical products, we are unable to estimate the exact amount of our operating capital requirements. We anticipate that our expenses will increase substantially as we:</w:t>
      </w:r>
    </w:p>
    <w:p>
      <w:pPr>
        <w:spacing w:after="0" w:line="124" w:lineRule="exact"/>
        <w:rPr>
          <w:sz w:val="20"/>
          <w:szCs w:val="20"/>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continue our clinical development of our product candidates;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additional research and development with our product candidates;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acquire, license, develop and commercialize product candidates;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 acquired technologies into a comprehensive regulatory and product development strategy;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9" w:lineRule="exact"/>
        <w:rPr>
          <w:rFonts w:ascii="Times New Roman" w:cs="Times New Roman" w:eastAsia="Times New Roman" w:hAnsi="Times New Roman"/>
          <w:sz w:val="18"/>
          <w:szCs w:val="18"/>
          <w:color w:val="auto"/>
        </w:rPr>
      </w:pPr>
    </w:p>
    <w:p>
      <w:pPr>
        <w:ind w:left="720" w:right="299" w:hanging="319"/>
        <w:spacing w:after="0" w:line="250"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scientific, clinical, quality control and administrative personnel and utilize professional services, including consultants, lawyers, and accountants;</w:t>
      </w:r>
    </w:p>
    <w:p>
      <w:pPr>
        <w:ind w:left="720" w:right="339" w:hanging="319"/>
        <w:spacing w:after="0" w:line="250"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drug development and commercial efforts;</w:t>
      </w: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9" w:lineRule="exact"/>
        <w:rPr>
          <w:rFonts w:ascii="Times New Roman" w:cs="Times New Roman" w:eastAsia="Times New Roman" w:hAnsi="Times New Roman"/>
          <w:sz w:val="18"/>
          <w:szCs w:val="18"/>
          <w:color w:val="auto"/>
        </w:rPr>
      </w:pPr>
    </w:p>
    <w:p>
      <w:pPr>
        <w:ind w:left="720" w:right="299" w:hanging="319"/>
        <w:spacing w:after="0" w:line="215" w:lineRule="auto"/>
        <w:tabs>
          <w:tab w:leader="none" w:pos="7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fully develop a sales, marketing and distribution infrastructure and scale up external manufacturing capabilities to commercialize IGALMI</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and any product candidates for which we may obtain regulatory approval; and</w:t>
      </w: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operate as a public company.</w:t>
      </w:r>
    </w:p>
    <w:p>
      <w:pPr>
        <w:spacing w:after="0" w:line="205"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We believe that our existing cash and cash equivalents as of September 30, 2024 will not be sufficient to enable us to fund operating expenses and capital expenditure requirements for at least the next 12 months from the date of the issuance of the condensed consolidated financial statements included in this Quarterly Report on Form 10-Q, including funding our ongoing research and development and commercialization efforts. In particular, after giving effect to the Reprioritization and other restructuring actions, we believe that our cash and cash equivalents of $40,387 as of September 30, 2024 will allow us to fund our operations and meet our liquidity requirements to the end of 2024. We expect that we will need to obtain substantial additional funding to fund our ongoing operations and planned trials. To the extent that we raise additional capital through the sale of common stock, convertible securities or other equity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securities, the ownership interests of our existing stockholders may be materially diluted, and the terms of these securities could include liquidation or other preferences that could adversely affect the rights of our existing stockholders. In addition, debt financing, if available, would result in increased fixed payment obligations and may involve agreements that include restrictive covenants that limit our ability to take specific actions, such as incurring additional debt, making capital expenditures, or declaring dividends, which could adversely impact our ability to conduct our business. Our failure to raise capital as and when needed would have a negative impact on our financial condition and our ability to pursue our business strategy. If we are unable to raise capital when needed or on attractive terms, we could be forced to significantly delay, scale back or discontinue the development or commercialization of our product candidates, seek collaborators at an earlier stage than otherwise would be desirable or on terms that are less favorable than might otherwise be available, and relinquish or license, potentially on unfavorable terms, our rights to our product candidates that we otherwise would seek to develop or commercialize ourselves. We can provide no assurance that will be successful in obtaining additional necessary resources and, if we are unable to fund our operations, including our clinical trials, we may need to focus on advancing fewer of our product candidates or otherwise consider strategic alternatives.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April 2022, the Company signed a commercial supply agreement that requires minimum annual payments for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three years of the agreement that in aggregate total $10,000 for the three-year period, of which $5,000 was originally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due in year ended 2024. On July 11, 2024, the Company entered into an amendment to the commercial supply agreement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“Product Supply Agreement Amendment”) that reduces the specified minimum annual payment payable by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 over the next three years starting in 2024 and, thereafter, for a specified interval, provides for minimum annual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payments to the extent that the Company receives approval of a supplemental new drug application (“sNDA”) or a new</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drug application (“NDA”) from the FDA for enumerated indications. The Company’s renegotiated agreement reduces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minimum commitment for 2024 to $1,000 and thereafter for the term of the agreement in annual amounts ranging from</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$2,000 to $5,000 subject, in certain instances, to the extent that the Company receives approval of an sNDA or NDA from</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FDA for enumerated indications. In accordance with the Product Supply Agreement Amendment, the minimum</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commitments were reduced to $1,000, $2,000 and $2,000 in the years 2024, 2025, and 2026. In addition, the Company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agreed to make a reconciliation payment of $1,200 in the third quarter of 2024 for full settlement for amounts due prior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July 11, 2024 amendment.</w:t>
      </w:r>
    </w:p>
    <w:p>
      <w:pPr>
        <w:spacing w:after="0" w:line="166"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In February 2022, we signed a distribution agreement with a third-party to distribute product related to BXCL501 in the U.S. The distributor will be paid defined fees for its services under the agreement, which can be terminated by either party for cause. The distribution agreement can also be terminated by us without cause, subject to payment of agreed upon termination fees.</w:t>
      </w:r>
    </w:p>
    <w:p>
      <w:pPr>
        <w:spacing w:after="0" w:line="153" w:lineRule="exact"/>
        <w:rPr>
          <w:sz w:val="20"/>
          <w:szCs w:val="20"/>
          <w:color w:val="auto"/>
        </w:rPr>
      </w:pPr>
    </w:p>
    <w:p>
      <w:pPr>
        <w:ind w:left="60" w:right="279" w:firstLine="324"/>
        <w:spacing w:after="0" w:line="277" w:lineRule="auto"/>
        <w:rPr>
          <w:sz w:val="20"/>
          <w:szCs w:val="20"/>
          <w:color w:val="auto"/>
        </w:rPr>
      </w:pPr>
      <w:r>
        <w:rPr>
          <w:rFonts w:ascii="Times New Roman" w:cs="Times New Roman" w:eastAsia="Times New Roman" w:hAnsi="Times New Roman"/>
          <w:sz w:val="17"/>
          <w:szCs w:val="17"/>
          <w:color w:val="auto"/>
        </w:rPr>
        <w:t xml:space="preserve">BTI leases office space for its corporate headquarters at 555 Long Wharf Drive, New Haven, Connecticut (the “HQ Lease”). The HQ Lease expires in February 2026. The Company has an option to renew the HQ Lease for one additional five-year term. Payments under the HQ Lease are fixed. The Company has approximately $551 of payments remaining under the HQ Lease. For additional details, see Note 13,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in the Notes to Condensed Consolidated Financial Statements included in this Quarterly Report on Form 10-Q for additional information relating to the Company’s leases.</w:t>
      </w:r>
    </w:p>
    <w:p>
      <w:pPr>
        <w:spacing w:after="0" w:line="127"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addition, we are obligated to make quarterly interest payments under our Credit Agreement, respectively, as well as potential Revenue Covenant cure payments under the Credit Agreement. For additional details, see Note 9, </w:t>
      </w:r>
      <w:r>
        <w:rPr>
          <w:rFonts w:ascii="Times New Roman" w:cs="Times New Roman" w:eastAsia="Times New Roman" w:hAnsi="Times New Roman"/>
          <w:sz w:val="18"/>
          <w:szCs w:val="18"/>
          <w:i w:val="1"/>
          <w:iCs w:val="1"/>
          <w:color w:val="auto"/>
        </w:rPr>
        <w:t>Debt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in the Notes to Condensed Consolidated Financial Statements included in this Quarterly Report on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10-Q for additional information relating to the Company’s debt payment obligations. See also “— Sources of Liquidity” for additional information regarding anticipated amendments to the Company’s debt payment obligations.</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Our critical accounting policies and estimates are described in “Management’s Discussion and Analysis of Financial Condition and Results of Operations-Critical Accounting Policies and Estimates” in our Annual Report on Form 10-K for the fiscal year ended December 31, 2023. We have reviewed and determined that those critical accounting policies and estimates remain our critical accounting policies and estimates as of and for the nine months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59"/>
        <w:spacing w:after="0" w:line="266" w:lineRule="auto"/>
        <w:rPr>
          <w:sz w:val="20"/>
          <w:szCs w:val="20"/>
          <w:color w:val="auto"/>
        </w:rPr>
      </w:pPr>
      <w:r>
        <w:rPr>
          <w:rFonts w:ascii="Times New Roman" w:cs="Times New Roman" w:eastAsia="Times New Roman" w:hAnsi="Times New Roman"/>
          <w:sz w:val="18"/>
          <w:szCs w:val="18"/>
          <w:color w:val="auto"/>
        </w:rPr>
        <w:t xml:space="preserve">ended September 30, 2024. No material changes were made to our existing critical accounting policies and estimates during the period presented. Refer to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Condensed Consolidated Financial Statements elsewhere in this Form 10-Q.</w:t>
      </w:r>
    </w:p>
    <w:p>
      <w:pPr>
        <w:spacing w:after="0" w:line="145" w:lineRule="exact"/>
        <w:rPr>
          <w:sz w:val="20"/>
          <w:szCs w:val="20"/>
          <w:color w:val="auto"/>
        </w:rPr>
      </w:pPr>
    </w:p>
    <w:p>
      <w:pPr>
        <w:ind w:left="60" w:right="3759"/>
        <w:spacing w:after="0" w:line="448" w:lineRule="auto"/>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Foreign Exchange Risk</w:t>
      </w:r>
    </w:p>
    <w:p>
      <w:pPr>
        <w:spacing w:after="0" w:line="1"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As of September 30, 2024, we had $40,387 of cash and cash equivalents. Our cash and cash equivalents are primarily held in money market funds that hold U.S. government cash equivalent instruments. We do not participate in any foreign currency hedging activities and have limited exposure to other derivative financial instruments, primarily resulting from the terms and conditions of the Credit Agreement. We did not recognize any significant exchange rate losses during the three months ended September 30, 2024 and 2023.</w:t>
      </w:r>
    </w:p>
    <w:p>
      <w:pPr>
        <w:spacing w:after="0" w:line="129"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We do not believe that our cash and cash equivalents have significant risk of default or illiquidity. While we believe our cash and cash equivalents do not contain material market risk, we cannot provide absolute assurance that in the future our investments will not be subject to adverse changes in market value. In addition, we maintain significant amounts of cash at one or more financial institutions that exceed federally insured limits. In the event of a failure of any of the financial institutions where we maintain our cash and cash equivalents, there can be no assurance that we will be able to access uninsured funds in a timely manner or at all.</w:t>
      </w:r>
    </w:p>
    <w:p>
      <w:pPr>
        <w:spacing w:after="0" w:line="1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jc w:val="both"/>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The loans under the Credit Agreement bear interest at a variable annual rate of the Secured Overnight Financing Rate (“Term SOFR”) (but not less than 2.5% or more than 5.5%) plus 7.5% payable quarterly. Consequently, we have material interest rate exposure due to our indebtedness, however this risk is hedged in part by the floor and ceiling on Term SOFR rates.</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Capital Market Risk</w:t>
      </w:r>
    </w:p>
    <w:p>
      <w:pPr>
        <w:spacing w:after="0" w:line="175"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We currently do not have substantial product revenues and depend on funds raised through other sources. One source of funding includes future debt or equity offerings. Our ability to raise funds in this manner depends upon, among other things, capital market forces affecting our stock price, and on the state of the capital markets generally.</w:t>
      </w:r>
    </w:p>
    <w:p>
      <w:pPr>
        <w:spacing w:after="0" w:line="1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September 30, 2024.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47"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September 30, 2024, our Chief Executive Officer and Chief Financial Officer concluded that, as of such date, our disclosure controls and procedures were effective at the reasonable assurance level.</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jc w:val="both"/>
        <w:ind w:left="60" w:right="419"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three months ended September 30, 2024 that have materially affected, or are reasonably likely to materially affect, our internal control over financial reporting.</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 xml:space="preserve">From time to time, we may be subject to litigation and claims arising in the ordinary course of business, which could have a material adverse effect on our business, operating results, cash flows or financial condition. Please refer to Note 16,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of our unaudited condensed consolidated financial statements in Part I, Item 1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Report on Form 10-Q for information regarding material legal proceedings.</w:t>
      </w:r>
    </w:p>
    <w:p>
      <w:pPr>
        <w:spacing w:after="0" w:line="139" w:lineRule="exact"/>
        <w:rPr>
          <w:sz w:val="20"/>
          <w:szCs w:val="20"/>
          <w:color w:val="auto"/>
        </w:rPr>
      </w:pPr>
    </w:p>
    <w:p>
      <w:pPr>
        <w:ind w:left="60" w:right="259" w:firstLine="324"/>
        <w:spacing w:after="0" w:line="254" w:lineRule="auto"/>
        <w:rPr>
          <w:sz w:val="20"/>
          <w:szCs w:val="20"/>
          <w:color w:val="auto"/>
        </w:rPr>
      </w:pPr>
      <w:r>
        <w:rPr>
          <w:rFonts w:ascii="Times New Roman" w:cs="Times New Roman" w:eastAsia="Times New Roman" w:hAnsi="Times New Roman"/>
          <w:sz w:val="18"/>
          <w:szCs w:val="18"/>
          <w:color w:val="auto"/>
        </w:rPr>
        <w:t>In addition, in February 2024, we became aware that the SEC had initiated a formal investigation involving the Company and certain of its directors and officers. This formal investigation relates to the Company’s public disclosures, including about product sales and the receipt of a Form 483 by an investigator at one of the Company’s clinical trial sites in the TRANQUILITY II study, and trading in the securities of the Company. We are cooperating fully with the investigation including producing documents, and current and former officers and employees of the Company have testified before the SEC. We cannot predict or determine whether any proceeding may be instituted by the SEC in connection with its investigation or the outcome of any proceeding that may be instituted, or the effects any such proceeding could have on the Company’s business or financing efforts.</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You should carefully consider the risks described below, as well as general economic and business risks and the other information in this Quarterly Report on Form 10-Q and our Annual Report on Form 10-K for the fiscal year ended December 31, 2023.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Financial Position and Need for Additional Capital</w:t>
      </w:r>
    </w:p>
    <w:p>
      <w:pPr>
        <w:spacing w:after="0" w:line="198"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not generated substantial product revenues to date, which may make it difficult to evaluate the success of our business and to assess our future viability.</w:t>
      </w:r>
    </w:p>
    <w:p>
      <w:pPr>
        <w:spacing w:after="0" w:line="118"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We were incorporated in March 2017 and our operations to date have been largely focused on staffing our Company, raising capital, advancing the development of our product candidates, including conducting clinical and preclinical studies and establishing our commercial organization. We have only one product approved for commercial sale, and have limited experience in obtaining marketing approvals, manufacturing products on a commercial scale, and conducting sales and marketing activities necessary for successful commercialization. Consequently, predictions about our future success or viability may not be as accurate as they could be if we had a longer operating history or a history of successfully commercializing products.</w:t>
      </w:r>
    </w:p>
    <w:p>
      <w:pPr>
        <w:spacing w:after="0" w:line="148" w:lineRule="exact"/>
        <w:rPr>
          <w:sz w:val="20"/>
          <w:szCs w:val="20"/>
          <w:color w:val="auto"/>
        </w:rPr>
      </w:pPr>
    </w:p>
    <w:p>
      <w:pPr>
        <w:ind w:left="60" w:right="419" w:firstLine="324"/>
        <w:spacing w:after="0" w:line="230"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continue to fluctuate from quarter to quarter and year to year due to a variety of factors, many of which are beyond our control. We are focused primarily on research and development while continuing to support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commercial activities. We may encounter unforeseen expenses, difficulties, complications and delays, and may not be successful in such a transition.</w:t>
      </w:r>
    </w:p>
    <w:p>
      <w:pPr>
        <w:spacing w:after="0" w:line="167"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inception and anticipate that we will continue to incur substantial operating losses for the foreseeable future and may never achieve or maintain profitability.</w:t>
      </w:r>
    </w:p>
    <w:p>
      <w:pPr>
        <w:spacing w:after="0" w:line="118" w:lineRule="exact"/>
        <w:rPr>
          <w:sz w:val="20"/>
          <w:szCs w:val="20"/>
          <w:color w:val="auto"/>
        </w:rPr>
      </w:pPr>
    </w:p>
    <w:p>
      <w:pPr>
        <w:ind w:left="60" w:right="139" w:firstLine="324"/>
        <w:spacing w:after="0" w:line="238"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Our net loss was $48.7 million and $156.8 million for the nine months ended September 30, 2024 and 2023, respectively. As of September 30, 2024, we had a stockholders’ deficit of approximately $85.6 million. We expect to continue to incur significant expenses and increasing operating losses for the foreseeable future. We have only one product candidate approved for marketing in the U.S., none in any other jurisdiction, and may never receive approval beyond the one product approved to date. It could be several years, if ever, before we have a commercialized product that generates significant revenues through sales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our product candidates, if approved. As a result, we are uncertain when or if we will achieve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profitability and, if so, whether we will be able to sustain it. The net losses we incur may fluctuate significantly from quarter to quarter and year to year. We anticipate that our expenses may increase in the long term as we:</w:t>
      </w:r>
    </w:p>
    <w:p>
      <w:pPr>
        <w:spacing w:after="0" w:line="135" w:lineRule="exact"/>
        <w:rPr>
          <w:sz w:val="20"/>
          <w:szCs w:val="20"/>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development of our product candidates;</w:t>
      </w:r>
    </w:p>
    <w:p>
      <w:pPr>
        <w:spacing w:after="0" w:line="184" w:lineRule="exact"/>
        <w:rPr>
          <w:rFonts w:ascii="Times New Roman" w:cs="Times New Roman" w:eastAsia="Times New Roman" w:hAnsi="Times New Roman"/>
          <w:sz w:val="18"/>
          <w:szCs w:val="18"/>
          <w:color w:val="auto"/>
        </w:rPr>
      </w:pPr>
    </w:p>
    <w:p>
      <w:pPr>
        <w:ind w:left="720" w:right="91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preclinical studies and clinical trials for our current product candidates and any future product candidates that we may pursue;</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maintain, expand and protect our intellectual property portfolio;</w:t>
      </w:r>
    </w:p>
    <w:p>
      <w:pPr>
        <w:spacing w:after="0" w:line="198" w:lineRule="exact"/>
        <w:rPr>
          <w:rFonts w:ascii="Times New Roman" w:cs="Times New Roman" w:eastAsia="Times New Roman" w:hAnsi="Times New Roman"/>
          <w:sz w:val="18"/>
          <w:szCs w:val="18"/>
          <w:color w:val="auto"/>
        </w:rPr>
      </w:pPr>
    </w:p>
    <w:p>
      <w:pPr>
        <w:ind w:left="720" w:right="49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regulatory approvals for our current and future product candidates that successfully complete clinical trials;</w:t>
      </w:r>
    </w:p>
    <w:p>
      <w:pPr>
        <w:spacing w:after="0" w:line="113" w:lineRule="exact"/>
        <w:rPr>
          <w:rFonts w:ascii="Times New Roman" w:cs="Times New Roman" w:eastAsia="Times New Roman" w:hAnsi="Times New Roman"/>
          <w:sz w:val="18"/>
          <w:szCs w:val="18"/>
          <w:color w:val="auto"/>
        </w:rPr>
      </w:pPr>
    </w:p>
    <w:p>
      <w:pPr>
        <w:ind w:left="720" w:right="399" w:hanging="319"/>
        <w:spacing w:after="0" w:line="217"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 appropriate sales, marketing, and distribution infrastructure to commercialize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any other product candidates for which we may obtain marketing approval;</w:t>
      </w:r>
    </w:p>
    <w:p>
      <w:pPr>
        <w:spacing w:after="0" w:line="15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hire additional clinical, commercial, regulatory, scientific and finance personnel; and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185" w:lineRule="exact"/>
        <w:rPr>
          <w:sz w:val="20"/>
          <w:szCs w:val="20"/>
          <w:color w:val="auto"/>
        </w:rPr>
      </w:pPr>
    </w:p>
    <w:p>
      <w:pPr>
        <w:ind w:left="60" w:right="159" w:firstLine="324"/>
        <w:spacing w:after="0" w:line="236" w:lineRule="auto"/>
        <w:rPr>
          <w:sz w:val="20"/>
          <w:szCs w:val="20"/>
          <w:color w:val="auto"/>
        </w:rPr>
      </w:pPr>
      <w:r>
        <w:rPr>
          <w:rFonts w:ascii="Times New Roman" w:cs="Times New Roman" w:eastAsia="Times New Roman" w:hAnsi="Times New Roman"/>
          <w:sz w:val="18"/>
          <w:szCs w:val="18"/>
          <w:color w:val="auto"/>
        </w:rPr>
        <w:t>To become and remain profitable, we must develop and commercialize more products or product candidates with significant market potential. This will require us to be successful in a range of challenging activities, including completing clinical trials of our product candidates, developing commercial scale manufacturing processes, obtaining marketing approval, manufacturing, marketing, and selling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any current and future product candidates for which we may obtain marketing approval, and satisfying any post-marketing requirements. We may never succeed in any or all of these activities and, even if we do, we may never generate sufficient revenue to achieve profitability.</w:t>
      </w:r>
    </w:p>
    <w:p>
      <w:pPr>
        <w:spacing w:after="0" w:line="152" w:lineRule="exact"/>
        <w:rPr>
          <w:sz w:val="20"/>
          <w:szCs w:val="20"/>
          <w:color w:val="auto"/>
        </w:rPr>
      </w:pPr>
    </w:p>
    <w:p>
      <w:pPr>
        <w:ind w:left="60" w:right="179" w:firstLine="324"/>
        <w:spacing w:after="0" w:line="244" w:lineRule="auto"/>
        <w:rPr>
          <w:sz w:val="20"/>
          <w:szCs w:val="20"/>
          <w:color w:val="auto"/>
        </w:rPr>
      </w:pPr>
      <w:r>
        <w:rPr>
          <w:rFonts w:ascii="Times New Roman" w:cs="Times New Roman" w:eastAsia="Times New Roman" w:hAnsi="Times New Roman"/>
          <w:sz w:val="18"/>
          <w:szCs w:val="18"/>
          <w:color w:val="auto"/>
        </w:rPr>
        <w:t>Although we have obtained U.S. FDA approval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because of the numerous risks and uncertainties associated with product development, we are unable to accurately predict the timing or amount of expenses or when, or if, we will obtain marketing approval to commercialize any additional product candidates. If we are required by the FDA, or other regulatory authorities such as the European Medicines Agency (“EMA”) to perform studies and trials in addition to those currently expected, or if there are any delays in the development, or in the completion of any planned or future preclinical studies or clinical trials of our current or future product candidates, our expenses could increase and profitability could be further delayed. For example, developments with respect to our TRANQUILITY program evaluating BXCL501 in patients with dementia due to probable Alzheimer’s disease may increase the likelihood that we experience such costs or delays, as discussed in the risk factor below entitled: “</w:t>
      </w:r>
      <w:r>
        <w:rPr>
          <w:rFonts w:ascii="Times New Roman" w:cs="Times New Roman" w:eastAsia="Times New Roman" w:hAnsi="Times New Roman"/>
          <w:sz w:val="18"/>
          <w:szCs w:val="18"/>
          <w:i w:val="1"/>
          <w:iCs w:val="1"/>
          <w:color w:val="auto"/>
        </w:rPr>
        <w:t>Developments relating to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TRANQUILITY II Phase 3 trial may impact the timing of our development plans for, and prospects for seeking or obtaining regulatory approval of, BXCL501 for the acute treatment of agitation (non-daily) associated with dementia in patients with probable Alzheimer’s disease</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w:t>
      </w:r>
    </w:p>
    <w:p>
      <w:pPr>
        <w:spacing w:after="0" w:line="121"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strategic reprioritization and other workforce reductions may not achieve our intended outcome.</w:t>
      </w:r>
    </w:p>
    <w:p>
      <w:pPr>
        <w:spacing w:after="0" w:line="229" w:lineRule="exact"/>
        <w:rPr>
          <w:sz w:val="20"/>
          <w:szCs w:val="20"/>
          <w:color w:val="auto"/>
        </w:rPr>
      </w:pPr>
    </w:p>
    <w:p>
      <w:pPr>
        <w:ind w:left="60" w:right="139" w:firstLine="324"/>
        <w:spacing w:after="0" w:line="236" w:lineRule="auto"/>
        <w:rPr>
          <w:sz w:val="20"/>
          <w:szCs w:val="20"/>
          <w:color w:val="auto"/>
        </w:rPr>
      </w:pPr>
      <w:r>
        <w:rPr>
          <w:rFonts w:ascii="Times New Roman" w:cs="Times New Roman" w:eastAsia="Times New Roman" w:hAnsi="Times New Roman"/>
          <w:sz w:val="18"/>
          <w:szCs w:val="18"/>
          <w:color w:val="auto"/>
        </w:rPr>
        <w:t>In August 2023, we announced a broad-based strategic reprioritization (the “Reprioritization”) and have taken further restructuring actions since then. As part of these efforts, we have taken actions to reduce certain operational and workforce expenses that are no longer deemed core to our ongoing operations in order to extend our cash runway and drive innovation and growth in high potential clinical development and value creating opportunities. These actions include a shift in commercial strategy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in the institutional setting, a reduction of in-hospital commercialization expenses, a suspension of programs no longer determined to be core to ongoing operations, and 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prioritization on at-home treatment setting opportunities for BXCL501. As part of this strategy, we reduced our workforce by approximately 60%. As of December 31, 2023, the Reprioritization was substantially completed.</w:t>
      </w:r>
    </w:p>
    <w:p>
      <w:pPr>
        <w:spacing w:after="0" w:line="162"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The reduction in force may result in unintended consequences and costs, such as the loss of institutional knowledge and expertise, attrition beyond the intended number of employees, decreased morale among our remaining employees, and the risk that we may not achieve the anticipated benefits of the reduction in force. In addition, while positions have been eliminated, certain functions necessary to our operations remain, and we may be unsuccessful in distributing the duties and obligations of departed employees among our remaining employees. The reduction in workforce could also make it difficult for us to pursue, or prevent us from pursuing, new opportunities and initiatives due to insufficient personnel, or require us to incur additional and unanticipated costs to hire new personnel to pursue such opportunities or initiatives. The workforce reduction could also harm our reputation, making our ability to recruit skilled personnel difficult. If we are unable to realize the anticipated benefits from the reduction in force, or if we experience significant adverse consequences from the reduction in force, our business, financial condition, and results of operations may be materially adversely affected.</w:t>
      </w:r>
    </w:p>
    <w:p>
      <w:pPr>
        <w:spacing w:after="0" w:line="192" w:lineRule="exact"/>
        <w:rPr>
          <w:sz w:val="20"/>
          <w:szCs w:val="20"/>
          <w:color w:val="auto"/>
        </w:rPr>
      </w:pPr>
    </w:p>
    <w:p>
      <w:pPr>
        <w:ind w:left="60" w:right="139" w:firstLine="324"/>
        <w:spacing w:after="0" w:line="224" w:lineRule="auto"/>
        <w:rPr>
          <w:sz w:val="20"/>
          <w:szCs w:val="20"/>
          <w:color w:val="auto"/>
        </w:rPr>
      </w:pPr>
      <w:r>
        <w:rPr>
          <w:rFonts w:ascii="Times New Roman" w:cs="Times New Roman" w:eastAsia="Times New Roman" w:hAnsi="Times New Roman"/>
          <w:sz w:val="18"/>
          <w:szCs w:val="18"/>
          <w:color w:val="auto"/>
        </w:rPr>
        <w:t>In addition, we may not realize the benefits of or there may be unanticipated costs associated with our Reprioritization. As a result of the Reprioritization, including our strategic refocus, we may not generate material revenues from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in the near term because our commercial force will be significantly reduced. If we are unable to commercialize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in a different setting or unable to develop, receive marketing approval for and successfully commercialize BXCL501, BXCL701 and any of our other product candidates on our own or with any future collaborator, or experience delays because of any of these factors or otherwise, our business could be materially and substantially harmed.</w:t>
      </w:r>
    </w:p>
    <w:p>
      <w:pPr>
        <w:spacing w:after="0" w:line="204"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In addition, because we have limited financial and managerial resources, under our Reprioritization, we intend to focus on specific product candidates, indications and development programs. We may also conduct several clinical trials for our product candidates in parallel over the next several years, which may make our decision as to which product candidates to focus on more difficult. As a result, we may forgo or delay pursuit of opportunities with other product candidates or other indications that could have had greater commercial potential or likelihood of success.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future collaborations, licenses and other similar arrangements in cases in which it would have been more advantageous for us to retain sole development and commercialization rights to such product candidate. If we are not successful in increasing our efficiency as a result of this Reprioritization, our efforts to develop and commercialize our product candidates may be delayed or halted and our business could be materially adversely impacted.</w:t>
      </w:r>
    </w:p>
    <w:p>
      <w:pPr>
        <w:spacing w:after="0" w:line="187"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In May and September 2024, we initiated further workforce reductions, and we may undertake further similar cost-saving initiatives, which may include additional restructuring or workforce reductions. These types of cost-reduction activities can be complex and result in unintended consequences and costs, including decreased employee morale, loss of institutional knowledge and expertise and adversely impact our business.</w:t>
      </w:r>
    </w:p>
    <w:p>
      <w:pPr>
        <w:spacing w:after="0" w:line="176" w:lineRule="exact"/>
        <w:rPr>
          <w:sz w:val="20"/>
          <w:szCs w:val="20"/>
          <w:color w:val="auto"/>
        </w:rPr>
      </w:pPr>
    </w:p>
    <w:p>
      <w:pPr>
        <w:ind w:left="60" w:right="2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and if we are unable to raise capital when needed, we could be forced to delay, reduce or eliminate our product development programs or commercialization efforts or otherwise seek strategic alternatives. In addition, the failure to raise additional financing in accordance with the minimum capital raising requirements of our Credit Agreement (as defined herein) would trigger an event of default thereunder.</w:t>
      </w:r>
    </w:p>
    <w:p>
      <w:pPr>
        <w:spacing w:after="0" w:line="153" w:lineRule="exact"/>
        <w:rPr>
          <w:sz w:val="20"/>
          <w:szCs w:val="20"/>
          <w:color w:val="auto"/>
        </w:rPr>
      </w:pPr>
    </w:p>
    <w:p>
      <w:pPr>
        <w:ind w:left="60" w:right="299" w:firstLine="324"/>
        <w:spacing w:after="0" w:line="255" w:lineRule="auto"/>
        <w:rPr>
          <w:sz w:val="20"/>
          <w:szCs w:val="20"/>
          <w:color w:val="auto"/>
        </w:rPr>
      </w:pPr>
      <w:r>
        <w:rPr>
          <w:rFonts w:ascii="Times New Roman" w:cs="Times New Roman" w:eastAsia="Times New Roman" w:hAnsi="Times New Roman"/>
          <w:sz w:val="18"/>
          <w:szCs w:val="18"/>
          <w:color w:val="auto"/>
        </w:rPr>
        <w:t>We will require additional future funding to support current and anticipated future expenses. We currently anticipate continuing to develop and conduct clinical trials with respect to our current and any future product candidates; seek to identify and develop additional product candidates; acquire or in-license other product candidates or technologies; seek regulatory approvals for our product candidates that successfully complete clinical trials, if any; establish sales, marketing, distribution and other commercial infrastructure to support the commercialization of products for which we may obtain marketing approval; require the manufacture of larger quantities of product candidates for clinical development and, potentially, commercialization; maintain, expand and protect our intellectual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property portfolio; hire and retain limited additional personnel, such as clinical, quality control and scientific personnel; add operational, financial and management information systems and personnel, including personnel to support our product development and help us comply with our obligations as a public company; and add equipment and physical infrastructure to support our research and development programs.</w:t>
      </w:r>
    </w:p>
    <w:p>
      <w:pPr>
        <w:spacing w:after="0" w:line="145" w:lineRule="exact"/>
        <w:rPr>
          <w:sz w:val="20"/>
          <w:szCs w:val="20"/>
          <w:color w:val="auto"/>
        </w:rPr>
      </w:pPr>
    </w:p>
    <w:p>
      <w:pPr>
        <w:ind w:left="60" w:right="179" w:firstLine="324"/>
        <w:spacing w:after="0" w:line="246" w:lineRule="auto"/>
        <w:rPr>
          <w:sz w:val="20"/>
          <w:szCs w:val="20"/>
          <w:color w:val="auto"/>
        </w:rPr>
      </w:pPr>
      <w:r>
        <w:rPr>
          <w:rFonts w:ascii="Times New Roman" w:cs="Times New Roman" w:eastAsia="Times New Roman" w:hAnsi="Times New Roman"/>
          <w:sz w:val="18"/>
          <w:szCs w:val="18"/>
          <w:color w:val="auto"/>
        </w:rPr>
        <w:t>We have been and may continue to be required to expend significant funds to continue to commercialize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in the U.S. and advance the development of BXCL501, BXCL701, BXCL502 and our other product candidates. In addition, while we may seek one or more collaborators for future development of our current product candidates or any future product candidates that we may develop for one or more indications, we may not be able to enter into a collaboration for any of our product candidates for such indications on suitable terms, on a timely basis or at all. In any event, our existing cash will not be sufficient to fund all of the efforts that we plan to undertake or to fund the completion of development of our product candidates or our other preclinical programs. Accordingly, we will be required to obtain further funding through public or private equity offerings, debt financings, collaborations and licensing arrangements or other sources. We may also seek third-party investments in or other strategic options for our subsidiary, OnkosXcel. Further financing may not be available to us on acceptable terms, or at all. In addition, we are reliant on the financial institutions with which we hold our cash and cash equivalents. If such institutions were to close, we may not be able to recover all of our cash or cash equivalents held at such institutions. Moreover, market volatility, credit crises, adverse macroeconomic conditions, such as high interest or inflation rates, or other factors, as well as Company-specific factors such as the progress of our development pipeline, adverse clinical events or results, regulatory investigations, or ongoing or potential legal proceedings, could also adversely impact our ability to access capital as and when needed. Our failure to raise capital as and when needed would have a negative impact on our financial condition and our ability to pursue our business strategy.</w:t>
      </w:r>
    </w:p>
    <w:p>
      <w:pPr>
        <w:spacing w:after="0" w:line="154"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Management believes that, after giving effect to the Reprioritization and other restructuring actions, the Company’s cash and cash equivalents of $40.4 million as of September 30, 2024 will allow the Company to fund its operations and meet its liquidity requirements through the end of 2024. However, the ultimate expected cost benefit resulting from the Reprioritization and other cost-saving initiatives cannot be assured, and there can be no assurance that we will be able to extend our cash runway by meeting the conditions for additional funding under the terms of our Credit Agreement (defined below) or otherwise. In addition, the failure to raise additional financing in accordance with the minimum capital raising requirements of our Credit Agreement would trigger an event of default thereunder. The Fourth Amendment to our Credit Agreement includes covenants that we will receive, (i) after March 20, 2024, which is the effective date of the Fourth Amendment, and on or before April 15, 2024, at least $25.0 million in gross proceeds from the issuance of our common stock, warrants and/or pre-funded warrants, and/or in non-refundable cash consideration from partnering transactions entered into after March 20, 2024 (so long as such partnering transactions would not require us or any of our subsidiaries to make any cash investments in connection with the partnering transactions and no such cash investments are made), and (ii) after March 20, 2024 and on or before November 30, 2024, at least $50.0 million (for the avoidance of doubt, inclusive of amounts previously counted toward the preceding clause (i)) in gross proceeds from the issuance of our common stock, warrants and/or pre-funded warrants, and/or in cash and/or non-cash consideration (measured at fair market value, as determined by the Administrative Agent (as defined in the Credit Agreement) in its sole discretion from partnering transactions entered into after March 20, 2024. Failure to perform this covenant would constitute (A) a default under the Credit Agreement and (B) an event of default under the Credit Agreement, subject to a cure period in the case of clause (i) of the preceding sentence, until May 15, 2024. For the avoidance of doubt, failure to perform clause (ii) would constitute an immediate event of default under the Credit Agreement without any cure or grace period.</w:t>
      </w:r>
    </w:p>
    <w:p>
      <w:pPr>
        <w:spacing w:after="0" w:line="149"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Furthermore, our estimate as to how long we expect our existing cash to be able to continue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156" w:lineRule="exact"/>
        <w:rPr>
          <w:sz w:val="20"/>
          <w:szCs w:val="20"/>
          <w:color w:val="auto"/>
        </w:rPr>
      </w:pPr>
    </w:p>
    <w:p>
      <w:pPr>
        <w:ind w:left="720" w:right="41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costs, and results of clinical trials of our product candidates, including any delays that have occurred or may occur due to the recent developments with the TRANQUILITY program;</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01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and the terms and timing of any collaborations, licensing agreements or other arrangements;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seeking regulatory approvals;</w:t>
      </w:r>
    </w:p>
    <w:p>
      <w:pPr>
        <w:spacing w:after="0" w:line="176" w:lineRule="exact"/>
        <w:rPr>
          <w:rFonts w:ascii="Times New Roman" w:cs="Times New Roman" w:eastAsia="Times New Roman" w:hAnsi="Times New Roman"/>
          <w:sz w:val="18"/>
          <w:szCs w:val="18"/>
          <w:color w:val="auto"/>
        </w:rPr>
      </w:pPr>
    </w:p>
    <w:p>
      <w:pPr>
        <w:ind w:left="720" w:right="299" w:hanging="319"/>
        <w:spacing w:after="0" w:line="226"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for any of our product candidates that receive marketing approval, to the extent such costs are not the responsibility of any future collaborators, including the costs and timing of establishing product sales, marketing, distribution and manufacturing capabilities;</w:t>
      </w:r>
    </w:p>
    <w:p>
      <w:pPr>
        <w:spacing w:after="0" w:line="15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received from commercial sales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our current and future product candidates;</w:t>
      </w:r>
    </w:p>
    <w:p>
      <w:pPr>
        <w:spacing w:after="0" w:line="113"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protecting our intellectual property rights and defending against intellectual property related claims;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future product candidates that we pursue and their development requirements;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policies or laws that may affect our operations;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physician acceptance or medical society recommendations that may affect commercial efforts;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potential new product candidates or technology;</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operations continue;</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legal proceedings and investigations;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adverse market conditions or other macroeconomic factors.</w:t>
      </w:r>
    </w:p>
    <w:p>
      <w:pPr>
        <w:spacing w:after="0" w:line="198" w:lineRule="exact"/>
        <w:rPr>
          <w:sz w:val="20"/>
          <w:szCs w:val="20"/>
          <w:color w:val="auto"/>
        </w:rPr>
      </w:pPr>
    </w:p>
    <w:p>
      <w:pPr>
        <w:ind w:left="60" w:right="339" w:firstLine="324"/>
        <w:spacing w:after="0" w:line="256" w:lineRule="auto"/>
        <w:rPr>
          <w:sz w:val="20"/>
          <w:szCs w:val="20"/>
          <w:color w:val="auto"/>
        </w:rPr>
      </w:pPr>
      <w:r>
        <w:rPr>
          <w:rFonts w:ascii="Times New Roman" w:cs="Times New Roman" w:eastAsia="Times New Roman" w:hAnsi="Times New Roman"/>
          <w:sz w:val="18"/>
          <w:szCs w:val="18"/>
          <w:color w:val="auto"/>
        </w:rPr>
        <w:t>As we continue our research and development activities, we will require additional resources to continue as a going concern. We can provide no assurance that we will successfully obtain additional resources to improve our financial condition. If we are unable to obtain necessary additional capital, we could be compelled to pursue alternative options, including, without limitation, implementing further workforce reductions, reducing or ceasing product development programs and advancement of our clinical trials and product candidates, selling our assets or seeking other strategic alternatives.</w:t>
      </w:r>
    </w:p>
    <w:p>
      <w:pPr>
        <w:spacing w:after="0" w:line="143" w:lineRule="exact"/>
        <w:rPr>
          <w:sz w:val="20"/>
          <w:szCs w:val="20"/>
          <w:color w:val="auto"/>
        </w:rPr>
      </w:pPr>
    </w:p>
    <w:p>
      <w:pPr>
        <w:ind w:left="60" w:right="339"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indebtedness and other contractual obligations that could impair our liquidity, restrict our ability to do business and thereby harm our business, results of operations and financial condition. We may not have sufficient cash flow from operations to satisfy our obligations under the Credit Agreement.</w:t>
      </w:r>
    </w:p>
    <w:p>
      <w:pPr>
        <w:spacing w:after="0" w:line="175"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2024, we had aggregate principal indebtedness of $106.5 million outstanding under our Credit Agreement and Guaranty (as amended, the “Credit Agreement”) by and among the Company, as the borrower, certain subsidiaries of the Company from time to time party thereto as subsidiary guarantors, the lenders party thereto (the “Lenders”), and Oaktree Fund Administration LLC (“OFA”) as administrative agent.</w:t>
      </w:r>
    </w:p>
    <w:p>
      <w:pPr>
        <w:spacing w:after="0" w:line="180"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 xml:space="preserve">Restrictive covenants in the Credit Agreement place limits on our ability to conduct our business. The Credit Agreement contains customary representations and warranties and customary affirmative and negative covenants, including, among other things, restrictions on indebtedness, liens, investments, mergers, dispositions, prepayment of other indebtedness, and dividends and other distributions, subject to certain exceptions, including specific exceptions with respect to product commercialization and development activities. In addition, certain events, including receipt of a warning letter from the FDA, may constitute an event of default. We must also comply with certain covenants under the Credit Agreement, including a financial covenant that requires we maintain a minimum cash liquidity amount of $25 million as of September 30, 2024 (as described in the Fourth Amendment to the Credit Agreement described in Note 9, </w:t>
      </w:r>
      <w:r>
        <w:rPr>
          <w:rFonts w:ascii="Times New Roman" w:cs="Times New Roman" w:eastAsia="Times New Roman" w:hAnsi="Times New Roman"/>
          <w:sz w:val="18"/>
          <w:szCs w:val="18"/>
          <w:i w:val="1"/>
          <w:iCs w:val="1"/>
          <w:color w:val="auto"/>
        </w:rPr>
        <w:t xml:space="preserve">Debt and credit facilities </w:t>
      </w:r>
      <w:r>
        <w:rPr>
          <w:rFonts w:ascii="Times New Roman" w:cs="Times New Roman" w:eastAsia="Times New Roman" w:hAnsi="Times New Roman"/>
          <w:sz w:val="18"/>
          <w:szCs w:val="18"/>
          <w:color w:val="auto"/>
        </w:rPr>
        <w:t>in the condensed consolidated financial statements included elsewhere in this Quarterly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Report on Form 10-Q) and a minimum revenue requirement measured on a quarterly basis based on the revenue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attributable to BXCL501 for the nine consecutive month period ending on the last day of the relevant quarter, subject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cure payments of not less than $1.0 million if we fail to meet the minimum revenue requirement. The minimum revenue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requirement applies beginning with the preceding nine-month period ending on December 31, 2024, and ranges from</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approximately $4.5 million for the fourth quarter of 2024 to approximately $47.9 million for the first quarter of 2027. If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fail to meet the minimum revenue requirements for the preceding six-month periods ending on December 31, 2024,</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2025, June 30, 2025 and September 30, 2025, we could be required to make revenue cure payments for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revenue shortfalls of up to $4.5 million, $6.2 million, $8.5 million, and $8.5 million, respectively, plus aggregate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prepayment fees of $1.9 million. Under the Credit Agreement, these cure payments would be due on April 21, 2025, June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6, 2025, September 5, 2025 and December 8, 2025, respectively. We are only permitted to make cure payments for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revenue shortfalls up to three times during the term of the Credit Agreement, after which we would default on the Credit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Agreement if we are unable to satisfy the minimum revenue requirement for any subsequent fiscal quarter. In addition,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certain events, including certain regulatory events and any “going concern” or similar qualification in a report of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Company’s independent registered public accountants relating to the Company’s annual financial statements, constitute an</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event of default under the Credit Agreement. The report of our independent registered public accounting firm included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Annual Report on Form 10-K for the year ended December 31, 2023 contains a “going concern” explanatory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paragraph. In March 2024 we entered into a Fourth Amendment to the Credit Agreement, pursuant to which the Lenders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waived compliance with this covenant with respect to the report contained in the Annual Report on Form 10-K for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year ended December 31, 2023. The Fourth Amendment to the Credit Agreement also includes other covenants relating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minimum cash liquidity covenants and minimum capital raising requirements and failure to comply with such obligations,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or other obligations required under the Credit Agreement, could trigger an event of default. Certain change of control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events can also trigger an event of default under the Credit Agreement, including control by any entity or group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entities, other than BioXcel LLC and its affiliates, that acquires 35% or more of our voting capital stock. In addition,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Fourth Amendment to the Credit Agreement provides that if the Company has not, after the Effective Date and on or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before September 30, 2024, received at least $40.0 million in gross proceeds from the issuance of its common stock,</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warrants and/or pre-funded warrants, and/or cash and/or non-cash consideration (measured at fair market value, as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determined by the Administrative Agent in its sole discretion) from partnering transactions entered into after the Effective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the “Minimum Liquidity Amount” (as defined in the Credit Agreement) that we are required to maintain at all times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will increase to $25.0 million from $15.0 million, unless and until we have received, after the Effective Date and on or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before November 30, 2024, at least $50.0 million in gross proceeds from the issuance of our common stock, warrants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and/or pre-funded warrants, and/or in cash and/or non-cash consideration (measured at fair market value, as determined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 the Administrative Agent in its sole discretion) from partnering transactions entered into after the Effective Date. As 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result of raising less than $40.0 million as of September 30, 2024, the Minimum Liquidity Amount is $25.0 million as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2024. In connection with the closing of the Fourth Amendment discussed below, we granted new warrants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Lenders to purchase up to 100 shares of its common stock (the “2024 Warrant Shares”) at an exercise price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$3.0723 per share (the “2024 Warrants”), which represents a 10% premium over the arithmetic average of the volume-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weighted average price of the Company’s common stock on the Nasdaq Capital Market during the 30 trading days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preceding the Effective Date. The 2024 Warrants will expire on April 19, 2029 and may be net exercised at the holder’s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election. As of the date of this filing, we still need to raise (i) approximately an additional $10.0 million in gross proceeds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from the issuance of our common stock, warrants and/or pre-funded warrants and/or in cash and/or non-cash consideration</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(measured at fair market value, as determined by the Administrative Agent in its sole discretion) from partnering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transactions by September 30, 2024 in order to prevent such an increase in the Minimum Liquidity Amount that we are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required to maintain under our Credit Agreement and (ii) approximately an additional $20.0 million in gross proceeds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from the issuance of our common stock, warrants and/or pre-funded warrants and/or in cash and/or non-cash consideration</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(measured at fair market value, as determined by the Administrative Agent in its sole discretion) from partnering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transactions by November 30, 2024 in order to prevent triggering an event of default under our Credit Agreement. Even if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raise the foregoing amounts within these timeframes, we may need to raise additional capital to continue as a going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concern, and failure to continue as a going concern in connection with our Annual Report on Form 10-K for the fiscal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year ended December 31, 2024 could trigger an event of default under our Credit Agreement, and the lenders could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exercise their rights and remedies under the Credit Agreement.</w:t>
      </w:r>
    </w:p>
    <w:p>
      <w:pPr>
        <w:spacing w:after="0" w:line="207" w:lineRule="exact"/>
        <w:rPr>
          <w:sz w:val="20"/>
          <w:szCs w:val="20"/>
          <w:color w:val="auto"/>
        </w:rPr>
      </w:pPr>
    </w:p>
    <w:p>
      <w:pPr>
        <w:ind w:left="60" w:right="519" w:firstLine="324"/>
        <w:spacing w:after="0" w:line="312" w:lineRule="auto"/>
        <w:rPr>
          <w:sz w:val="20"/>
          <w:szCs w:val="20"/>
          <w:color w:val="auto"/>
        </w:rPr>
      </w:pPr>
      <w:r>
        <w:rPr>
          <w:rFonts w:ascii="Times New Roman" w:cs="Times New Roman" w:eastAsia="Times New Roman" w:hAnsi="Times New Roman"/>
          <w:sz w:val="17"/>
          <w:szCs w:val="17"/>
          <w:color w:val="auto"/>
        </w:rPr>
        <w:t>Our ability to make scheduled payments or payments to maintain compliance with covenants or to restructure or refinance these and other outstanding debt obligations depends on our financial and operating performance, including</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right="319"/>
        <w:spacing w:after="0" w:line="239" w:lineRule="auto"/>
        <w:rPr>
          <w:sz w:val="20"/>
          <w:szCs w:val="20"/>
          <w:color w:val="auto"/>
        </w:rPr>
      </w:pPr>
      <w:r>
        <w:rPr>
          <w:rFonts w:ascii="Times New Roman" w:cs="Times New Roman" w:eastAsia="Times New Roman" w:hAnsi="Times New Roman"/>
          <w:sz w:val="18"/>
          <w:szCs w:val="18"/>
          <w:color w:val="auto"/>
        </w:rPr>
        <w:t>growth in revenue from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BXCL501, which will be affected by prevailing economic, industry and competitive conditions and by financial, business and other factors beyond our control. A failure to pay our debt, fixed costs and other obligations or a breach of our contractual obligations or other event of default could result in a variety of adverse consequences, including the acceleration of our obligations or the exercise of remedies by our creditors and lessors. In such a situation, it is unlikely that we would be able to cure our breach, fulfill our obligations, make required payments or otherwise cover our fixed costs, which would have a material adverse effect on our business, results of operations and financial condition.</w:t>
      </w:r>
    </w:p>
    <w:p>
      <w:pPr>
        <w:spacing w:after="0" w:line="201"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In addition, historically we have relied on debt and equity financings as our primary sources of liquidity. If our future cash flows and capital resources are insufficient to fund our debt service obligations, we may be forced to reduce or delay expenditures, sell assets, seek additional capital or seek to restructure or refinance our indebtedness. Any refinancing or restructuring of our indebtedness could be at higher interest rates and may require us to comply with more onerous covenants. These alternative measures may not be successful and may not permit us to meet our scheduled or any accelerated debt service obligations. In the absence of such cash flows and resources, we could face substantial liquidity problems and might be required to sell material assets or pursue other strategic alternatives to attempt to meet our debt service obligations.</w:t>
      </w:r>
    </w:p>
    <w:p>
      <w:pPr>
        <w:spacing w:after="0" w:line="188" w:lineRule="exact"/>
        <w:rPr>
          <w:sz w:val="20"/>
          <w:szCs w:val="20"/>
          <w:color w:val="auto"/>
        </w:rPr>
      </w:pPr>
    </w:p>
    <w:p>
      <w:pPr>
        <w:ind w:left="60" w:right="299"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conditions and events that raise substantial doubt regarding our ability to continue as a going concern.</w:t>
      </w:r>
    </w:p>
    <w:p>
      <w:pPr>
        <w:spacing w:after="0" w:line="132"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 xml:space="preserve">As of September 30, 2024, we had $40.4 million in cash and cash equivalents. Based on our existing cash, cash equivalents and lack of current availability under our funding facilities, we do not believe we have sufficient cash on hand to support current operations and service our debt obligations for at least one year from the date of issuance of the audited consolidated financial statements appearing in this Quarterly Report on Form 10-Q. This condition raises substantial doubt about our ability to continue as a going concern for at least one year from the date that our financial statements for the nine months ended September 30, 2024 are issued. In order to mitigate the current and potential future liquidity issues, we have undertaken the Reprioritization and may, among other things, seek to raise capital through the issuance of common stock, or by restructuring, refinancing, and/or amending the terms of the Credit Agreement (including with respect to regulatory related events of default that do not contain a cure period) or pursue other strategic alternatives. However, such transactions may not be successful and we may not be able to raise additional equity and/or financing necessary to meet our obligations. Moreover, our Credit Agreement contains covenants that we may be unable to comply with and which could result in the acceleration of our debt service obligations, further reducing our capital resources and ability to fund our operations. As such, there can be no assurance that we will be able to continue as a going concern and we may be forced to delay, reduce or discontinue our product development programs or commercialization efforts in order to preserve cash. For additional cost-saving and other strategic initiatives we may be compelled to pursue, see the risk factor entitled, </w:t>
      </w:r>
      <w:r>
        <w:rPr>
          <w:rFonts w:ascii="Times New Roman" w:cs="Times New Roman" w:eastAsia="Times New Roman" w:hAnsi="Times New Roman"/>
          <w:sz w:val="18"/>
          <w:szCs w:val="18"/>
          <w:i w:val="1"/>
          <w:iCs w:val="1"/>
          <w:color w:val="auto"/>
        </w:rPr>
        <w:t>“We will need substantial additional funding, and if we are unable to raise capital when needed, we could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be forced to delay, reduce or eliminate our product development programs or commercialization efforts or otherwise seek strategic alternatives.” </w:t>
      </w:r>
      <w:r>
        <w:rPr>
          <w:rFonts w:ascii="Times New Roman" w:cs="Times New Roman" w:eastAsia="Times New Roman" w:hAnsi="Times New Roman"/>
          <w:sz w:val="18"/>
          <w:szCs w:val="18"/>
          <w:color w:val="auto"/>
        </w:rPr>
        <w:t>Further, if we are unable to raise additional capital or successfully consummate a strategic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we may trigger an event of default under our Credit Agreement.</w:t>
      </w:r>
    </w:p>
    <w:p>
      <w:pPr>
        <w:spacing w:after="0" w:line="362" w:lineRule="exact"/>
        <w:rPr>
          <w:sz w:val="20"/>
          <w:szCs w:val="20"/>
          <w:color w:val="auto"/>
        </w:rPr>
      </w:pPr>
    </w:p>
    <w:p>
      <w:pPr>
        <w:ind w:left="60" w:right="319"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do not meet certain of Nasdaq Capital Market’s continued listing requirements and other Nasdaq rules. If we are unable to regain compliance, we are likely to be delisted. Delisting could negatively affect the price of our common stock, which could make it more difficult for us to raise capital or for you to sell our common stock.</w:t>
      </w:r>
    </w:p>
    <w:p>
      <w:pPr>
        <w:spacing w:after="0" w:line="175"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We are required to meet the continued listing requirements of the Nasdaq Capital Market and other Nasdaq rules. For example, we are required to maintain a minimum bid price for our listed common stock of $1.00 per share (the “Bid Price Requirement”) and maintain minimum market value of listed securities of at least $35.0 million (the “Market Value requirement”). We are not currently in compliance with either of the Bid Price Requirement or the Market Value Requirement as described further in Part I, Item 2, “Management’s Discussion and Analysis of Financial Condition and Results of Operations.” We continue to evaluate various alternative courses of action to regain compliance with the Bid Price Requirement and the Market Value Requirement, however, there can be no assurance that we will be able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satisfy the Nasdaq Capital Market’s continued listing requirements, or, if we regain compliance, maintain compliance with the applicable Nasdaq continued listing requirements.</w:t>
      </w:r>
    </w:p>
    <w:p>
      <w:pPr>
        <w:spacing w:after="0" w:line="162" w:lineRule="exact"/>
        <w:rPr>
          <w:sz w:val="20"/>
          <w:szCs w:val="20"/>
          <w:color w:val="auto"/>
        </w:rPr>
      </w:pPr>
    </w:p>
    <w:p>
      <w:pPr>
        <w:jc w:val="both"/>
        <w:ind w:left="60" w:right="239" w:firstLine="324"/>
        <w:spacing w:after="0" w:line="272" w:lineRule="auto"/>
        <w:rPr>
          <w:sz w:val="20"/>
          <w:szCs w:val="20"/>
          <w:color w:val="auto"/>
        </w:rPr>
      </w:pPr>
      <w:r>
        <w:rPr>
          <w:rFonts w:ascii="Times New Roman" w:cs="Times New Roman" w:eastAsia="Times New Roman" w:hAnsi="Times New Roman"/>
          <w:sz w:val="17"/>
          <w:szCs w:val="17"/>
          <w:color w:val="auto"/>
        </w:rPr>
        <w:t>Delisting from the Nasdaq Capital Market would cause us to pursue eligibility for trading of these securities on other markets or exchanges, or on the “pink sheets.” In such case, our stockholders’ ability to trade, or obtain quotations of the market value of our common stock would be severely limited because of lower trading volumes and transaction delays.</w:t>
      </w:r>
    </w:p>
    <w:p>
      <w:pPr>
        <w:spacing w:after="0" w:line="2" w:lineRule="exact"/>
        <w:rPr>
          <w:sz w:val="20"/>
          <w:szCs w:val="20"/>
          <w:color w:val="auto"/>
        </w:rPr>
      </w:pPr>
    </w:p>
    <w:p>
      <w:pPr>
        <w:ind w:left="60" w:right="179"/>
        <w:spacing w:after="0" w:line="252" w:lineRule="auto"/>
        <w:rPr>
          <w:sz w:val="20"/>
          <w:szCs w:val="20"/>
          <w:color w:val="auto"/>
        </w:rPr>
      </w:pPr>
      <w:r>
        <w:rPr>
          <w:rFonts w:ascii="Times New Roman" w:cs="Times New Roman" w:eastAsia="Times New Roman" w:hAnsi="Times New Roman"/>
          <w:sz w:val="18"/>
          <w:szCs w:val="18"/>
          <w:color w:val="auto"/>
        </w:rPr>
        <w:t>These factors could contribute to lower prices and larger spreads in the bid and ask prices of these securities. There can be no assurance that our securities, if delisted from the Nasdaq Capital Market in the future, would be listed on a national securities exchange, a national quotation service, the over-the-counter markets or the pink sheets. Delisting from the Nasdaq Capital Market, or even the issuance of a notice of potential delisting, would also result in negative publicity, make it more difficult for us to raise additional capital, adversely affect the market liquidity of our securities, decrease securities analysts’ coverage of us or diminish investor, supplier and employee confidence.</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Product Candidates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experience in drug discovery and drug development.</w:t>
      </w:r>
    </w:p>
    <w:p>
      <w:pPr>
        <w:spacing w:after="0" w:line="189"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Prior to the acquisition of our product and product candidates, we were not involved in and had no control over their preclinical and clinical development. In addition, we are relying upon the parties we acquired our product candidates from to have conducted research and development in accordance with the applicable protocol, legal, regulatory and scientific standards, accurately reported the results of all clinical trials conducted prior to our acquisition of the applicable product candidate, and correctly collected and interpreted the data from these studies and trials. To the extent any of these activities did not occur, our expected development time and costs could increase, which could adversely affect our prospects for marketing approval of, and receiving any future revenue from, these product candidates.</w:t>
      </w:r>
    </w:p>
    <w:p>
      <w:pPr>
        <w:spacing w:after="0" w:line="144"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Developments relating to our TRANQUILITY II Phase 3 trial may impact the timing of our development plans for, and prospects for seeking or obtaining regulatory approval of, BXCL501 for the acute treatment of agitation (non-daily) associated with dementia in patients with probable Alzheimer’s disease.</w:t>
      </w:r>
    </w:p>
    <w:p>
      <w:pPr>
        <w:spacing w:after="0" w:line="148"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Following our discovery of principal investigator misconduct at one of the clinical sites in our TRANQUILITY II Phase 3 clinical trial, we initiated an investigation into the issues associated with the trial. This principal investigator had previously been subject to a December 2022 FDA inspection of her clinical site in connection with the TRANQUILITY II clinical trial. At the conclusion of this inspection, the FDA issued an FDA Form-483 identifying three inspectional observations. These observations related to the principal investigator’s failure to adhere to the informed consent form approved by the Institutional Review Board for a limited number of subjects whose records the FDA reviewed, maintain adequate case histories for certain patients whose records the FDA reviewed, and adhere to the investigational plan in certain instances. For example, the FDA cited the principal investigator’s delay in informing the sponsor’s medical monitor or pharmacovigilance safety vendor of an SAE, for one of the subjects, which report was made to our vendor outside of the 24 hour time period prescribed by the clinical trial protocol. The principal investigator for this clinical site responded to the FDA observations within the time period requested. The FDA inspection remains open, however, as the FDA has not issued an Establishment Inspection Report.</w:t>
      </w:r>
    </w:p>
    <w:p>
      <w:pPr>
        <w:spacing w:after="0" w:line="149"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In May 2023, it came to our attention that this same principal investigator in the TRANQUILITY II clinical trial may have fabricated email correspondence around the time of the FDA inspection, purporting to demonstrate that the investigator timely submitted to our pharmacovigilance safety vendor a report of an SAE from a different subject than the one cited in the FDA Form-483, and purporting to show that the vendor had confirmed receipt. Upon receipt of this information, we promptly initiated an investigation and received confirmation that the principal investigator fabricated the email correspondence related to the timing of the reporting of this SAE to our pharmacovigilance vendor to make it appear as though this SAE had been timely reported as required by the clinical trial protocol. This principal investigator has not participated in any other clinical trial sponsored or conducted by us. Both we and the principal investigator’s employer have reported this incident to the FDA.</w:t>
      </w:r>
    </w:p>
    <w:p>
      <w:pPr>
        <w:spacing w:after="0" w:line="148"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Since that time, we have taken steps to further investigate and evaluate the conduct of the TRANQUILITY II trial at this clinical site. Based on these steps to date, we believe that there have been no further instances of misconduct or</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70" w:lineRule="auto"/>
        <w:rPr>
          <w:sz w:val="20"/>
          <w:szCs w:val="20"/>
          <w:color w:val="auto"/>
        </w:rPr>
      </w:pPr>
      <w:r>
        <w:rPr>
          <w:rFonts w:ascii="Times New Roman" w:cs="Times New Roman" w:eastAsia="Times New Roman" w:hAnsi="Times New Roman"/>
          <w:sz w:val="17"/>
          <w:szCs w:val="17"/>
          <w:color w:val="auto"/>
        </w:rPr>
        <w:t>fraud or other findings that adversely impact the data integrity or reliability of the eligibility, safety, and efficacy data obtained at the clinical trial site in question. However, the FDA may not accept or agree with our conclusions or analyses or may interpret or weigh their importance differently. Further, if we or the FDA determine that there are issues with data integrity and/or compliance with good clinical practice (“GCP”) requirements at the trial site, we may be unable to use some or all of the subject data generated at this clinical site to support a marketing application. Any issues identified at this trial site may also be identified at other trial sites. If all of the data from this clinical trial site were discarded, the TRANQUILITY II trial would no longer be adequately powered for statistical significance or would not be considered adequately well-controlled by the FDA, and in either case, we would need to conduct a new comparable clinical trial before we are able to seek any approval of BXCL501 for use in patients with acute agitation (non-daily) due to dementia in probable Alzheimer’s disease. If a substantial portion of the data were discarded, similar outcomes may also occur.</w:t>
      </w:r>
    </w:p>
    <w:p>
      <w:pPr>
        <w:spacing w:after="0" w:line="150"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The primary efficacy endpoint in TRANQUILITY II was the change in PEC score, which is a measurement of agitation severity captured by trained raters during an agitation episode. While change in PEC score has been used to support the approval of IGALMI for the acute treatment of agitation associated with schizophrenia or bipolar I or II disorder in adults, it has not been used as a primary endpoint to support the approval of a drug candidate for the treatment of agitation associated with Alzheimer’s Disease. Prior to initiating our TRANQUILITY II trial, we believe we reached alignment with FDA regarding the use of PEC scores as a primary endpoint to assess individual agitation episodes in dementia patients. In the normal course, we have been in communication with the FDA regarding the data and information needed to further support the consistency of the measurement of PEC ratings, and we believe that we have generated sufficient data to demonstrate such consistency. Following submission of certain data on PEC score from a separate study of raters assessing video vignettes, the FDA expressed certain concerns with respect to the reliability of PEC scores in that study. The FDA has requested that we provide additional information to support the consistency of the measurement of PEC ratings to assess the treatment of agitation associated with Alzheimer’s Disease. While we believe that we have generated sufficient data to demonstrate such consistency, and we plan to submit these data and analyses to the FDA, if the FDA disagrees, it may require that we provide more information to demonstrate consistency in the measurement of PEC scores and/or may require that we generate additional data to support the reliability of PEC score measurements in our TRANQUILITY II trial. There can be no assurances that any information or and data we provide to FDA will sufficiently demonstrate the consistency and reliability of the PEC-score data from our TRANQUILITY II trial, or that our PEC-score data will not represent a potential review issue in connection with any application we may submit to FDA.</w:t>
      </w:r>
    </w:p>
    <w:p>
      <w:pPr>
        <w:spacing w:after="0" w:line="150" w:lineRule="exact"/>
        <w:rPr>
          <w:sz w:val="20"/>
          <w:szCs w:val="20"/>
          <w:color w:val="auto"/>
        </w:rPr>
      </w:pPr>
    </w:p>
    <w:p>
      <w:pPr>
        <w:ind w:left="60" w:right="159" w:firstLine="324"/>
        <w:spacing w:after="0" w:line="251" w:lineRule="auto"/>
        <w:rPr>
          <w:sz w:val="20"/>
          <w:szCs w:val="20"/>
          <w:color w:val="auto"/>
        </w:rPr>
      </w:pPr>
      <w:r>
        <w:rPr>
          <w:rFonts w:ascii="Times New Roman" w:cs="Times New Roman" w:eastAsia="Times New Roman" w:hAnsi="Times New Roman"/>
          <w:sz w:val="18"/>
          <w:szCs w:val="18"/>
          <w:color w:val="auto"/>
        </w:rPr>
        <w:t>In addition, we are continuing to seek feedback from the FDA with respect to our TRANQUILITY program. For example, on February 20, 2024, we held a Type B/Breakthrough Therapy designation meeting with the FDA. The original purpose of this meeting was to obtain feedback on the design of a proposed at-home study that did not include caregiver-collected efficacy endpoints, based on our belief that obtaining caregiver assessments of efficacy would be challenging. We believe there are no validated caregiver endpoints for assessing efficacy in Alzheimer’s disease patients in the at-home setting. As a result, we focused on requesting feedback from the FDA regarding our proposal for an at-home clinical study with safety as the primary objective, and to better understand what additional data would be required to submit an sNDA to support labeling for BXCL501 to include the acute treatment of agitation associated with dementia in probable Alzheimer’s disease or, in the alternative, in this population in the care setting only. In its preliminary responses, the FDA reiterated its prior comments that we generate additional efficacy data, including repeat-dose efficacy data, to support an sNDA submission, as the FDA indicated that our proposed efficacy database, which currently includes the 70 patients who have been treated with 60 mcg of BXCL501 in TRANQUILITY I and TRANQUILITY II, would not contain substantial evidence of effectiveness absent additional data. The FDA advised that we generate the necessary efficacy data in care facilities prior to conducting any trials in the at-home setting. In addition, the FDA indicated the need to generate long-term safety data to support an sNDA submission, including from probable Alzheimer’s disease patients exposed to BXCL501, for up to one year. We have received the final meeting minutes from the FDA, which we believe are consistent with the FDA’s preliminary responses and the subsequent meeting discussion. Based on the FDA’s feedback, we are currently planning to generate additional Phase 3 efficacy and safety data, in a variety of relevant care-facility settings and across severity of dementia, including through, among other things, conducting our planned TRANQULITY In-Care Phase 3 trial. In addition, we plan to discuss the details of the requirement for long-term safety data at a future meeting with the FDA. Also, although we announced in November 2023 that we were planning to conduct a Phase 3 trial in the at-home setting, with safety as the primary objective (TRANQUILITY At Home), given the priority to expand the database to generate additional efficacy and safety data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71" w:lineRule="auto"/>
        <w:rPr>
          <w:sz w:val="20"/>
          <w:szCs w:val="20"/>
          <w:color w:val="auto"/>
        </w:rPr>
      </w:pPr>
      <w:r>
        <w:rPr>
          <w:rFonts w:ascii="Times New Roman" w:cs="Times New Roman" w:eastAsia="Times New Roman" w:hAnsi="Times New Roman"/>
          <w:sz w:val="17"/>
          <w:szCs w:val="17"/>
          <w:color w:val="auto"/>
        </w:rPr>
        <w:t>care facilities, we are re-evaluating the timing for initiating TRANQUILITY At Home. Conducting any new clinical trial can take significant time, funding and resources, and there are no assurances we could raise sufficient capital or have the liquidity and resources to conduct further clinical trials in our TRANQUILITY program, including our planned TRANQUILITY In-Care Trial. Any new clinical trials conducted in our target patient populations may have different safety or efficacy results from the topline data the Company previously announced for the TRANQUILITY II clinical trial. Further, any government investigation, disqualification, or debarment of, or proceeding or action against the principal investigator, or any government investigation, proceeding or action against us, could further delay development and approval of BXCL501 for this indication, and otherwise have a material adverse effect on us, our financial condition (including triggering a potential event of default under our Credit Agreement), results of operations and prospects.</w:t>
      </w:r>
    </w:p>
    <w:p>
      <w:pPr>
        <w:spacing w:after="0" w:line="1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clinical data supporting potential safety or efficacy of BXCL501 for use in the at-home setting.</w:t>
      </w:r>
    </w:p>
    <w:p>
      <w:pPr>
        <w:spacing w:after="0" w:line="189"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In August 2023, we announced our intention to pursue a strategic reprioritization of our commercialization and development efforts (the “Reprioritization”), including among other things, a shift in focus to primarily develop BXCL501 for use in expanded settings, including the at-home setting and care facilities, for the acute treatment of agitation in patients with dementia due to probable Alzheimer’s disease and the acute treatment of agitation in schizophrenia and bipolar patients in the at-home setting. Although we have conducted several clinical trials that evaluated BXCL501 in the institutional setting, we have limited data supporting BXCL501’s potential use in the at-home setting. In particular, we have not conducted a clinical trial evaluating the at-home use of BXCL501 in the acute treatment of agitation in patients with dementia due to probable Alzheimer’s disease.</w:t>
      </w:r>
    </w:p>
    <w:p>
      <w:pPr>
        <w:spacing w:after="0" w:line="151"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Although we may seek additional feedback from the FDA regarding the potential of our ongoing, planned or completed clinical trials to support submission of one or more sNDAs and to support a label for use in the home, it is possible that the FDA may not consider the data from such studies adequate to support such submissions. For example, on October 11, 2023, we received feedback from the FDA that TRANQUILITY I and TRANQUILITY II alone are not sufficient to support an sNDA submission for the use of BXCL501 to treat acute agitation (non-daily) in patients with dementia due to probable Alzheimer’s disease in either the at-home setting or care facilities, and the FDA indicated that we should, among other things, conduct a further clinical trial to evaluate safety and collect efficacy data of BXCL501 before we are able to submit an sNDA seeking approval of BXCL501 for use in such populations.</w:t>
      </w:r>
    </w:p>
    <w:p>
      <w:pPr>
        <w:spacing w:after="0" w:line="165" w:lineRule="exact"/>
        <w:rPr>
          <w:sz w:val="20"/>
          <w:szCs w:val="20"/>
          <w:color w:val="auto"/>
        </w:rPr>
      </w:pPr>
    </w:p>
    <w:p>
      <w:pPr>
        <w:ind w:left="60" w:right="359" w:firstLine="324"/>
        <w:spacing w:after="0" w:line="256" w:lineRule="auto"/>
        <w:rPr>
          <w:sz w:val="20"/>
          <w:szCs w:val="20"/>
          <w:color w:val="auto"/>
        </w:rPr>
      </w:pPr>
      <w:r>
        <w:rPr>
          <w:rFonts w:ascii="Times New Roman" w:cs="Times New Roman" w:eastAsia="Times New Roman" w:hAnsi="Times New Roman"/>
          <w:sz w:val="18"/>
          <w:szCs w:val="18"/>
          <w:color w:val="auto"/>
        </w:rPr>
        <w:t>For a description of recent developments relating to our TRANQUILITY program, please see the prior risk factor, “</w:t>
      </w:r>
      <w:r>
        <w:rPr>
          <w:rFonts w:ascii="Times New Roman" w:cs="Times New Roman" w:eastAsia="Times New Roman" w:hAnsi="Times New Roman"/>
          <w:sz w:val="18"/>
          <w:szCs w:val="18"/>
          <w:i w:val="1"/>
          <w:iCs w:val="1"/>
          <w:color w:val="auto"/>
        </w:rPr>
        <w:t>Developments relating to our TRANQUILITY II Phase 3 trial may impact the timing of our development plans for,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prospects for seeking or obtaining regulatory approval of, BXCL501 for the acute treatment of agitation (non-daily) associated with dementia in patients with probable Alzheimer’s disease.</w:t>
      </w:r>
      <w:r>
        <w:rPr>
          <w:rFonts w:ascii="Times New Roman" w:cs="Times New Roman" w:eastAsia="Times New Roman" w:hAnsi="Times New Roman"/>
          <w:sz w:val="18"/>
          <w:szCs w:val="18"/>
          <w:color w:val="auto"/>
        </w:rPr>
        <w:t>” We cannot provide assurance that we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able to seek or obtain approval of BXCL501 for treatment of agitation in patients with dementia due to probable Alzheimer’s disease in the at-home setting based on this updated development plan.</w:t>
      </w:r>
    </w:p>
    <w:p>
      <w:pPr>
        <w:spacing w:after="0" w:line="147"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Although we continue to seek feedback from the FDA with respect to our TRANQUILITY program, the FDA may not agree that any trial designs we propose are sufficient to establish both the safety and efficacy of BXCL501 for the acute treatment of agitation associated with dementia due to probable Alzheimer’s disease in either a care setting or an at-home setting. For example, to assess safety, the FDA has indicated that we need to expose more patients to BXCL501 for a longer period of time and that an efficacy trial of a shorter duration, combined with the patients in its previous trials, would not support submissions of an sNDA. Further, to assess efficacy in the home setting, the FDA may determine that we cannot rely on our previous studies of BXCL501 for this proposed indication since those studies were conducted in assisted living facilities and they are not comparable to the at-home setting. The FDA may also require us to seek approval for BXCL501 for use in care facilities prior to seeking any approval for at-home use in the targeted AD patient population. In particular, we are planning to generate additional Phase 3 safety and efficacy data in a variety of relevant care-facility settings, including by conducting our planned TRANQUILITY In-Care trial, but even if our planned clinical efforts are successful and even if we are able to obtain approval of BXCL501 for use in patients with dementia due to probable Alzheimer's disease in the care setting, we cannot provide assurance that we will be able to seek or obtain approval of BXCL501 for the treatment of agitation in patients with dementia due to probable Alzheimer’s disease in the at-home setting based on these data and we expect that we will be required to generate additional data to evaluate the at-home use of BXCL501 in our targeted Alzheimer's dementia population before we are able to seek approval for such at-home use in this population, if ever. In addition, the FDA may determine that we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54" w:lineRule="auto"/>
        <w:rPr>
          <w:sz w:val="20"/>
          <w:szCs w:val="20"/>
          <w:color w:val="auto"/>
        </w:rPr>
      </w:pPr>
      <w:r>
        <w:rPr>
          <w:rFonts w:ascii="Times New Roman" w:cs="Times New Roman" w:eastAsia="Times New Roman" w:hAnsi="Times New Roman"/>
          <w:sz w:val="18"/>
          <w:szCs w:val="18"/>
          <w:color w:val="auto"/>
        </w:rPr>
        <w:t xml:space="preserve">cannot rely on the data from our prior TRANQUILITY II Phase 3 trial to support an sNDA as a result of potential data integrity issues at the trial site, as the FDA may not agree with our belief that data reliability and integrity remain intact. See Part II, Item 1A, “Risk Factors—Risks Related to the Discovery and Development of Product Candidates— </w:t>
      </w:r>
      <w:r>
        <w:rPr>
          <w:rFonts w:ascii="Times New Roman" w:cs="Times New Roman" w:eastAsia="Times New Roman" w:hAnsi="Times New Roman"/>
          <w:sz w:val="18"/>
          <w:szCs w:val="18"/>
          <w:i w:val="1"/>
          <w:iCs w:val="1"/>
          <w:color w:val="auto"/>
        </w:rPr>
        <w:t>Developments relating to its TRANQUILITY II Phase 3 trial may impact the timing of its development plans for, and prospects for seeking or obtaining regulatory approval of, BXCL501 for the acute treatment of agitation (non-daily) associated with dementia in patients with probable Alzheimer’s disease</w:t>
      </w:r>
      <w:r>
        <w:rPr>
          <w:rFonts w:ascii="Times New Roman" w:cs="Times New Roman" w:eastAsia="Times New Roman" w:hAnsi="Times New Roman"/>
          <w:sz w:val="18"/>
          <w:szCs w:val="18"/>
          <w:color w:val="auto"/>
        </w:rPr>
        <w:t>” for additional information. If the FDA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 the data from our prior TRANQUILITY II Phase 3 trial, we could be required to conduct additional clinical trials beyond those we currently contemplate, which would increase our costs and delay potential submission of an sNDA for BXCL501 which in turn would adversely affect our financial position and operations.</w:t>
      </w:r>
    </w:p>
    <w:p>
      <w:pPr>
        <w:spacing w:after="0" w:line="161"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Accordingly, if the FDA reaches these conclusions or otherwise finds that our proposed clinical studies would not adequately evaluate the safety and efficacy of BXCL501 for the acute treatment of agitation associated with dementia due to probable Alzheimer’s disease in an at-home setting and/or care setting, we may need to evaluate more patients for a longer period of time to demonstrate the safety and efficacy of BXCL501.</w:t>
      </w:r>
    </w:p>
    <w:p>
      <w:pPr>
        <w:spacing w:after="0" w:line="139" w:lineRule="exact"/>
        <w:rPr>
          <w:sz w:val="20"/>
          <w:szCs w:val="20"/>
          <w:color w:val="auto"/>
        </w:rPr>
      </w:pPr>
    </w:p>
    <w:p>
      <w:pPr>
        <w:ind w:left="60" w:right="159" w:firstLine="324"/>
        <w:spacing w:after="0" w:line="222" w:lineRule="auto"/>
        <w:rPr>
          <w:sz w:val="20"/>
          <w:szCs w:val="20"/>
          <w:color w:val="auto"/>
        </w:rPr>
      </w:pPr>
      <w:r>
        <w:rPr>
          <w:rFonts w:ascii="Times New Roman" w:cs="Times New Roman" w:eastAsia="Times New Roman" w:hAnsi="Times New Roman"/>
          <w:sz w:val="18"/>
          <w:szCs w:val="18"/>
          <w:color w:val="auto"/>
        </w:rPr>
        <w:t>With respect to our SERENITY program, we also held a Type C Meeting with the FDA on March 6, 2024 to obtain further feedback on our proposed changes to the design of SERENITY III Part 2, including with respect to the trial endpoints, and to discuss the content and format of a potential sNDA submission to expand the label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120 micrograms to the acute treatment of agitation associated with schizophrenia and bipolar disorders in the outpatient setting.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is already approved at the 120 mcg dose based on efficacy data that we previously generated in treating a single episode of agitation. Consistent with the data generated to date, the label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currently includes a limitation on use (“LOU”), noting the lack of efficacy or safety data beyond 24 hours following the first dose. During our March 6, 2024 Type C meeting with the FDA, we discussed, among other things, whether evaluating the at-home use of BXCL501 120 mcg, with safety as the primary objective and efficacy measures as exploratory endpoints, if successful, could support the submission of an sNDA seeking expansion of the current label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120 mcg to allow at-home use and labeling without the current LOU. Based on current FDA feedback, we have amended the Part 2 of the SERENITY III protocol to evaluate the safety and efficacy of the 120 mg dose in the at-home setting, and now refer to this revised trial as the SERENITY At-Home trial. We believe that our ability to seek labeling without the current LOU will depend, in part, on the number of agitation episodes we observe during our planned study period. Even if our planned SERENITY At-home trial is successful in demonstrating safety in the at-home setting, and even if the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120 mcg label is expanded to allow outpatient use, there is no guarantee that we will observe and/or treat a sufficient number of agitation episodes during the study period to support removal of the current LOU.</w:t>
      </w:r>
    </w:p>
    <w:p>
      <w:pPr>
        <w:spacing w:after="0" w:line="167" w:lineRule="exact"/>
        <w:rPr>
          <w:sz w:val="20"/>
          <w:szCs w:val="20"/>
          <w:color w:val="auto"/>
        </w:rPr>
      </w:pPr>
    </w:p>
    <w:p>
      <w:pPr>
        <w:ind w:left="60" w:right="279" w:firstLine="324"/>
        <w:spacing w:after="0" w:line="256" w:lineRule="auto"/>
        <w:rPr>
          <w:sz w:val="20"/>
          <w:szCs w:val="20"/>
          <w:color w:val="auto"/>
        </w:rPr>
      </w:pPr>
      <w:r>
        <w:rPr>
          <w:rFonts w:ascii="Times New Roman" w:cs="Times New Roman" w:eastAsia="Times New Roman" w:hAnsi="Times New Roman"/>
          <w:sz w:val="18"/>
          <w:szCs w:val="18"/>
          <w:color w:val="auto"/>
        </w:rPr>
        <w:t>Any modifications to our proposed trial designs, whether by us or by the FDA would delay our initiation of such proposed trials, increase the costs of any trial that we do conduct and delay any potential submission of an sNDAs for BXCL501. Requirements to conduct additional clinical trials evaluating BXCL501 in support of our planned sNDAs seeking approvals for BXCL501 for our targeted patient populations in at-home settings would increase our costs, and in either case, such modifications or requirements could have a material adverse effect on our prospects and results of operations.</w:t>
      </w:r>
    </w:p>
    <w:p>
      <w:pPr>
        <w:spacing w:after="0" w:line="148" w:lineRule="exact"/>
        <w:rPr>
          <w:sz w:val="20"/>
          <w:szCs w:val="20"/>
          <w:color w:val="auto"/>
        </w:rPr>
      </w:pPr>
    </w:p>
    <w:p>
      <w:pPr>
        <w:ind w:left="60" w:right="139"/>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In the near term, we are dependent on the success of IGALMI</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and the development of four of our product candidates, BXCL501, BXCL502, BXCL701 and BXCL702. If we are unable to complete the clinical development of or obtain marketing approval for our product candidates or successfully commercialize IGALMI</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and our other product candidates, either alone or with a collaborator, or if we experience significant delays in doing so, our business could be substantially harmed.</w:t>
      </w:r>
    </w:p>
    <w:p>
      <w:pPr>
        <w:spacing w:after="0" w:line="160" w:lineRule="exact"/>
        <w:rPr>
          <w:sz w:val="20"/>
          <w:szCs w:val="20"/>
          <w:color w:val="auto"/>
        </w:rPr>
      </w:pPr>
    </w:p>
    <w:p>
      <w:pPr>
        <w:ind w:left="60" w:right="179" w:firstLine="324"/>
        <w:spacing w:after="0" w:line="238" w:lineRule="auto"/>
        <w:rPr>
          <w:sz w:val="20"/>
          <w:szCs w:val="20"/>
          <w:color w:val="auto"/>
        </w:rPr>
      </w:pPr>
      <w:r>
        <w:rPr>
          <w:rFonts w:ascii="Times New Roman" w:cs="Times New Roman" w:eastAsia="Times New Roman" w:hAnsi="Times New Roman"/>
          <w:sz w:val="18"/>
          <w:szCs w:val="18"/>
          <w:color w:val="auto"/>
        </w:rPr>
        <w:t>We currently have only one product that has received regulatory approval and may never be able to develop additional marketable product candidates. We are continuing to invest a significant portion of our efforts and our available financial resources in the development of our product candidate, BXCL501 and may in the future reprioritize commercialization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the development of other product candidates. However, we have limited experience in drug development and commercialization, and our prospects are substantially dependent on our ability, or that of any future collaborator, to develop, obtain marketing approval for and successfully commercialize product candidates in one or more additional disease indications. We have also slowed the clinical development process of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lead product candidates, and progression of our lead clinical programs is subject to applicable funding. See Part I, Item 2. “Management’s Discussion and Analysis of Financial Condition and Results of Operations — Overview.”</w:t>
      </w:r>
    </w:p>
    <w:p>
      <w:pPr>
        <w:spacing w:after="0" w:line="127" w:lineRule="exact"/>
        <w:rPr>
          <w:sz w:val="20"/>
          <w:szCs w:val="20"/>
          <w:color w:val="auto"/>
        </w:rPr>
      </w:pPr>
    </w:p>
    <w:p>
      <w:pPr>
        <w:ind w:left="60" w:right="159" w:firstLine="324"/>
        <w:spacing w:after="0" w:line="217" w:lineRule="auto"/>
        <w:rPr>
          <w:sz w:val="20"/>
          <w:szCs w:val="20"/>
          <w:color w:val="auto"/>
        </w:rPr>
      </w:pPr>
      <w:r>
        <w:rPr>
          <w:rFonts w:ascii="Times New Roman" w:cs="Times New Roman" w:eastAsia="Times New Roman" w:hAnsi="Times New Roman"/>
          <w:sz w:val="18"/>
          <w:szCs w:val="18"/>
          <w:color w:val="auto"/>
        </w:rPr>
        <w:t>The success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and of BXCL501, BXCL701, BXCL502 and our other product candidates will depend on several factors, including the following:</w:t>
      </w:r>
    </w:p>
    <w:p>
      <w:pPr>
        <w:spacing w:after="0" w:line="158" w:lineRule="exact"/>
        <w:rPr>
          <w:sz w:val="20"/>
          <w:szCs w:val="20"/>
          <w:color w:val="auto"/>
        </w:rPr>
      </w:pPr>
    </w:p>
    <w:p>
      <w:pPr>
        <w:ind w:left="720" w:right="319" w:hanging="319"/>
        <w:spacing w:after="0" w:line="266"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an investigational new drug application (“IND”) by the FDA or acceptance of comparable applications by foreign regulatory authorities allowing us to conduct clinical trials of our product candidates in the U.S. or in foreign jurisdictions;</w:t>
      </w:r>
    </w:p>
    <w:p>
      <w:pPr>
        <w:spacing w:after="0" w:line="135" w:lineRule="exact"/>
        <w:rPr>
          <w:rFonts w:ascii="Times New Roman" w:cs="Times New Roman" w:eastAsia="Times New Roman" w:hAnsi="Times New Roman"/>
          <w:sz w:val="18"/>
          <w:szCs w:val="18"/>
          <w:color w:val="auto"/>
        </w:rPr>
      </w:pPr>
    </w:p>
    <w:p>
      <w:pPr>
        <w:ind w:left="720" w:right="259" w:hanging="319"/>
        <w:spacing w:after="0" w:line="261"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progress, timing, costs and results of clinical trials of our product candidates and potential product candidates, including any delays caused by the developments relating to the TRANQUILITY program, and any additional trials we may need to conduct prior to seeking approvals for BXCL501 in at-home and/or care facilities;</w:t>
      </w:r>
    </w:p>
    <w:p>
      <w:pPr>
        <w:spacing w:after="0" w:line="152"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safety and efficacy of our product candidates to the satisfaction of the FDA, or any comparable foreign regulatory authority, and sufficient for marketing approval;</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performance of our current and future collaborators;</w:t>
      </w:r>
    </w:p>
    <w:p>
      <w:pPr>
        <w:spacing w:after="0" w:line="184" w:lineRule="exact"/>
        <w:rPr>
          <w:rFonts w:ascii="Times New Roman" w:cs="Times New Roman" w:eastAsia="Times New Roman" w:hAnsi="Times New Roman"/>
          <w:sz w:val="18"/>
          <w:szCs w:val="18"/>
          <w:color w:val="auto"/>
        </w:rPr>
      </w:pPr>
    </w:p>
    <w:p>
      <w:pPr>
        <w:ind w:left="720" w:right="93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any required post-marketing clinical trials or other commitments to applicable regulatory authorities;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supply arrangements with third-party raw materials suppliers and manufacturers;</w:t>
      </w:r>
    </w:p>
    <w:p>
      <w:pPr>
        <w:spacing w:after="0" w:line="184" w:lineRule="exact"/>
        <w:rPr>
          <w:rFonts w:ascii="Times New Roman" w:cs="Times New Roman" w:eastAsia="Times New Roman" w:hAnsi="Times New Roman"/>
          <w:sz w:val="18"/>
          <w:szCs w:val="18"/>
          <w:color w:val="auto"/>
        </w:rPr>
      </w:pPr>
    </w:p>
    <w:p>
      <w:pPr>
        <w:ind w:left="720" w:right="107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arrangements with third-party manufacturers to obtain finished drug product that is appropriately packaged for sale;</w:t>
      </w:r>
    </w:p>
    <w:p>
      <w:pPr>
        <w:spacing w:after="0" w:line="121" w:lineRule="exact"/>
        <w:rPr>
          <w:rFonts w:ascii="Times New Roman" w:cs="Times New Roman" w:eastAsia="Times New Roman" w:hAnsi="Times New Roman"/>
          <w:sz w:val="18"/>
          <w:szCs w:val="18"/>
          <w:color w:val="auto"/>
        </w:rPr>
      </w:pPr>
    </w:p>
    <w:p>
      <w:pPr>
        <w:ind w:left="720" w:right="37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ongoing availability of raw materials and drug product for clinical development and any commercial sales;</w:t>
      </w:r>
    </w:p>
    <w:p>
      <w:pPr>
        <w:spacing w:after="0" w:line="134" w:lineRule="exact"/>
        <w:rPr>
          <w:rFonts w:ascii="Times New Roman" w:cs="Times New Roman" w:eastAsia="Times New Roman" w:hAnsi="Times New Roman"/>
          <w:sz w:val="18"/>
          <w:szCs w:val="18"/>
          <w:color w:val="auto"/>
        </w:rPr>
      </w:pPr>
    </w:p>
    <w:p>
      <w:pPr>
        <w:ind w:left="720" w:right="79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 secret protection and regulatory exclusivity, both in the U.S. and internationally;</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our rights in our intellectual property portfolio;</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launch of commercial sales following any marketing approval;</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following any marketing approval;</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by patients, the medical community and third-party payors;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therapies.</w:t>
      </w:r>
    </w:p>
    <w:p>
      <w:pPr>
        <w:spacing w:after="0" w:line="198" w:lineRule="exact"/>
        <w:rPr>
          <w:sz w:val="20"/>
          <w:szCs w:val="20"/>
          <w:color w:val="auto"/>
        </w:rPr>
      </w:pPr>
    </w:p>
    <w:p>
      <w:pPr>
        <w:ind w:left="60" w:right="199" w:firstLine="324"/>
        <w:spacing w:after="0" w:line="236" w:lineRule="auto"/>
        <w:rPr>
          <w:sz w:val="20"/>
          <w:szCs w:val="20"/>
          <w:color w:val="auto"/>
        </w:rPr>
      </w:pPr>
      <w:r>
        <w:rPr>
          <w:rFonts w:ascii="Times New Roman" w:cs="Times New Roman" w:eastAsia="Times New Roman" w:hAnsi="Times New Roman"/>
          <w:sz w:val="18"/>
          <w:szCs w:val="18"/>
          <w:color w:val="auto"/>
        </w:rPr>
        <w:t>Many of these factors are beyond our control, including the results of clinical trials, the time required for the FDA, or any comparable foreign regulatory authorities, to review any regulatory submissions we may make, potential threats to our intellectual property rights and the manufacturing, marketing and sales efforts of any future collaborator. If we are unable to commercialize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develop, receive marketing approval for and successfully commercialize BXCL501, BXCL701 and our other product candidates, on our own or with any future collaborator, or experience delays because of any of these factors or otherwise, our business could be substantially harmed.</w:t>
      </w: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48"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top-line or preliminary data from our clinical trials, which is based on a preliminary analysis of then-available data. The results and related findings and conclusions based on such preliminary data are subject to change, and have in the past changed,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54"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 Further, disclosure of interim data by us or by our competitors could result in volatility in the price of our common stock.</w:t>
      </w:r>
    </w:p>
    <w:p>
      <w:pPr>
        <w:spacing w:after="0" w:line="143"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60"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31" w:lineRule="exact"/>
        <w:rPr>
          <w:sz w:val="20"/>
          <w:szCs w:val="20"/>
          <w:color w:val="auto"/>
        </w:rPr>
      </w:pPr>
    </w:p>
    <w:p>
      <w:pPr>
        <w:ind w:left="6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expensive and inherently unpredictable, and if we are ultimately unable to obtain regulatory approval for our product candidates, our business will be substantially harmed.</w:t>
      </w:r>
    </w:p>
    <w:p>
      <w:pPr>
        <w:spacing w:after="0" w:line="134"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It is not uncommon for companies in the biopharmaceutical industry to suffer significant setbacks in advanced clinical trials due to nonclinical findings made while clinical studies are underway and safety or efficacy observations made in clinical studies, including previously unreported adverse events. Our future clinical trial results may not be successful, and notwithstanding any potential promising results in earlier studies, we cannot be certain that we will not face similar setbacks. The historical failure rate for product candidates in our industry is high. In addition, approval policies, regulations, or the type and amount of clinical data necessary to gain approval may change during a product candidate’s clinical development and may vary among jurisdictions. We obtained regulatory approval for our first product candidate for the acute treatment of agitation associated with schizophrenia or bipolar I or II disorder, which is in the early stages of commercialization. It is possible that none of our other product candidates, or any product candidates we may seek to develop in the future, will ever obtain regulatory approval.</w:t>
      </w:r>
    </w:p>
    <w:p>
      <w:pPr>
        <w:spacing w:after="0" w:line="169"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Our current product candidates, or any that may be developed in the future, could fail to receive regulatory approval for many reasons, including the following:</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5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34" w:lineRule="exact"/>
        <w:rPr>
          <w:rFonts w:ascii="Times New Roman" w:cs="Times New Roman" w:eastAsia="Times New Roman" w:hAnsi="Times New Roman"/>
          <w:sz w:val="18"/>
          <w:szCs w:val="18"/>
          <w:color w:val="auto"/>
        </w:rPr>
      </w:pPr>
    </w:p>
    <w:p>
      <w:pPr>
        <w:ind w:left="720" w:right="37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121"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121" w:lineRule="exact"/>
        <w:rPr>
          <w:rFonts w:ascii="Times New Roman" w:cs="Times New Roman" w:eastAsia="Times New Roman" w:hAnsi="Times New Roman"/>
          <w:sz w:val="18"/>
          <w:szCs w:val="18"/>
          <w:color w:val="auto"/>
        </w:rPr>
      </w:pPr>
    </w:p>
    <w:p>
      <w:pPr>
        <w:ind w:left="720" w:right="73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34"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or other submission or to obtain regulatory approval in the U.S. or elsewhere;</w:t>
      </w:r>
    </w:p>
    <w:p>
      <w:pPr>
        <w:spacing w:after="0" w:line="121"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that our changes to branded reference drugs meet the criteria for the 505(b)(2) regulatory pathway or comparable foreign regulatory pathways;</w:t>
      </w:r>
    </w:p>
    <w:p>
      <w:pPr>
        <w:spacing w:after="0" w:line="121" w:lineRule="exact"/>
        <w:rPr>
          <w:rFonts w:ascii="Times New Roman" w:cs="Times New Roman" w:eastAsia="Times New Roman" w:hAnsi="Times New Roman"/>
          <w:sz w:val="18"/>
          <w:szCs w:val="18"/>
          <w:color w:val="auto"/>
        </w:rPr>
      </w:pPr>
    </w:p>
    <w:p>
      <w:pPr>
        <w:ind w:left="720" w:right="59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134"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21"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We have limited experience in completing clinical trials of product candidates. Consequently, we may not have the necessary capabilities, including adequate staffing, to successfully manage the execution and completion of clinical trials we initiate in a way that leads to our obtaining marketing approval for our product candidates in a timely manner, or at all. This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47" w:lineRule="exact"/>
        <w:rPr>
          <w:sz w:val="20"/>
          <w:szCs w:val="20"/>
          <w:color w:val="auto"/>
        </w:rPr>
      </w:pPr>
    </w:p>
    <w:p>
      <w:pPr>
        <w:ind w:left="60" w:right="259" w:firstLine="324"/>
        <w:spacing w:after="0" w:line="256"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our product candidates for fewer or more limited indications than we request, may not approve the price we intend to charge for our products, may grant approval contingent on the performance of costly post-marketing clinical trials, may approve a product candidate with a label that does not include the labeling claims necessary or desirable for the successful commercialization of that product candidate or may restrict its distribution. Any of the foregoing scenarios could materially harm the commercial prospects for our product candidates.</w:t>
      </w:r>
    </w:p>
    <w:p>
      <w:pPr>
        <w:spacing w:after="0" w:line="160" w:lineRule="exact"/>
        <w:rPr>
          <w:sz w:val="20"/>
          <w:szCs w:val="20"/>
          <w:color w:val="auto"/>
        </w:rPr>
      </w:pPr>
    </w:p>
    <w:p>
      <w:pPr>
        <w:ind w:left="60" w:right="259" w:firstLine="324"/>
        <w:spacing w:after="0" w:line="244" w:lineRule="auto"/>
        <w:rPr>
          <w:sz w:val="20"/>
          <w:szCs w:val="20"/>
          <w:color w:val="auto"/>
        </w:rPr>
      </w:pPr>
      <w:r>
        <w:rPr>
          <w:rFonts w:ascii="Times New Roman" w:cs="Times New Roman" w:eastAsia="Times New Roman" w:hAnsi="Times New Roman"/>
          <w:sz w:val="18"/>
          <w:szCs w:val="18"/>
          <w:color w:val="auto"/>
        </w:rPr>
        <w:t>We have only submitted one NDA to the FDA and have not submitted any similar marketing applications to comparable foreign authorities, for any product candidate, and we cannot be certain that our product candidates currently in development, or any than may be developed in the future, will be successful in clinical trials or receive regulatory approval. Further, our product candidates currently in development, or any that may be developed in the future, may not receive regulatory approval even if we believe they are successful in clinical trials. If we do not receive regulatory approvals for additional product candidates, we may not be able to continue our operations. For any regulatory approvals to market one or more of our product candidates, our revenues will be dependent, in part, upon the size of the markets in the territories for which we gain regulatory approval and have commercial rights. If the markets for patients that we are targeting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our other product candidates are not as significant as we estimate, we may not generate significant revenues from sales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such other product candidates, if approved.</w:t>
      </w:r>
    </w:p>
    <w:p>
      <w:pPr>
        <w:spacing w:after="0" w:line="44"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We plan to seek regulatory approval to commercialize our product candidates in the U.S., the European Union (“EU”) and in additional foreign countries. While the scope of regulatory approval is similar in other countries,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(“CTR”), which was adopted in April 2014 and repeals the EU Clinical Trials Directive, became applicable on January 31, 2022. While the Clinical Trials Directive required a separate clinical trial application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foresees a three-year transition period. The extent to which ongoing and new clinical trials will be governed by the CTR varies. For clinical trials whose CTA was made under the Clinical Trials Directive before January 31, 2022, the Clinical Trials Directive will continue to apply on a transitional basis for three years. Additionally, sponsors could choose to submit a CTA under either the Clinical Trials Directive or the CTR until January 31, 2023 and, if authorized, those are governed by the Clinical Trials Directive until January 31, 2025. By that date, all ongoing trials will become subject to the provisions of the CTR.</w:t>
      </w:r>
    </w:p>
    <w:p>
      <w:pPr>
        <w:spacing w:after="0" w:line="166"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governing clinical trials, our development plans may be impacted.</w:t>
      </w:r>
    </w:p>
    <w:p>
      <w:pPr>
        <w:spacing w:after="0" w:line="117" w:lineRule="exact"/>
        <w:rPr>
          <w:sz w:val="20"/>
          <w:szCs w:val="20"/>
          <w:color w:val="auto"/>
        </w:rPr>
      </w:pPr>
    </w:p>
    <w:p>
      <w:pPr>
        <w:ind w:left="60" w:right="7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trials are expensive, time-consuming, difficult to design, difficult to conduct, and involve an uncertain outcome.</w:t>
      </w:r>
    </w:p>
    <w:p>
      <w:pPr>
        <w:spacing w:after="0" w:line="118"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Before obtaining marketing approval from the FDA, or other comparable foreign regulatory authorities, for the sale of our product candidates, we must complete preclinical development and extensive clinical trials to demonstrate the safety and efficacy of our product candidates, in accordance with applicable law and regulations. Failure can occur at any time during the clinical trial process. Although we are planning for certain clinical trials relating to BXCL501, BXCL701, BXCL502 and our other product candidates, there can be no assurance that the FDA, or other comparable foreign regulatory authorities, will accept our proposed trial designs as sufficient to establish the safety and/or efficacy of our product candidates.</w:t>
      </w:r>
    </w:p>
    <w:p>
      <w:pPr>
        <w:spacing w:after="0" w:line="162"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We may experience delays in our clinical trials and we do not know whether planned clinical trials will begin on time, need to be redesigned, enroll patients on time or be completed on schedule, if at all. Clinical trials can be delayed for a variety of reasons, including delays related to:</w:t>
      </w:r>
    </w:p>
    <w:p>
      <w:pPr>
        <w:spacing w:after="0" w:line="135" w:lineRule="exact"/>
        <w:rPr>
          <w:sz w:val="20"/>
          <w:szCs w:val="20"/>
          <w:color w:val="auto"/>
        </w:rPr>
      </w:pPr>
    </w:p>
    <w:p>
      <w:pPr>
        <w:ind w:left="720" w:right="45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disagreeing as to the design or implementation of our clinical studies;</w:t>
      </w:r>
    </w:p>
    <w:p>
      <w:pPr>
        <w:spacing w:after="0" w:line="121" w:lineRule="exact"/>
        <w:rPr>
          <w:rFonts w:ascii="Times New Roman" w:cs="Times New Roman" w:eastAsia="Times New Roman" w:hAnsi="Times New Roman"/>
          <w:sz w:val="18"/>
          <w:szCs w:val="18"/>
          <w:color w:val="auto"/>
        </w:rPr>
      </w:pPr>
    </w:p>
    <w:p>
      <w:pPr>
        <w:ind w:left="720" w:right="33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allowances or authorizations to commence a trial or consensus with regulatory authorities on trial designs;</w:t>
      </w:r>
    </w:p>
    <w:p>
      <w:pPr>
        <w:spacing w:after="0" w:line="134" w:lineRule="exact"/>
        <w:rPr>
          <w:rFonts w:ascii="Times New Roman" w:cs="Times New Roman" w:eastAsia="Times New Roman" w:hAnsi="Times New Roman"/>
          <w:sz w:val="18"/>
          <w:szCs w:val="18"/>
          <w:color w:val="auto"/>
        </w:rPr>
      </w:pPr>
    </w:p>
    <w:p>
      <w:pPr>
        <w:jc w:val="both"/>
        <w:ind w:left="720" w:right="219" w:hanging="319"/>
        <w:spacing w:after="0" w:line="266"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contract research organizations (“CROs”) and clinical trial sites, the terms of which can be subject to extensive negotiation and may vary significantly among different CROs and trial sites;</w:t>
      </w:r>
    </w:p>
    <w:p>
      <w:pPr>
        <w:spacing w:after="0" w:line="135"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institutional review board approval at each site, or independent ethics committee approval at any sites outside the U.S.;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the needs and timing of third-party collaborators;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clinical trial protocols;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patients to participate in a trial in a timely manner and in sufficient numbers;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patient safety concerns that arise during the course of a trial;</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trial or return for post-treatment follow-up;</w:t>
      </w:r>
    </w:p>
    <w:p>
      <w:pPr>
        <w:spacing w:after="0" w:line="184" w:lineRule="exact"/>
        <w:rPr>
          <w:rFonts w:ascii="Times New Roman" w:cs="Times New Roman" w:eastAsia="Times New Roman" w:hAnsi="Times New Roman"/>
          <w:sz w:val="18"/>
          <w:szCs w:val="18"/>
          <w:color w:val="auto"/>
        </w:rPr>
      </w:pPr>
    </w:p>
    <w:p>
      <w:pPr>
        <w:ind w:left="720" w:right="39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by regulatory authorities, including as a result of unforeseen safety issues or side effects or failure of trial sites to adhere to regulatory requirements;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SAEs in trials of the same class of agents conducted by other companies or institutions;</w:t>
      </w:r>
    </w:p>
    <w:p>
      <w:pPr>
        <w:spacing w:after="0" w:line="184" w:lineRule="exact"/>
        <w:rPr>
          <w:rFonts w:ascii="Times New Roman" w:cs="Times New Roman" w:eastAsia="Times New Roman" w:hAnsi="Times New Roman"/>
          <w:sz w:val="18"/>
          <w:szCs w:val="18"/>
          <w:color w:val="auto"/>
        </w:rPr>
      </w:pPr>
    </w:p>
    <w:p>
      <w:pPr>
        <w:ind w:left="720" w:right="93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choosing an alternative treatment for the indications for which we are developing our product candidates, or participating in competing trials;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a sufficient number of clinical trial sites;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a product candidate for use in clinical trials;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initiate or continue clinical trials;</w:t>
      </w:r>
    </w:p>
    <w:p>
      <w:pPr>
        <w:spacing w:after="0" w:line="184"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 points that require prolonged periods of clinical observation or analysis of the resulting data;</w:t>
      </w:r>
    </w:p>
    <w:p>
      <w:pPr>
        <w:spacing w:after="0" w:line="134" w:lineRule="exact"/>
        <w:rPr>
          <w:rFonts w:ascii="Times New Roman" w:cs="Times New Roman" w:eastAsia="Times New Roman" w:hAnsi="Times New Roman"/>
          <w:sz w:val="18"/>
          <w:szCs w:val="18"/>
          <w:color w:val="auto"/>
        </w:rPr>
      </w:pPr>
    </w:p>
    <w:p>
      <w:pPr>
        <w:ind w:left="720" w:right="259" w:hanging="319"/>
        <w:spacing w:after="0" w:line="261"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facility manufacturing our product candidates or any of their components being ordered by the FDA, or comparable foreign regulatory authorities, to temporarily or permanently shut down due to violations of current good manufacturing practice (“cGMP”) regulations or other applicable requirements, or infections or cross-contaminations of product candidates in the manufacturing process;</w:t>
      </w:r>
    </w:p>
    <w:p>
      <w:pPr>
        <w:spacing w:after="0" w:line="13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manufacturing process that may be necessary or desired;</w:t>
      </w:r>
    </w:p>
    <w:p>
      <w:pPr>
        <w:spacing w:after="0" w:line="184" w:lineRule="exact"/>
        <w:rPr>
          <w:rFonts w:ascii="Times New Roman" w:cs="Times New Roman" w:eastAsia="Times New Roman" w:hAnsi="Times New Roman"/>
          <w:sz w:val="18"/>
          <w:szCs w:val="18"/>
          <w:color w:val="auto"/>
        </w:rPr>
      </w:pPr>
    </w:p>
    <w:p>
      <w:pPr>
        <w:ind w:left="720" w:right="359" w:hanging="319"/>
        <w:spacing w:after="0" w:line="266"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investigators losing the licenses or permits necessary to perform our clinical trials, not performing our clinical trials on our anticipated schedule or consistent with the clinical trial protocol, GCPs or other regulatory requirements; or</w:t>
      </w:r>
    </w:p>
    <w:p>
      <w:pPr>
        <w:spacing w:after="0" w:line="148" w:lineRule="exact"/>
        <w:rPr>
          <w:rFonts w:ascii="Times New Roman" w:cs="Times New Roman" w:eastAsia="Times New Roman" w:hAnsi="Times New Roman"/>
          <w:sz w:val="18"/>
          <w:szCs w:val="18"/>
          <w:color w:val="auto"/>
        </w:rPr>
      </w:pPr>
    </w:p>
    <w:p>
      <w:pPr>
        <w:ind w:left="720" w:right="219" w:hanging="319"/>
        <w:spacing w:after="0" w:line="256"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not performing data collection or analysis in a timely or accurate manner; third-party contractors not complying with training and trial protocol; or third-party contractors becoming debarred or suspended or otherwise penalized by the FDA, such as in the case of the recent events relating to the TRANQUILITY II clinical trial,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47"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of the institutions in which such trials are being conducted, by the Data Safety Monitoring Board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Furthermore, we rely on CROs and clinical trial sites to ensure the proper and timely conduct of our clinical trials and, while we have agreements governing their committed activities, we have limited influence over their actual performance, which increases the risk that such CROs or trial sites may fail to perform in accordance with regulatory requirements, clinical trial protocols or with the agreements governing their services to us. For example, investigator misconduct affecting our TRANQUILITY II trial, which evaluated BXCL501 in patients with probable Alzheimer’s disease, may have a material adverse impact on our development program for BXCL501 in these patients, as described more fully in the risk factor above entitled: “</w:t>
      </w:r>
      <w:r>
        <w:rPr>
          <w:rFonts w:ascii="Times New Roman" w:cs="Times New Roman" w:eastAsia="Times New Roman" w:hAnsi="Times New Roman"/>
          <w:sz w:val="18"/>
          <w:szCs w:val="18"/>
          <w:i w:val="1"/>
          <w:iCs w:val="1"/>
          <w:color w:val="auto"/>
        </w:rPr>
        <w:t>Developments relating to our TRANQUILITY II Phase 3 trial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239"/>
        <w:spacing w:after="0" w:line="267" w:lineRule="auto"/>
        <w:rPr>
          <w:sz w:val="20"/>
          <w:szCs w:val="20"/>
          <w:color w:val="auto"/>
        </w:rPr>
      </w:pPr>
      <w:r>
        <w:rPr>
          <w:rFonts w:ascii="Times New Roman" w:cs="Times New Roman" w:eastAsia="Times New Roman" w:hAnsi="Times New Roman"/>
          <w:sz w:val="18"/>
          <w:szCs w:val="18"/>
          <w:i w:val="1"/>
          <w:iCs w:val="1"/>
          <w:color w:val="auto"/>
        </w:rPr>
        <w:t>may impact the timing of our development plans for, and prospects for seeking or obtaining regulatory approval of, BXCL501 for the acute treatment of agitation (non-daily) associated with dementia in patients with probable Alzheimer’s disease</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Further, conducting clinical trials in foreign countries, as we may do for our current and future product candidates, presents additional risks that may delay completion of our clinical trials. These risks include the failure of enrolled patients in foreign countries to adhere to clinical protocol due to differences in health care services or cultural customs, managing additional administrative burdens associated with foreign regulatory schemes, as well as political and economic risks relevant to such foreign countries. For example, current geopolitical conflicts in Eastern Europe and the Middle East may adversely impact our ability to conduct trials in those regions and elsewhere.</w:t>
      </w:r>
    </w:p>
    <w:p>
      <w:pPr>
        <w:spacing w:after="0" w:line="147"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44"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enrollment of patients in our clinical trials to continue development of our product candidates. If we are unable to enroll patients in our clinical trials, our research and development efforts could be adversely affected.</w:t>
      </w:r>
    </w:p>
    <w:p>
      <w:pPr>
        <w:spacing w:after="0" w:line="132"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The timely completion of clinical trials in accordance with their protocols depends, among other things, on our ability to enroll a sufficient number of patients who remain in the study until its conclusion. We may experience difficulties in patient enrollment in our clinical trials for a variety of reasons. Patient enrollment is affected by many factors including the size and nature of the patient population, the proximity of patients to clinical sites, the eligibility criteria for the trial, the design of the clinical trial, the size of the patient population required for analysis of the trial’s primary endpoints, our ability to recruit clinical trial investigators with the appropriate competencies and experience, our ability to obtain and maintain patient consents, the risk that patients enrolled in clinical trials will drop out of the trials before completion, and competing clinical trials and clinicians’ and patients’ perceptions as to the potential advantages of the drug being studied in relation to other available therapies, including any new drugs that may be approved for the indications we are investigating. Many pharmaceutical companies are conducting clinical trials in patients with the disease indications that our product candidates are designed to target. As a result, we must compete with them for clinical sites, physicians and the limited number of patients who fulfill the stringent requirements for participation in clinical trials. Also, due to the confidential nature of clinical trials, we do not know how many of the eligible patients may be enrolled in competing studies and who are consequently not available to us for our clinical trials. Our clinical trials may be delayed or terminated due to the inability to enroll enough patients. The delay or inability to meet planned patient enrollment may result in increased costs and delay or termination of our trials, which could have a harmful effect on our ability to develop products.</w:t>
      </w:r>
    </w:p>
    <w:p>
      <w:pPr>
        <w:spacing w:after="0" w:line="149" w:lineRule="exact"/>
        <w:rPr>
          <w:sz w:val="20"/>
          <w:szCs w:val="20"/>
          <w:color w:val="auto"/>
        </w:rPr>
      </w:pPr>
    </w:p>
    <w:p>
      <w:pPr>
        <w:jc w:val="both"/>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w:t>
      </w:r>
    </w:p>
    <w:p>
      <w:pPr>
        <w:spacing w:after="0" w:line="134"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The clinical evaluation of BXCL501, BXCL502, BXCL701, BXCL702 and our other product candidates in patients, in many cases, is ongoing and it is possible that there may be side effects associated with their use. Results of our trials could reveal a high and unacceptable severity and prevalence of these or other side effects. For example, in our Phase 2 clinical trial of BXCL701 for the treatment of emergent neuroendocrine prostate cancer, one patient experienced acidosis with a fatal outcome. Although the clinical investigator could not determine that the fatality was related to treatment with BXCL701, it is possible that BXCL701 could be tied to unacceptable side effects in the future.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If we observe drug-related AEs or other unacceptable safety concerns in clinical trials, we, the FDA, the IRBs at the institutions in which our studies are conducted, or the DSMB could suspend or terminate our clinical trials or the FDA, or comparable foreign regulatory authorities, could order us to cease clinical trials or deny approval of our product candidates for any or all targeted indications. For example, the FDA placed Point Therapeutics, Inc.’s IND for BXCL701 on clinical hold following an increase in observed mortality in patients receiving BXCL701 in a Phase 3 trial in patients with non-small cell lung cancer. Though we believe that this result was caused by, among other things, an imbalance in the disease severity of patients enrolled in the active arm of the clinical trial, there is no guarantee that excess mortality will not be observed in future clinical studies. Treatment-related side effects could also affect patient recruitment or the ability of enrolled patients to complete the clinical trial or result in potential product liability claims. In addition, these side effects may not be appropriately recognized or managed by the treating medical staff. We expect to have to train medical personnel using our product candidates to understand the side effect profiles observed in our clinical trials and upon commercialization of any of our product candidates that may receive regulatory approval. Inadequate training in recognizing or managing the potential side effects of our product candidates could result in patient injury or death. Any of these occurrences may harm our business, financial condition and prospects significantly.</w:t>
      </w:r>
    </w:p>
    <w:p>
      <w:pPr>
        <w:spacing w:after="0" w:line="162" w:lineRule="exact"/>
        <w:rPr>
          <w:sz w:val="20"/>
          <w:szCs w:val="20"/>
          <w:color w:val="auto"/>
        </w:rPr>
      </w:pPr>
    </w:p>
    <w:p>
      <w:pPr>
        <w:jc w:val="both"/>
        <w:ind w:left="60" w:right="679" w:firstLine="324"/>
        <w:spacing w:after="0" w:line="226" w:lineRule="auto"/>
        <w:rPr>
          <w:sz w:val="20"/>
          <w:szCs w:val="20"/>
          <w:color w:val="auto"/>
        </w:rPr>
      </w:pPr>
      <w:r>
        <w:rPr>
          <w:rFonts w:ascii="Times New Roman" w:cs="Times New Roman" w:eastAsia="Times New Roman" w:hAnsi="Times New Roman"/>
          <w:sz w:val="18"/>
          <w:szCs w:val="18"/>
          <w:color w:val="auto"/>
        </w:rPr>
        <w:t>Additionally, if we or others later identify undesirable side effects caused by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any other product candidate that receives marketing approval, a number of potentially significant negative consequences could result, including:</w:t>
      </w:r>
    </w:p>
    <w:p>
      <w:pPr>
        <w:spacing w:after="0" w:line="160" w:lineRule="exact"/>
        <w:rPr>
          <w:sz w:val="20"/>
          <w:szCs w:val="20"/>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such a product is administered to patients;</w:t>
      </w:r>
    </w:p>
    <w:p>
      <w:pPr>
        <w:spacing w:after="0" w:line="198" w:lineRule="exact"/>
        <w:rPr>
          <w:rFonts w:ascii="Times New Roman" w:cs="Times New Roman" w:eastAsia="Times New Roman" w:hAnsi="Times New Roman"/>
          <w:sz w:val="18"/>
          <w:szCs w:val="18"/>
          <w:color w:val="auto"/>
        </w:rPr>
      </w:pPr>
    </w:p>
    <w:p>
      <w:pPr>
        <w:ind w:left="720" w:right="91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or distribution of the particular product or the manufacturing processes for the product or any component thereof;</w:t>
      </w:r>
    </w:p>
    <w:p>
      <w:pPr>
        <w:spacing w:after="0" w:line="121" w:lineRule="exact"/>
        <w:rPr>
          <w:rFonts w:ascii="Times New Roman" w:cs="Times New Roman" w:eastAsia="Times New Roman" w:hAnsi="Times New Roman"/>
          <w:sz w:val="18"/>
          <w:szCs w:val="18"/>
          <w:color w:val="auto"/>
        </w:rPr>
      </w:pPr>
    </w:p>
    <w:p>
      <w:pPr>
        <w:ind w:left="720" w:right="99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such as a “black box” warning or contraindication;</w:t>
      </w:r>
    </w:p>
    <w:p>
      <w:pPr>
        <w:spacing w:after="0" w:line="121" w:lineRule="exact"/>
        <w:rPr>
          <w:rFonts w:ascii="Times New Roman" w:cs="Times New Roman" w:eastAsia="Times New Roman" w:hAnsi="Times New Roman"/>
          <w:sz w:val="18"/>
          <w:szCs w:val="18"/>
          <w:color w:val="auto"/>
        </w:rPr>
      </w:pPr>
    </w:p>
    <w:p>
      <w:pPr>
        <w:jc w:val="both"/>
        <w:ind w:left="720" w:right="359" w:hanging="319"/>
        <w:spacing w:after="0" w:line="312" w:lineRule="auto"/>
        <w:tabs>
          <w:tab w:leader="none" w:pos="7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implement Risk Evaluation and Mitigation Strategies (“REMS”) or create a medication guide outlining the risks of such side effects for distribution to patients, or similar risk management measures;</w:t>
      </w:r>
    </w:p>
    <w:p>
      <w:pPr>
        <w:spacing w:after="0" w:line="112" w:lineRule="exact"/>
        <w:rPr>
          <w:rFonts w:ascii="Times New Roman" w:cs="Times New Roman" w:eastAsia="Times New Roman" w:hAnsi="Times New Roman"/>
          <w:sz w:val="17"/>
          <w:szCs w:val="17"/>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may become less competitive;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98"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or product candidate, if approved, and could significantly harm our business, results of operations and prospects.</w:t>
      </w:r>
    </w:p>
    <w:p>
      <w:pPr>
        <w:spacing w:after="0" w:line="117" w:lineRule="exact"/>
        <w:rPr>
          <w:sz w:val="20"/>
          <w:szCs w:val="20"/>
          <w:color w:val="auto"/>
        </w:rPr>
      </w:pPr>
    </w:p>
    <w:p>
      <w:pPr>
        <w:jc w:val="both"/>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discovery and development of product candidates based on EvolverAI, BioXcel LLC’s proprietary pharmaceutical discovery and development engine, and our AI platform is novel and unproven, and we do not know whether we will be able to develop any products of commercial value.</w:t>
      </w:r>
    </w:p>
    <w:p>
      <w:pPr>
        <w:spacing w:after="0" w:line="134" w:lineRule="exact"/>
        <w:rPr>
          <w:sz w:val="20"/>
          <w:szCs w:val="20"/>
          <w:color w:val="auto"/>
        </w:rPr>
      </w:pPr>
    </w:p>
    <w:p>
      <w:pPr>
        <w:ind w:left="60" w:right="159" w:firstLine="324"/>
        <w:spacing w:after="0" w:line="241" w:lineRule="auto"/>
        <w:rPr>
          <w:sz w:val="20"/>
          <w:szCs w:val="20"/>
          <w:color w:val="auto"/>
        </w:rPr>
      </w:pPr>
      <w:r>
        <w:rPr>
          <w:rFonts w:ascii="Times New Roman" w:cs="Times New Roman" w:eastAsia="Times New Roman" w:hAnsi="Times New Roman"/>
          <w:sz w:val="18"/>
          <w:szCs w:val="18"/>
          <w:color w:val="auto"/>
        </w:rPr>
        <w:t>We are leveraging our own AI platform and BioXcel LLC’s EvolverAI, a proprietary pharmaceutical discovery and development engine, to create a pipeline of neuroscience and immuno-oncology product candidates for patients whose diseases have not been adequately addressed to date by other approaches and to design and conduct efficient clinical trials with a higher likelihood of success. While we believe that applying our AI platform and BioXcel LLC’s EvolverAI to create medicines for defined patient populations may potentially enable drug research and clinical development that is more efficient than conventional drug research and development, our approach is novel. Although we obtained FDA approval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because our approach is novel, the cost and time needed to develop our product candidates is difficult to predict, and our efforts may not result in the discovery and development of commercially viable medicines. We may also be incorrect about the effects of our product and product candidates 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the diseases of our defined patient populations, which may limit the utility of our approach or the perception of the utility of our approach. Furthermore, our estimates of our defined patient populations available for study and treatment may be lower than expected, which could adversely affect our ability to conduct clinical trials and may also adversely affect the size of any market for medicines we may successfully commercialize. Our approach may not result in time savings, higher success rates or reduced costs as we expect it to, and if not, we may not attract collaborators or develop new drugs as quickly or cost effectively as expected and therefore we may not be able to commercialize our approach as originally expected.</w:t>
      </w:r>
    </w:p>
    <w:p>
      <w:pPr>
        <w:spacing w:after="0" w:line="158" w:lineRule="exact"/>
        <w:rPr>
          <w:sz w:val="20"/>
          <w:szCs w:val="20"/>
          <w:color w:val="auto"/>
        </w:rPr>
      </w:pPr>
    </w:p>
    <w:p>
      <w:pPr>
        <w:ind w:left="60" w:right="8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AI platform and BioXcel LLC’s EvolverAI may fail to help us discover and develop additional potential product candidates.</w:t>
      </w:r>
    </w:p>
    <w:p>
      <w:pPr>
        <w:spacing w:after="0" w:line="118" w:lineRule="exact"/>
        <w:rPr>
          <w:sz w:val="20"/>
          <w:szCs w:val="20"/>
          <w:color w:val="auto"/>
        </w:rPr>
      </w:pPr>
    </w:p>
    <w:p>
      <w:pPr>
        <w:ind w:left="60" w:right="159" w:firstLine="324"/>
        <w:spacing w:after="0" w:line="281" w:lineRule="auto"/>
        <w:rPr>
          <w:sz w:val="20"/>
          <w:szCs w:val="20"/>
          <w:color w:val="auto"/>
        </w:rPr>
      </w:pPr>
      <w:r>
        <w:rPr>
          <w:rFonts w:ascii="Times New Roman" w:cs="Times New Roman" w:eastAsia="Times New Roman" w:hAnsi="Times New Roman"/>
          <w:sz w:val="17"/>
          <w:szCs w:val="17"/>
          <w:color w:val="auto"/>
        </w:rPr>
        <w:t>Any drug discovery that we are conducting using the Company’s AI platform and BioXcel LLC’s EvolverAI may not be successful in identifying compounds that have commercial value or therapeutic utility. The Company’s AI platform and BioXcel LLC’s EvolverAI may initially show promise in identifying potential product candidates, yet fail to yield viable additional product candidates for clinical development or potential commercialization for a number of reasons, including:</w:t>
      </w:r>
    </w:p>
    <w:p>
      <w:pPr>
        <w:spacing w:after="0" w:line="124" w:lineRule="exact"/>
        <w:rPr>
          <w:sz w:val="20"/>
          <w:szCs w:val="20"/>
          <w:color w:val="auto"/>
        </w:rPr>
      </w:pPr>
    </w:p>
    <w:p>
      <w:pPr>
        <w:ind w:left="720" w:right="339" w:hanging="319"/>
        <w:spacing w:after="0" w:line="258"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programs to identify new product candidates will require substantial technical, financial and human resources, and we may be unsuccessful in our efforts to identify new product candidates. If we are unable to identify suitable additional compounds for preclinical and clinical development, our ability to develop product candidates and obtain product revenues in future periods could be compromised, which could result in significant harm to our financial position and adversely impact our stock price;</w:t>
      </w:r>
    </w:p>
    <w:p>
      <w:pPr>
        <w:spacing w:after="0" w:line="156" w:lineRule="exact"/>
        <w:rPr>
          <w:rFonts w:ascii="Times New Roman" w:cs="Times New Roman" w:eastAsia="Times New Roman" w:hAnsi="Times New Roman"/>
          <w:sz w:val="18"/>
          <w:szCs w:val="18"/>
          <w:color w:val="auto"/>
        </w:rPr>
      </w:pPr>
    </w:p>
    <w:p>
      <w:pPr>
        <w:ind w:left="720" w:right="55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compounds found through the Company’s AI platform and BioXcel LLC’s EvolverAI may not demonstrate efficacy, safety or tolerability;</w:t>
      </w:r>
    </w:p>
    <w:p>
      <w:pPr>
        <w:spacing w:after="0" w:line="121"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on further study, be shown to have harmful side effects or other characteristics that indicate that they are unlikely to receive marketing approval and achieve market acceptance;</w:t>
      </w:r>
    </w:p>
    <w:p>
      <w:pPr>
        <w:spacing w:after="0" w:line="121" w:lineRule="exact"/>
        <w:rPr>
          <w:rFonts w:ascii="Times New Roman" w:cs="Times New Roman" w:eastAsia="Times New Roman" w:hAnsi="Times New Roman"/>
          <w:sz w:val="18"/>
          <w:szCs w:val="18"/>
          <w:color w:val="auto"/>
        </w:rPr>
      </w:pPr>
    </w:p>
    <w:p>
      <w:pPr>
        <w:ind w:left="720" w:right="37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 therapies that render our potential product candidates non-competitive or less attractive; or</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product candidate may not be capable of being produced at an acceptable cost.</w:t>
      </w:r>
    </w:p>
    <w:p>
      <w:pPr>
        <w:spacing w:after="0" w:line="181"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Regulators may limit our ability to develop or implement our proprietary AI algorithms and/or may eliminate or restrict the confidentiality of our proprietary technology, which could have an adverse effect on our business, results of operations, and financial condition.</w:t>
      </w:r>
    </w:p>
    <w:p>
      <w:pPr>
        <w:spacing w:after="0" w:line="134" w:lineRule="exact"/>
        <w:rPr>
          <w:sz w:val="20"/>
          <w:szCs w:val="20"/>
          <w:color w:val="auto"/>
        </w:rPr>
      </w:pPr>
    </w:p>
    <w:p>
      <w:pPr>
        <w:ind w:left="60" w:right="399" w:firstLine="324"/>
        <w:spacing w:after="0" w:line="258" w:lineRule="auto"/>
        <w:rPr>
          <w:sz w:val="20"/>
          <w:szCs w:val="20"/>
          <w:color w:val="auto"/>
        </w:rPr>
      </w:pPr>
      <w:r>
        <w:rPr>
          <w:rFonts w:ascii="Times New Roman" w:cs="Times New Roman" w:eastAsia="Times New Roman" w:hAnsi="Times New Roman"/>
          <w:sz w:val="18"/>
          <w:szCs w:val="18"/>
          <w:color w:val="auto"/>
        </w:rPr>
        <w:t>Our future success depends on our ability to continue to develop and implement our proprietary AI algorithms and models, and to maintain the confidentiality of this technology. Changes to existing regulations, their interpretation or implementation, or new regulations could impede our use of this technology or require that we disclose our proprietary technology to our competitors, which could impair our competitive position and result in an adverse effect on our business, results of operations and financial condition.</w:t>
      </w:r>
    </w:p>
    <w:p>
      <w:pPr>
        <w:spacing w:after="0" w:line="152"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obtained Fast Track designation for certain of our product candidates, and we may seek Fast Track designation for other indications or for our other product candidates, but we might not receive such designations, and even if we do, such designations may not actually lead to a faster development or regulatory review or approval process.</w:t>
      </w:r>
    </w:p>
    <w:p>
      <w:pPr>
        <w:spacing w:after="0" w:line="134"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If a product candidate is intended for the treatment of a serious condition and nonclinical or clinical data demonstrate the potential to address unmet medical need for this condition, a product sponsor may apply for FDA Fast Track designation. The sponsor of a Fast Track product candidate has opportunities for more frequent interactions with the applicable FDA review team during product development and, once an NDA is submitted, the product candidate may be eligible for priority review if the relevant criteria are met. An NDA for a Fast Track product candidate may also be eligible for rolling review, where the FDA may consider for review sections of the NDA on a rolling basis before the</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We obtained Fast Track designation for BXCL501 for the acute treatment of mild-to-moderate agitation associated with schizophrenia, bipolar disorder, and dementia, and we further obtained Fast Track designation for BXCL701, in combination with a checkpoint inhibitor, for the treatment of patients with metastatic SCNC with progression on chemotherapy and no evidence of microsatellite instability, and we may seek additional Fast Track designation for BXCL501 or BXCL701 or for one or more of our other product candidates, but we might not receive such designations from the FDA. However, even if we receive Fast Track designation,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56"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spacing w:after="0" w:line="134"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We obtained Breakthrough Therapy Designation for BXCL501 for the acute treatment of agitation associated with dementia, and we may seek additional Breakthrough Therapy designations for our product candidates if the clinical data support such a designation for one or more product candidates. A Breakthrough Therapy is defined as a drug or biologic 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also receive the benefits associated with Fast Track designation, including the potential for rolling review of an NDA.</w:t>
      </w:r>
    </w:p>
    <w:p>
      <w:pPr>
        <w:spacing w:after="0" w:line="151"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non-expedited FDA review procedures and does not assure ultimate approval by the FDA. In addition, even if one or more of our product candidates qualify as breakthrough therapies, the FDA may later decide that the product no longer meets the conditions for qualification or decide that the period for FDA review or approval will not be shortened.</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the FDA does not conclude that our product candidates satisfy the requirements for the 505(b)(2) regulatory approval pathway, or if the requirements for approval of any of our product candidates under Section 505(b)(2) are not as we expect, the approval pathway for our product candidates will likely take significantly longer, cost significantly more and encounter significantly greater complications and risks than anticipated, and in any case may not be successful.</w:t>
      </w:r>
    </w:p>
    <w:p>
      <w:pPr>
        <w:spacing w:after="0" w:line="156"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We intend to seek FDA approval through the 505(b)(2) regulatory pathway for certain of our product candidates. The Hatch-Waxman Act added Section 505(b)(2) to the Federal Food, Drug and Cosmetic Act (“FDCA”). Section 505(b)(2) permits the filing of an NDA where at least some of the information required for approval comes from studies that were not conducted by or for the applicant. If the FDA does not allow us to pursue the 505(b)(2) regulatory pathway for our product candidates as anticipated, we may need to conduct additional clinical trials, provide additional data and information and meet additional standards for regulatory approval. If this were to occur, the time and financial resources required to obtain FDA approval for our product candidates would likely substantially increase. Moreover, the inability to pursue the 505(b)(2) regulatory pathway could result in new competitive products reaching the market faster than our product candidates, which could materially adversely impact our competitive position and prospects. Even if we are allowed to pursue the 505(b)(2) regulatory pathway for a product candidate, we cannot assure you that we will receive the requisite or timely approvals for commercialization of such product candidate. In addition, we expect that our competitors will file citizens’ petitions with the FDA in an attempt to persuade the FDA that our product candidates, or the clinical studies that support their approval, contain deficiencies. Such actions by our competitors could delay or even prevent the FDA from approving any NDA that we submit under Section 505(b)(2).</w:t>
      </w:r>
    </w:p>
    <w:p>
      <w:pPr>
        <w:spacing w:after="0" w:line="153" w:lineRule="exact"/>
        <w:rPr>
          <w:sz w:val="20"/>
          <w:szCs w:val="20"/>
          <w:color w:val="auto"/>
        </w:rPr>
      </w:pPr>
    </w:p>
    <w:p>
      <w:pPr>
        <w:ind w:left="60" w:right="1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required by the FDA, or similar regulatory authorities, to obtain approval (or clearance, or certification) of a companion diagnostic device in connection with approval of one of our product candidates, and we do not obtain, or face delays in obtaining approval (or clearance, or certification) of a companion diagnostic device, we will not be able to commercialize the product candidate, and our ability to generate revenue will be materially impaired</w:t>
      </w:r>
      <w:r>
        <w:rPr>
          <w:rFonts w:ascii="Times New Roman" w:cs="Times New Roman" w:eastAsia="Times New Roman" w:hAnsi="Times New Roman"/>
          <w:sz w:val="18"/>
          <w:szCs w:val="18"/>
          <w:color w:val="auto"/>
        </w:rPr>
        <w:t>.</w:t>
      </w:r>
    </w:p>
    <w:p>
      <w:pPr>
        <w:spacing w:after="0" w:line="140"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we may be required to create or obtain one that would be subject to regulatory approval requirements. For example, we may decide to collaborate with patient diagnostic companies during our clinical trial enrollment process for BXCL701 to help identify patients with tumor gene alterations that we believe may be most likely to respond to treatment with BXCL701. The process of obtaining or creating such diagnostic is time consuming and costly.</w:t>
      </w:r>
    </w:p>
    <w:p>
      <w:pPr>
        <w:spacing w:after="0" w:line="165" w:lineRule="exact"/>
        <w:rPr>
          <w:sz w:val="20"/>
          <w:szCs w:val="20"/>
          <w:color w:val="auto"/>
        </w:rPr>
      </w:pPr>
    </w:p>
    <w:p>
      <w:pPr>
        <w:ind w:left="60" w:right="199" w:firstLine="324"/>
        <w:spacing w:after="0" w:line="252" w:lineRule="auto"/>
        <w:rPr>
          <w:sz w:val="20"/>
          <w:szCs w:val="20"/>
          <w:color w:val="auto"/>
        </w:rPr>
      </w:pPr>
      <w:r>
        <w:rPr>
          <w:rFonts w:ascii="Times New Roman" w:cs="Times New Roman" w:eastAsia="Times New Roman" w:hAnsi="Times New Roman"/>
          <w:sz w:val="18"/>
          <w:szCs w:val="18"/>
          <w:color w:val="auto"/>
        </w:rPr>
        <w:t>Companion diagnostics are developed in conjunction with clinical programs for the associated product and are subject to regulation as medical devices by the FDA and comparable foreign regulatory authorities, and, to date, the FDA has generally required premarket approval of companion diagnostics for cancer therapies. Generally, when a companion diagnostic is essential to the safe and effective use of a therapeutic product, the FDA requires that the companion diagnostic be approved before or concurrent with approval of the therapeutic product and before a product can be commercialized. The approval of a companion diagnostic as part of the therapeutic product’s labeling limits the use of the therapeutic product to only those patients who express the specific genetic alteration that the companion diagnostic was developed to detect. In January 2024, the FDA announced that it intends to initiate the process to reclassify most in vitro diagnostic tests (“IVDs”) that are currently Class III into Class II, including companion diagnostic IVDs. If such reclassification efforts occur, any companion diagnostics that are the subject of the down-classification may no longer require premarket approval, but rather may be marketed pursuant to the generally less burdensome 510(k) clearance process. However, there is no assurance that any companion diagnostic required for our pharmaceutical development programs will benefit from the reclassification, or that the reclassification, even if it does occur, will result in a shorter timeline to development or marketing of the companion diagnostic.</w:t>
      </w:r>
    </w:p>
    <w:p>
      <w:pPr>
        <w:spacing w:after="0" w:line="157" w:lineRule="exact"/>
        <w:rPr>
          <w:sz w:val="20"/>
          <w:szCs w:val="20"/>
          <w:color w:val="auto"/>
        </w:rPr>
      </w:pPr>
    </w:p>
    <w:p>
      <w:pPr>
        <w:ind w:left="60" w:right="279" w:firstLine="324"/>
        <w:spacing w:after="0" w:line="258" w:lineRule="auto"/>
        <w:rPr>
          <w:sz w:val="20"/>
          <w:szCs w:val="20"/>
          <w:color w:val="auto"/>
        </w:rPr>
      </w:pPr>
      <w:r>
        <w:rPr>
          <w:rFonts w:ascii="Times New Roman" w:cs="Times New Roman" w:eastAsia="Times New Roman" w:hAnsi="Times New Roman"/>
          <w:sz w:val="18"/>
          <w:szCs w:val="18"/>
          <w:color w:val="auto"/>
        </w:rPr>
        <w:t>If the FDA, or a comparable foreign regulatory authority, requires approval (or certification or clearance) of a companion diagnostic for any of our product candidates, whether before or after the product candidate obtains marketing approval, we and/or third-party collaborators may encounter difficulties in developing and obtaining approval (or clearance, or certification) for these companion diagnostics. Any delay or failure by us or third-party collaborators to develop or obtain regulatory approval (or clearance, or certification) of a companion diagnostic could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delay or prevent approval or continued marketing of our related product candidates. We may also experience delays in developing a sustainable, reproducible and scalable manufacturing process for the companion diagnostic or in transferring that process to commercial partners or negotiating insurance reimbursement plans, all of which may prevent us from completing our clinical trials or commercializing our product candidates, if approved, on a timely or profitable basis, if at all.</w:t>
      </w:r>
    </w:p>
    <w:p>
      <w:pPr>
        <w:spacing w:after="0" w:line="156"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Approval, clearance or certification of companion diagnostics may be subject to further legislative or regulatory reforms notably in the EU. On May 25, 2017, the new In Vitro Medical Devices Regulation No. 2017/746 (“IVDR”) entered into force. The IVDR repeals and replaces the EU In Vitro Diagnostic Medical Devices Directive. Unlike directives, which must be implemented into the national laws of the EU member states, regulations are directly applicable (i.e., without the need for adoption of EU member states laws implementing them) in all EU member states and are intended to eliminate current differences in the regulation of medical devices among EU member states. The IVDR, among other things, is intended to establish a uniform, transparent, predictable and sustainable regulatory framework across the EU for medical devices and ensure a high level of safety and health while supporting innovation. The IVDR became effective in May 2022. However, on October 14, 2021, the European Commission proposed a “progressive” roll-out of the IVDR to prevent disruption in the supply of in vitro diagnostic medical devices. The European Parliament and Council adopted the proposed regulation on December 15, 2021. The IVDR has applied since May 26, 2022, but there is a tiered system extending the grace period for many devices (depending on their risk classification) before they have to be fully compliant with the regulation.</w:t>
      </w:r>
    </w:p>
    <w:p>
      <w:pPr>
        <w:spacing w:after="0" w:line="147"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The regulation of companion diagnostics in the EU is subject to further requirements since the IVDR became applicable as it introduced a new classification system for companion diagnostics. Companion diagnostics will have to undergo a conformity assessment by a notified body. Before it can issue an EU certificate, the notified body must seek a scientific opinion from the EMA on the suitability of the companion diagnostic to the medicinal product concerned if the medicinal product falls exclusively within the scope of the centralized procedure for the authorization of medicines, or the medicinal product is already authorized through the centralized procedure, or a marketing authorization (“MA”) application for the medicinal product has been submitted through the centralized procedure. For other substances, the notified body can seek the opinion from a national competent authority or the EMA.</w:t>
      </w:r>
    </w:p>
    <w:p>
      <w:pPr>
        <w:spacing w:after="0" w:line="151"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These modifications may make it more difficult and costly for us to obtain regulatory clearances, approvals or certifications for our companion diagnostics or to manufacture, market or distribute our products after clearance, approval or certification is obtained.</w:t>
      </w:r>
    </w:p>
    <w:p>
      <w:pPr>
        <w:spacing w:after="0" w:line="137" w:lineRule="exact"/>
        <w:rPr>
          <w:sz w:val="20"/>
          <w:szCs w:val="20"/>
          <w:color w:val="auto"/>
        </w:rPr>
      </w:pPr>
    </w:p>
    <w:p>
      <w:pPr>
        <w:ind w:left="60" w:right="539"/>
        <w:spacing w:after="0" w:line="235" w:lineRule="auto"/>
        <w:rPr>
          <w:sz w:val="20"/>
          <w:szCs w:val="20"/>
          <w:color w:val="auto"/>
        </w:rPr>
      </w:pPr>
      <w:r>
        <w:rPr>
          <w:rFonts w:ascii="Times New Roman" w:cs="Times New Roman" w:eastAsia="Times New Roman" w:hAnsi="Times New Roman"/>
          <w:sz w:val="18"/>
          <w:szCs w:val="18"/>
          <w:b w:val="1"/>
          <w:bCs w:val="1"/>
          <w:i w:val="1"/>
          <w:iCs w:val="1"/>
          <w:color w:val="auto"/>
        </w:rPr>
        <w:t>Although the FDA has approved IGALMI</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for the acute treatment of agitation associated with schizophrenia or bipolar I or II disorder, we will still face extensive and ongoing regulatory requirements and obligations for IGALMI</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and for any product candidates for which we obtain approval.</w:t>
      </w:r>
    </w:p>
    <w:p>
      <w:pPr>
        <w:spacing w:after="0" w:line="39" w:lineRule="exact"/>
        <w:rPr>
          <w:sz w:val="20"/>
          <w:szCs w:val="20"/>
          <w:color w:val="auto"/>
        </w:rPr>
      </w:pPr>
    </w:p>
    <w:p>
      <w:pPr>
        <w:ind w:left="60" w:right="139" w:firstLine="324"/>
        <w:spacing w:after="0" w:line="231" w:lineRule="auto"/>
        <w:rPr>
          <w:sz w:val="20"/>
          <w:szCs w:val="20"/>
          <w:color w:val="auto"/>
        </w:rPr>
      </w:pPr>
      <w:r>
        <w:rPr>
          <w:rFonts w:ascii="Times New Roman" w:cs="Times New Roman" w:eastAsia="Times New Roman" w:hAnsi="Times New Roman"/>
          <w:sz w:val="18"/>
          <w:szCs w:val="18"/>
          <w:color w:val="auto"/>
        </w:rPr>
        <w:t>Any regulatory approvals that we may receive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any of our product candidates will require the submission of reports to regulatory authorities and surveillance to monitor the safety and efficacy of the product, may contain significant limitations related to use restrictions for specified age groups, warnings, precautions or contraindications, and may include burdensome post-approval study or risk management requirements. For example, the FDA-approved label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includes certain warnings and precautions regarding hypotension, orthostatic hypotension, bradycardia, somnolence, and QT interval prolongation. The FDA may also require a REMS to approve a product candidate, which could entail requirements for a medication guide, physician training and communication plans or additional elements to ensure safe use, such as restricted distribution methods, patient registries and other risk minimization tools.</w:t>
      </w:r>
    </w:p>
    <w:p>
      <w:pPr>
        <w:spacing w:after="0" w:line="157" w:lineRule="exact"/>
        <w:rPr>
          <w:sz w:val="20"/>
          <w:szCs w:val="20"/>
          <w:color w:val="auto"/>
        </w:rPr>
      </w:pPr>
    </w:p>
    <w:p>
      <w:pPr>
        <w:ind w:left="60" w:right="519" w:firstLine="324"/>
        <w:spacing w:after="0" w:line="254" w:lineRule="auto"/>
        <w:rPr>
          <w:sz w:val="20"/>
          <w:szCs w:val="20"/>
          <w:color w:val="auto"/>
        </w:rPr>
      </w:pPr>
      <w:r>
        <w:rPr>
          <w:rFonts w:ascii="Times New Roman" w:cs="Times New Roman" w:eastAsia="Times New Roman" w:hAnsi="Times New Roman"/>
          <w:sz w:val="17"/>
          <w:szCs w:val="17"/>
          <w:color w:val="auto"/>
        </w:rPr>
        <w:t>In addition, the manufacturing processes, labeling, packaging, distribution, AE reporting, storage, advertising, promotion, import, export and recordkeeping for IGALMI</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are and will remain subject to extensive and ongoing regulatory requirements. These requirements include submissions of safety and other post-marketing information and reports, registration, and on-going compliance with cGMPs, and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authority discover previously unknown problems with a product, such as AEs of unanticipated severity or frequency, or problems with the facilities where the product is manufactured, a regulatory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39"/>
        <w:spacing w:after="0" w:line="282" w:lineRule="auto"/>
        <w:rPr>
          <w:sz w:val="20"/>
          <w:szCs w:val="20"/>
          <w:color w:val="auto"/>
        </w:rPr>
      </w:pPr>
      <w:r>
        <w:rPr>
          <w:rFonts w:ascii="Times New Roman" w:cs="Times New Roman" w:eastAsia="Times New Roman" w:hAnsi="Times New Roman"/>
          <w:sz w:val="18"/>
          <w:szCs w:val="18"/>
          <w:color w:val="auto"/>
        </w:rPr>
        <w:t>authority may impose restrictions on that product, the manufacturing facility or us, including requiring recall or withdrawal of the product from the market or suspension of manufacturing.</w:t>
      </w:r>
    </w:p>
    <w:p>
      <w:pPr>
        <w:spacing w:after="0" w:line="135" w:lineRule="exact"/>
        <w:rPr>
          <w:sz w:val="20"/>
          <w:szCs w:val="20"/>
          <w:color w:val="auto"/>
        </w:rPr>
      </w:pPr>
    </w:p>
    <w:p>
      <w:pPr>
        <w:ind w:left="60" w:right="859" w:firstLine="324"/>
        <w:spacing w:after="0" w:line="312" w:lineRule="auto"/>
        <w:rPr>
          <w:sz w:val="20"/>
          <w:szCs w:val="20"/>
          <w:color w:val="auto"/>
        </w:rPr>
      </w:pPr>
      <w:r>
        <w:rPr>
          <w:rFonts w:ascii="Times New Roman" w:cs="Times New Roman" w:eastAsia="Times New Roman" w:hAnsi="Times New Roman"/>
          <w:sz w:val="17"/>
          <w:szCs w:val="17"/>
          <w:color w:val="auto"/>
        </w:rPr>
        <w:t>In addition, discovery of previously unknown AEs or other problems with our products, manufacturers or manufacturing processes or failure to comply with regulatory requirements, may yield various results, including:</w:t>
      </w:r>
    </w:p>
    <w:p>
      <w:pPr>
        <w:spacing w:after="0" w:line="99" w:lineRule="exact"/>
        <w:rPr>
          <w:sz w:val="20"/>
          <w:szCs w:val="20"/>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manufacturing such products;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products;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manufacturing, distribution or use;</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85" w:lineRule="exact"/>
        <w:rPr>
          <w:sz w:val="20"/>
          <w:szCs w:val="20"/>
          <w:color w:val="auto"/>
        </w:rPr>
      </w:pPr>
    </w:p>
    <w:p>
      <w:pPr>
        <w:ind w:left="60" w:right="259" w:firstLine="324"/>
        <w:spacing w:after="0" w:line="281" w:lineRule="auto"/>
        <w:rPr>
          <w:sz w:val="20"/>
          <w:szCs w:val="20"/>
          <w:color w:val="auto"/>
        </w:rPr>
      </w:pPr>
      <w:r>
        <w:rPr>
          <w:rFonts w:ascii="Times New Roman" w:cs="Times New Roman" w:eastAsia="Times New Roman" w:hAnsi="Times New Roman"/>
          <w:sz w:val="17"/>
          <w:szCs w:val="17"/>
          <w:color w:val="auto"/>
        </w:rPr>
        <w:t>Further, the policies of the FDA and other regulatory authorities may change, and additional government regulations may be enacted that could impose extensive and ongoing regulatory requirements and obligations on any product candidate for which we obtain marketing approval. We also cannot predict the likelihood, nature or extent of government regulation that may arise from future legislation or administrative or executive action, either in the U.S. or abroad.</w:t>
      </w:r>
    </w:p>
    <w:p>
      <w:pPr>
        <w:spacing w:after="0" w:line="133"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18" w:lineRule="exact"/>
        <w:rPr>
          <w:sz w:val="20"/>
          <w:szCs w:val="20"/>
          <w:color w:val="auto"/>
        </w:rPr>
      </w:pPr>
    </w:p>
    <w:p>
      <w:pPr>
        <w:ind w:left="60" w:right="239" w:firstLine="324"/>
        <w:spacing w:after="0" w:line="238" w:lineRule="auto"/>
        <w:rPr>
          <w:sz w:val="20"/>
          <w:szCs w:val="20"/>
          <w:color w:val="auto"/>
        </w:rPr>
      </w:pPr>
      <w:r>
        <w:rPr>
          <w:rFonts w:ascii="Times New Roman" w:cs="Times New Roman" w:eastAsia="Times New Roman" w:hAnsi="Times New Roman"/>
          <w:sz w:val="18"/>
          <w:szCs w:val="18"/>
          <w:color w:val="auto"/>
        </w:rPr>
        <w:t>The FDA and other regulatory authorities strictly regulate marketing, labeling, advertising and promotion of prescription drugs. These regulations include standards and restrictions for direct-to-consumer advertising, industry-sponsored scientific and educational activities, promotional activities involving the internet and off-label promotion. Any regulatory approval that the FDA or any other regulatory authority may grant is limited to those specific diseases and indications for which a product is deemed to be safe and effective. For example, the FDA-approved label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is currently limited to the acute treatment of agitation associated with schizophrenia or bipolar I or II disorder in adults to be self-administrated by patients under the supervision of a health care provider.</w:t>
      </w:r>
    </w:p>
    <w:p>
      <w:pPr>
        <w:spacing w:after="0" w:line="159" w:lineRule="exact"/>
        <w:rPr>
          <w:sz w:val="20"/>
          <w:szCs w:val="20"/>
          <w:color w:val="auto"/>
        </w:rPr>
      </w:pPr>
    </w:p>
    <w:p>
      <w:pPr>
        <w:ind w:left="60" w:right="379" w:firstLine="324"/>
        <w:spacing w:after="0" w:line="255" w:lineRule="auto"/>
        <w:rPr>
          <w:sz w:val="20"/>
          <w:szCs w:val="20"/>
          <w:color w:val="auto"/>
        </w:rPr>
      </w:pPr>
      <w:r>
        <w:rPr>
          <w:rFonts w:ascii="Times New Roman" w:cs="Times New Roman" w:eastAsia="Times New Roman" w:hAnsi="Times New Roman"/>
          <w:sz w:val="17"/>
          <w:szCs w:val="17"/>
          <w:color w:val="auto"/>
        </w:rPr>
        <w:t>While physicians in the U.S. may choose, and are generally permitted, to prescribe drugs for uses that are not described in the product’s labeling and for uses that differ from those tested in clinical trials and approved by the regulatory authorities, our ability to promote the products is narrowly limited to those indications that are specifically approved by the FDA. These “off-label” uses are common across medical specialties and may constitute an appropriate treatment for some patients in varied circumstances. For example, other formulations of Dex, the active ingredient in IGALMI</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have been approved for uses beyond those authorized in IGALMI</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approved labeling, such as for use in</w:t>
      </w:r>
    </w:p>
    <w:p>
      <w:pPr>
        <w:spacing w:after="0" w:line="2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59"/>
        <w:spacing w:after="0" w:line="306" w:lineRule="auto"/>
        <w:rPr>
          <w:sz w:val="20"/>
          <w:szCs w:val="20"/>
          <w:color w:val="auto"/>
        </w:rPr>
      </w:pPr>
      <w:r>
        <w:rPr>
          <w:rFonts w:ascii="Times New Roman" w:cs="Times New Roman" w:eastAsia="Times New Roman" w:hAnsi="Times New Roman"/>
          <w:sz w:val="17"/>
          <w:szCs w:val="17"/>
          <w:color w:val="auto"/>
        </w:rPr>
        <w:t>sedation of surgical patients, and we are continuing to develop BXCL501 for potential use in patients with dementia, MDD, Alzheimer’s disease and other indications. We do not market or promote IGALMI</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for these uses.</w:t>
      </w:r>
    </w:p>
    <w:p>
      <w:pPr>
        <w:spacing w:after="0" w:line="5" w:lineRule="exact"/>
        <w:rPr>
          <w:sz w:val="20"/>
          <w:szCs w:val="20"/>
          <w:color w:val="auto"/>
        </w:rPr>
      </w:pPr>
    </w:p>
    <w:p>
      <w:pPr>
        <w:ind w:left="60" w:right="219" w:firstLine="324"/>
        <w:spacing w:after="0" w:line="239" w:lineRule="auto"/>
        <w:rPr>
          <w:sz w:val="20"/>
          <w:szCs w:val="20"/>
          <w:color w:val="auto"/>
        </w:rPr>
      </w:pPr>
      <w:r>
        <w:rPr>
          <w:rFonts w:ascii="Times New Roman" w:cs="Times New Roman" w:eastAsia="Times New Roman" w:hAnsi="Times New Roman"/>
          <w:sz w:val="18"/>
          <w:szCs w:val="18"/>
          <w:color w:val="auto"/>
        </w:rPr>
        <w:t>Regulatory authorities in the U.S. generally do not regulate the behavior of physicians in their choice of treatments. Regulatory authorities do, however, restrict communications by pharmaceutical companies on off-label use. If we are found to have promoted our products for any off-label uses, the U.S. federal government (and other foreign governments) could levy civil, criminal and/or administrative penalties, and seek fines against us. The FDA, or other regulatory authorities, could also require that we enter into a consent decree or a corporate integrity agreement, or seek a permanent injunction against us under which specified promotional conduct is monitored, changed or curtailed. If we cannot successfully manage the promotion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our product candidates, if approved, we could become subject to significant liability, which would materially adversely affect our business and financial condition.</w:t>
      </w:r>
    </w:p>
    <w:p>
      <w:pPr>
        <w:spacing w:after="0" w:line="159" w:lineRule="exact"/>
        <w:rPr>
          <w:sz w:val="20"/>
          <w:szCs w:val="20"/>
          <w:color w:val="auto"/>
        </w:rPr>
      </w:pPr>
    </w:p>
    <w:p>
      <w:pPr>
        <w:ind w:left="6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40"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The ability of the FDA and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of some of these aforementioned issues. In addition, government funding of other government agencies that fund research and development activities is subject to the political process, which is inherently fluid and unpredictable. Disruptions at the FDA and other agencies, such as the EMA, following its relocation to Amsterdam and corresponding staff changes, may also slow the time necessary for new drug or modifications to approved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163"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Separately, in response to the COVID-19 pandemic, the FDA postponed most inspections of domestic and foreign manufacturing facilities at various points. Even though the FDA has since resumed standard inspection operations, any resurgence of the virus or emergence of new variants may lead to inspectional or administrative delays. 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44" w:lineRule="exact"/>
        <w:rPr>
          <w:sz w:val="20"/>
          <w:szCs w:val="20"/>
          <w:color w:val="auto"/>
        </w:rPr>
      </w:pPr>
    </w:p>
    <w:p>
      <w:pPr>
        <w:ind w:left="6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conduct certain of or portions of our clinical trials for our product candidates outside of the U.S. and the FDA may not accept data from such trials, in which case our development plans will be delayed, which could materially harm our business.</w:t>
      </w:r>
    </w:p>
    <w:p>
      <w:pPr>
        <w:spacing w:after="0" w:line="134"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We may choose to conduct one or more of our clinical trials or a portion of our clinical trials for our product candidates outside the U.S.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clinical trial was not otherwise subject to an IND, the FDA will not accept the data as support for an application for marketing approval unless the study was conducted in accordance with GCP requirements and the FDA is able to validate the data from the study through an on-site inspection if deemed necessary. Many foreign regulatory authorities have similar approval requirements.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56" w:lineRule="auto"/>
        <w:rPr>
          <w:sz w:val="20"/>
          <w:szCs w:val="20"/>
          <w:color w:val="auto"/>
        </w:rPr>
      </w:pPr>
      <w:r>
        <w:rPr>
          <w:rFonts w:ascii="Times New Roman" w:cs="Times New Roman" w:eastAsia="Times New Roman" w:hAnsi="Times New Roman"/>
          <w:sz w:val="18"/>
          <w:szCs w:val="18"/>
          <w:color w:val="auto"/>
        </w:rPr>
        <w:t>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could result in current or future product candidates that we may develop not receiving approval for commercialization in the applicable jurisdiction.</w:t>
      </w:r>
    </w:p>
    <w:p>
      <w:pPr>
        <w:spacing w:after="0" w:line="156"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extensive regulations outside the U.S. and may not obtain marketing approvals for products in Europe and other jurisdictions.</w:t>
      </w:r>
    </w:p>
    <w:p>
      <w:pPr>
        <w:spacing w:after="0" w:line="110" w:lineRule="exact"/>
        <w:rPr>
          <w:sz w:val="20"/>
          <w:szCs w:val="20"/>
          <w:color w:val="auto"/>
        </w:rPr>
      </w:pPr>
    </w:p>
    <w:p>
      <w:pPr>
        <w:ind w:left="60" w:right="179" w:firstLine="324"/>
        <w:spacing w:after="0" w:line="239" w:lineRule="auto"/>
        <w:rPr>
          <w:sz w:val="20"/>
          <w:szCs w:val="20"/>
          <w:color w:val="auto"/>
        </w:rPr>
      </w:pPr>
      <w:r>
        <w:rPr>
          <w:rFonts w:ascii="Times New Roman" w:cs="Times New Roman" w:eastAsia="Times New Roman" w:hAnsi="Times New Roman"/>
          <w:sz w:val="18"/>
          <w:szCs w:val="18"/>
          <w:color w:val="auto"/>
        </w:rPr>
        <w:t>In addition to regulations in the U.S., should we or our collaborators pursue marketing approvals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and for BXCL501, BXCL502, BXCL701, BXCL702 and our other product candidates internationally, we and our collaborators will be subject to a variety of regulations in other jurisdictions governing, among other things, clinical trials and any commercial sales and distribution of our products. Whether or not we, or our collaborators, obtain FDA approval for a product, we must obtain the requisite approvals from regulatory authorities in foreign countries prior to the commencement of clinical trials or marketing of the product in those countries. The requirements and process governing the conduct of clinical trials, product licensing, pricing and reimbursement vary from country to country.</w:t>
      </w:r>
    </w:p>
    <w:p>
      <w:pPr>
        <w:spacing w:after="0" w:line="153" w:lineRule="exact"/>
        <w:rPr>
          <w:sz w:val="20"/>
          <w:szCs w:val="20"/>
          <w:color w:val="auto"/>
        </w:rPr>
      </w:pPr>
    </w:p>
    <w:p>
      <w:pPr>
        <w:ind w:left="60" w:right="179" w:firstLine="324"/>
        <w:spacing w:after="0" w:line="237" w:lineRule="auto"/>
        <w:rPr>
          <w:sz w:val="20"/>
          <w:szCs w:val="20"/>
          <w:color w:val="auto"/>
        </w:rPr>
      </w:pPr>
      <w:r>
        <w:rPr>
          <w:rFonts w:ascii="Times New Roman" w:cs="Times New Roman" w:eastAsia="Times New Roman" w:hAnsi="Times New Roman"/>
          <w:sz w:val="18"/>
          <w:szCs w:val="18"/>
          <w:color w:val="auto"/>
        </w:rPr>
        <w:t>We expect to pursue marketing approvals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and may pursue marketing approvals for BXCL501, BXCL502, BXCL701, BXCL702 and our other product candidates in Europe and other jurisdictions outside the U.S. with collaborative partners. The time and process required to obtain regulatory approvals and reimbursement in Europe and other jurisdictions may be different from those in the U.S. Also, regulatory approval in one jurisdiction does not ensure approvals in any other jurisdiction; however, negative regulatory decisions in any jurisdiction may have a negative impact on the regulatory process in other jurisdictions.</w:t>
      </w:r>
    </w:p>
    <w:p>
      <w:pPr>
        <w:spacing w:after="0" w:line="176"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Following a national referendum and enactment of legislation by the government of the United Kingdom (“UK”), the UK formally withdrew from the EU on January 31, 2020 and ratified a trade and cooperation agreement governing its future relationship (commonly referred to as “Brexit”). The agreement, which was applied provisionally from January 1, 2021 and entered into force on May 1, 2021, addresses trade, economic arrangements, law enforcement, judicial cooperation and a governance framework including procedures for dispute resolution, among other things. Because the agreement merely sets forth a framework in many respects and requires complex additional bilateral negotiations between the UK and the EU as both parties continue to work on the rules for implementation, significant political and economic uncertainty remains about how the precise terms of the relationship between the parties will differ from the terms before withdrawal.</w:t>
      </w:r>
    </w:p>
    <w:p>
      <w:pPr>
        <w:spacing w:after="0" w:line="148"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Since January 1, 2021, the UK operates under a distinct regulatory regime to the EU. EU pharmaceutical laws only apply in respect of the UK to Northern Ireland (as set out in the Protocol on Ireland/Northern Ireland). EU laws which have been transposed into UK law through secondary legislation continue to be applicable as “retained EU law”. While the UK has indicated a general intention that new laws regarding the development, manufacture and commercialization of medicinal products in the UK will align closely with EU law, there are limited detailed proposals for future regulation of medicinal products. The trade and cooperation agreement includes specific provisions concerning medicinal products, which include the mutual recognition of cGMP, inspections of manufacturing facilities for medicinal products and cGMP documents issued (such mutual recognition can be rejected by either party in certain circumstances) but does not foresee wholesale mutual recognition of UK and EU pharmaceutical regulations. For example, it is not clear to what extent the UK will adopt legislation aligned with, or similar to, the EU CTR which became applicable on January 31, 2022 and which significantly reforms the assessment and supervision processes for clinical trials throughout the EU. On January 17, 2022, the UK Medicines and Healthcare products Regulatory Agency (“MHRA”) launched an eight-week consultation on reframing the UK legislation for clinical trials which aimed to streamline clinical trials approvals, enable innovation, enhance clinical trials transparency, enable greater risk proportionality, and promote patient and public involvement in clinical trials. The MHRA responded to the consultation on March 21, 2023 and confirmed that it would bring forward changes to the legislation. The final legal texts introduced by the UK Government will ultimately determine the extent to which the UK clinical trials framework aligns with or diverges from the EU CTR. A decision by the UK not to closely align its regulations with the new approach that will be adopted in the EU may have an effect on the cost of conducting clinical trials in the UK as opposed to other countries.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Therefore, there remains political and economic uncertainty regarding to what extent the regulation of medicinal products will differ between the UK and the EU in the future. Any divergences will increase the cost and complexity of running our business, including with respect to the conduct of clinical trials. Brexit also materially impacted the regulatory regime with respect to the approval of our product candidates. Great Britain is no longer covered by the EU’s procedures for the grant of MAs (Northern Ireland is covered by the centralized authorization procedure and can be covered under the decentralized or mutual recognition procedures). As of January 1, 2021, all existing centralized MAs were automatically converted into UK MAs effective in Great Britain and issued with a UK MA number on January 1, 2021 (unless MA holders opted out of this scheme). A separate MA is now required to market drugs in Great Britain. It is currently unclear whether the regulator in the UK, the MHRA, is sufficiently prepared to handle the increased volume of MA applications that it is likely to receive. Any delay in obtaining, or an inability to obtain, any regulatory approvals, as a result of Brexit or otherwise, would prevent us from commercializing our product candidates in Great Britain and restrict our ability to generate revenue and achieve and sustain profitability. If any of these outcomes occur, we may be forced to restrict or delay efforts to seek regulatory approval in Great Britain for our product candidates, which could significantly and materially harm our business. Any of these factors could have a significant adverse effect on our business, financial condition, results of operations and prospects.</w:t>
      </w:r>
    </w:p>
    <w:p>
      <w:pPr>
        <w:spacing w:after="0" w:line="165" w:lineRule="exact"/>
        <w:rPr>
          <w:sz w:val="20"/>
          <w:szCs w:val="20"/>
          <w:color w:val="auto"/>
        </w:rPr>
      </w:pPr>
    </w:p>
    <w:p>
      <w:pPr>
        <w:jc w:val="both"/>
        <w:ind w:left="60" w:right="1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found in violation of federal, state or foreign health care “fraud and abuse” laws, we may be required to pay significant fines and penalties, including, without limitation, debarment, suspension or exclusion from participation in federal, state or similar health care programs, which may adversely affect our business, financial condition and results of operations.</w:t>
      </w:r>
    </w:p>
    <w:p>
      <w:pPr>
        <w:spacing w:after="0" w:line="140"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In the U.S., we are subject to various federal and state health care “fraud and abuse” laws, including anti- kickback laws, false claims laws and other laws intended to reduce fraud and abuse in federal and state health care programs, which could affect us, and our ability to successfully commercialize our products in the U.S. We may have to comply with similar laws and regulations outside the U.S. These laws include:</w:t>
      </w:r>
    </w:p>
    <w:p>
      <w:pPr>
        <w:spacing w:after="0" w:line="139" w:lineRule="exact"/>
        <w:rPr>
          <w:sz w:val="20"/>
          <w:szCs w:val="20"/>
          <w:color w:val="auto"/>
        </w:rPr>
      </w:pPr>
    </w:p>
    <w:p>
      <w:pPr>
        <w:ind w:left="720" w:right="219" w:hanging="319"/>
        <w:spacing w:after="0" w:line="256"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 care program, such as Medicare or Medicaid. A person or entity does not need to have actual knowledge of this statute or specific intent to violate it to have committed a violation;</w:t>
      </w:r>
    </w:p>
    <w:p>
      <w:pPr>
        <w:spacing w:after="0" w:line="160" w:lineRule="exact"/>
        <w:rPr>
          <w:rFonts w:ascii="Times New Roman" w:cs="Times New Roman" w:eastAsia="Times New Roman" w:hAnsi="Times New Roman"/>
          <w:sz w:val="18"/>
          <w:szCs w:val="18"/>
          <w:color w:val="auto"/>
        </w:rPr>
      </w:pPr>
    </w:p>
    <w:p>
      <w:pPr>
        <w:ind w:left="720" w:right="159" w:hanging="319"/>
        <w:spacing w:after="0" w:line="254"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false claims laws prohibit anyone from knowingly and willfully presenting or causing to be presented for payment to third-party payers, including government payers, claims for reimbursed drugs or services that are false or fraudulent, claims for items or services that were not provided as claimed, or claims for medically unnecessary items or services. Cases have been brought under false claims laws alleging that off-label promotion of pharmaceutical products or the provision of kickbacks has resulted in the submission of false claims to governmental health care programs. In addition, the government may assert that a claim, including items or services resulting from a violation of the federal Anti-Kickback Statute, constitutes a false or fraudulent claim for purposes of the false claims laws. Further, private individuals have the ability to bring actions on behalf of the government under the federal False Claims Act;</w:t>
      </w:r>
    </w:p>
    <w:p>
      <w:pPr>
        <w:spacing w:after="0" w:line="147" w:lineRule="exact"/>
        <w:rPr>
          <w:rFonts w:ascii="Times New Roman" w:cs="Times New Roman" w:eastAsia="Times New Roman" w:hAnsi="Times New Roman"/>
          <w:sz w:val="18"/>
          <w:szCs w:val="18"/>
          <w:color w:val="auto"/>
        </w:rPr>
      </w:pPr>
    </w:p>
    <w:p>
      <w:pPr>
        <w:ind w:left="720" w:right="179" w:hanging="319"/>
        <w:spacing w:after="0" w:line="256"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(“HIPAA”) prohibits persons or entities from knowingly and willfully executing a scheme to defraud any health care benefit program, including private payers, or knowingly and willfully falsifying, concealing or covering up a material fact or making any materially false, fictitious or fraudulent statement in connection with the delivery of or payment for health care benefits, items or services. Similar to the federal Anti- Kickback Statute, a person or entity does not need to have actual knowledge of these statutes or specific intent to violate them to have committed a violation;</w:t>
      </w:r>
    </w:p>
    <w:p>
      <w:pPr>
        <w:spacing w:after="0" w:line="146" w:lineRule="exact"/>
        <w:rPr>
          <w:rFonts w:ascii="Times New Roman" w:cs="Times New Roman" w:eastAsia="Times New Roman" w:hAnsi="Times New Roman"/>
          <w:sz w:val="18"/>
          <w:szCs w:val="18"/>
          <w:color w:val="auto"/>
        </w:rPr>
      </w:pPr>
    </w:p>
    <w:p>
      <w:pPr>
        <w:ind w:left="720" w:right="159" w:hanging="319"/>
        <w:spacing w:after="0" w:line="261"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monetary penalties laws, which impose civil fines for, among other things,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53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w:t>
      </w:r>
    </w:p>
    <w:p>
      <w:pPr>
        <w:spacing w:after="0" w:line="134" w:lineRule="exact"/>
        <w:rPr>
          <w:rFonts w:ascii="Times New Roman" w:cs="Times New Roman" w:eastAsia="Times New Roman" w:hAnsi="Times New Roman"/>
          <w:sz w:val="18"/>
          <w:szCs w:val="18"/>
          <w:color w:val="auto"/>
        </w:rPr>
      </w:pPr>
    </w:p>
    <w:p>
      <w:pPr>
        <w:ind w:left="720" w:right="159" w:hanging="319"/>
        <w:spacing w:after="0" w:line="255"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sunshine requirements under the Patient Protection and Affordable Care Act, (“ACA”), which requires certain manufacturers of drugs, devices, biologics, and medical supplies to report annually to the Centers for Medicare &amp; Medicaid Services (“CMS”) information related to payments and other transfers of value to physicians (defined to include doctors, dentists, optometrists, podiatrists and chiropractors), certain non-physician practitioners (physician assistants, nurse practitioners, clinical nurse specialists, certified registered nurse anesthetists, anesthesiologist assistants, and certified nurse midwives), and teaching hospitals, and ownership and investment interests held by physicians and their immediate family members;</w:t>
      </w:r>
    </w:p>
    <w:p>
      <w:pPr>
        <w:spacing w:after="0" w:line="148" w:lineRule="exact"/>
        <w:rPr>
          <w:rFonts w:ascii="Times New Roman" w:cs="Times New Roman" w:eastAsia="Times New Roman" w:hAnsi="Times New Roman"/>
          <w:sz w:val="18"/>
          <w:szCs w:val="18"/>
          <w:color w:val="auto"/>
        </w:rPr>
      </w:pPr>
    </w:p>
    <w:p>
      <w:pPr>
        <w:ind w:left="720" w:right="219" w:hanging="319"/>
        <w:spacing w:after="0" w:line="255"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which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 care providers and other potential referral sources; and state laws that require drug manufacturers to report information related to payments and other transfers of value to physicians and other health care providers or marketing expenditures and pricing information; and</w:t>
      </w:r>
    </w:p>
    <w:p>
      <w:pPr>
        <w:spacing w:after="0" w:line="148" w:lineRule="exact"/>
        <w:rPr>
          <w:rFonts w:ascii="Times New Roman" w:cs="Times New Roman" w:eastAsia="Times New Roman" w:hAnsi="Times New Roman"/>
          <w:sz w:val="18"/>
          <w:szCs w:val="18"/>
          <w:color w:val="auto"/>
        </w:rPr>
      </w:pPr>
    </w:p>
    <w:p>
      <w:pPr>
        <w:ind w:left="720" w:right="61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European and other foreign law equivalents of each of the laws, including reporting requirements detailing interactions with and payments to health care providers.</w:t>
      </w:r>
    </w:p>
    <w:p>
      <w:pPr>
        <w:spacing w:after="0" w:line="135"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or foreign health care programs, additional reporting obligations and oversight if we become subject to a corporate integrity agreement or other agreement to resolve allegations of non-compliance with these laws, any of which could adversely affect our ability to market our products and adversely impact our financial results.</w:t>
      </w:r>
    </w:p>
    <w:p>
      <w:pPr>
        <w:spacing w:after="0" w:line="1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maintain sufficient clinical trial liability insurance.</w:t>
      </w:r>
    </w:p>
    <w:p>
      <w:pPr>
        <w:spacing w:after="0" w:line="189" w:lineRule="exact"/>
        <w:rPr>
          <w:sz w:val="20"/>
          <w:szCs w:val="20"/>
          <w:color w:val="auto"/>
        </w:rPr>
      </w:pPr>
    </w:p>
    <w:p>
      <w:pPr>
        <w:ind w:left="60" w:right="159" w:firstLine="324"/>
        <w:spacing w:after="0" w:line="243" w:lineRule="auto"/>
        <w:rPr>
          <w:sz w:val="20"/>
          <w:szCs w:val="20"/>
          <w:color w:val="auto"/>
        </w:rPr>
      </w:pPr>
      <w:r>
        <w:rPr>
          <w:rFonts w:ascii="Times New Roman" w:cs="Times New Roman" w:eastAsia="Times New Roman" w:hAnsi="Times New Roman"/>
          <w:sz w:val="18"/>
          <w:szCs w:val="18"/>
          <w:color w:val="auto"/>
        </w:rPr>
        <w:t>Our inability to retain sufficient clinical trial liability insurance at an acceptable cost to protect against potential liability claims could prevent or inhibit our ability to conduct clinical trials for product candidates we develop. We may be unable to obtain appropriate levels of such insurance. Even if we do secure clinical trial liability insurance for our programs, we may not be able to achieve sufficient levels of such insurance. Any claim that may be brought against us could result in a court judgment or settlement in an amount that is not covered, in whole or in part, by our insurance or that exceeds the limits of our insurance coverage. We have supplemented our clinical trial coverage with product liability coverage in connection with the commercial launch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expect that we would similarly supplement our coverage for any of our other product candidates that may receive regulatory approval, but we may be unable to obtain such increased coverage on acceptable terms or at all. If we are found liable in a clinical trial lawsuit or a product liability lawsuit in the future, we will have to pay any amounts awarded by a court or negotiated in a settlement that exceed our coverage limitations or that are not covered by our insurance, and we may not have, or be able to obtain, sufficient capital to pay such amounts.</w:t>
      </w: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198"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products do not gain market acceptance or if we fail to accurately forecast demand or manage our inventories, our business will suffer because we might not be able to fund future operations.</w:t>
      </w:r>
    </w:p>
    <w:p>
      <w:pPr>
        <w:spacing w:after="0" w:line="118"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A number of factors may affect the market acceptance of our products or any other products or product candidates we develop or acquire, including, among others:</w:t>
      </w:r>
    </w:p>
    <w:p>
      <w:pPr>
        <w:spacing w:after="0" w:line="121" w:lineRule="exact"/>
        <w:rPr>
          <w:sz w:val="20"/>
          <w:szCs w:val="20"/>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products relative to other products for the same or similar treatments;</w:t>
      </w:r>
    </w:p>
    <w:p>
      <w:pPr>
        <w:spacing w:after="0" w:line="198"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by patients, physicians and other members of the health care community of the effectiveness, utility and safety of our products for their indicated applications and treatments;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our sales and marketing efforts; and</w:t>
      </w:r>
    </w:p>
    <w:p>
      <w:pPr>
        <w:spacing w:after="0" w:line="184" w:lineRule="exact"/>
        <w:rPr>
          <w:rFonts w:ascii="Times New Roman" w:cs="Times New Roman" w:eastAsia="Times New Roman" w:hAnsi="Times New Roman"/>
          <w:sz w:val="18"/>
          <w:szCs w:val="18"/>
          <w:color w:val="auto"/>
        </w:rPr>
      </w:pPr>
    </w:p>
    <w:p>
      <w:pPr>
        <w:ind w:left="720" w:right="39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including our strategic refocus to hospital/IDNs as part of the Reprioritization.</w:t>
      </w:r>
    </w:p>
    <w:p>
      <w:pPr>
        <w:spacing w:after="0" w:line="135" w:lineRule="exact"/>
        <w:rPr>
          <w:sz w:val="20"/>
          <w:szCs w:val="20"/>
          <w:color w:val="auto"/>
        </w:rPr>
      </w:pPr>
    </w:p>
    <w:p>
      <w:pPr>
        <w:jc w:val="both"/>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If our products do not gain market acceptance, we may not be able to fund future operations, including developing, testing and obtaining regulatory approval for new product candidates and expanding our sales and marketing efforts for our approved products, which would cause our business to suffer.</w:t>
      </w:r>
    </w:p>
    <w:p>
      <w:pPr>
        <w:spacing w:after="0" w:line="127" w:lineRule="exact"/>
        <w:rPr>
          <w:sz w:val="20"/>
          <w:szCs w:val="20"/>
          <w:color w:val="auto"/>
        </w:rPr>
      </w:pPr>
    </w:p>
    <w:p>
      <w:pPr>
        <w:ind w:left="60" w:right="159" w:firstLine="324"/>
        <w:spacing w:after="0" w:line="221" w:lineRule="auto"/>
        <w:rPr>
          <w:sz w:val="20"/>
          <w:szCs w:val="20"/>
          <w:color w:val="auto"/>
        </w:rPr>
      </w:pPr>
      <w:r>
        <w:rPr>
          <w:rFonts w:ascii="Times New Roman" w:cs="Times New Roman" w:eastAsia="Times New Roman" w:hAnsi="Times New Roman"/>
          <w:sz w:val="18"/>
          <w:szCs w:val="18"/>
          <w:color w:val="auto"/>
        </w:rPr>
        <w:t xml:space="preserve">We plan to continue to commercialize IGALMI </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sublingual film for the acute treatment of agitation associated with schizophrenia or bipolar I or II disorder, to be self-administered by patients under the supervision of a healthcare provider, which is our only approved product to date. However, in connection with the Reprioritization, we significantly reduced the resources devoted to commercialization of IGALMI </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it is possible that will have adverse consequences on the revenue that we are able to generate from IGALMI </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Revenues for IGALMI </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for the year ended December 31, 2023 and nine months ended September 30, 3024 were $1.4 million and $1.9 million, respectively. If our commercial products do not gain market acceptance, we may not be able to fund future operations, including developing, testing and obtaining regulatory approval for an sNDA for other BXCL501 indications, including in the at-home setting for the acute treatment of agitation (non-daily) associated with dementia due to probable Alzheimer’s disease, or for other product candidates that it may develop. Our results of operations could be materially harmed if we are unable to successfully commercialize IGALMI </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for any currently or additionally approved indications or any future product candidates that we may have approved. We may experience concentration of a limited number of customers for sales of IGALMI </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For example, we sold $735,000 to a single customer during the second quarter of 2024. If any such customers change their business requirements or purchasing behavior our business, financial condition, and results of operations may be adversely affected. Furthermore, sales to customers may fluctuate significantly, and sales from one period may not be indicative of future results.</w:t>
      </w:r>
    </w:p>
    <w:p>
      <w:pPr>
        <w:spacing w:after="0" w:line="166" w:lineRule="exact"/>
        <w:rPr>
          <w:sz w:val="20"/>
          <w:szCs w:val="20"/>
          <w:color w:val="auto"/>
        </w:rPr>
      </w:pPr>
    </w:p>
    <w:p>
      <w:pPr>
        <w:ind w:left="60" w:right="239" w:firstLine="324"/>
        <w:spacing w:after="0" w:line="215" w:lineRule="auto"/>
        <w:rPr>
          <w:sz w:val="20"/>
          <w:szCs w:val="20"/>
          <w:color w:val="auto"/>
        </w:rPr>
      </w:pPr>
      <w:r>
        <w:rPr>
          <w:rFonts w:ascii="Times New Roman" w:cs="Times New Roman" w:eastAsia="Times New Roman" w:hAnsi="Times New Roman"/>
          <w:sz w:val="18"/>
          <w:szCs w:val="18"/>
          <w:color w:val="auto"/>
        </w:rPr>
        <w:t>Our results of operations could be materially harmed if we are unable to accurately forecast customer demand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manage our inventory. To ensure adequate inventory supply, we must forecast inventory needs and place orders with our suppliers based on our estimates of future demand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Our ability to accurately forecast demand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could be negatively affected by many factors, including our failure to accurately manage the effects of product introductions by competitors, an increase or decrease in customer demand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for products of our competitors, our failure to accurately forecast customer acceptance of new products, unanticipated changes in general market conditions or regulatory matters, and weakening of economic conditions or consumer confidence in future economic conditions. Inventory levels in excess of customer demand may result in inventory write-downs or write-offs, which would cause our gross margin to be adversely affected and could impair the strength of our brand. Conversely, if we underestimate customer demand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our third-party contract manufacturer may not be able to deliver products to meet our requirements, and this could result in damage to our reputation and customer relationships. In addition, if we experience a significant increase in demand, additional supplies of raw materials or additional manufacturing capacity may not be available when required on terms that are acceptable to us, or at all, or suppliers or our third-party manufacturers may not be able to allocate sufficient capacity in order to meet our increased requirements, which could have an adverse effect on our ability to meet customer demand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our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We seek to maintain sufficient levels of inventory to protect ourselves from supply interruptions. As a result, we are subject to the risk that a portion of our inventory will become obsolete or expire, which could have a material adverse effect on our earnings and cash flows due to the resulting costs associated with the inventory impairment charges and costs required to replace such inventory.</w:t>
      </w:r>
    </w:p>
    <w:p>
      <w:pPr>
        <w:spacing w:after="0" w:line="216" w:lineRule="exact"/>
        <w:rPr>
          <w:sz w:val="20"/>
          <w:szCs w:val="20"/>
          <w:color w:val="auto"/>
        </w:rPr>
      </w:pPr>
    </w:p>
    <w:p>
      <w:pPr>
        <w:jc w:val="both"/>
        <w:ind w:left="60" w:right="13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estimated number of episodes of agitation and our corresponding estimated total addressable market are subject to inherent challenges and uncertainties. If we have overestimated the number of episodes or the size of our total addressable market for our current and potential future products or product candidates, or if any approval that we obtain is based on a narrower definition of the patient population, our revenue and ability to achieve profitability may be harmed.</w:t>
      </w:r>
    </w:p>
    <w:p>
      <w:pPr>
        <w:spacing w:after="0" w:line="224" w:lineRule="exact"/>
        <w:rPr>
          <w:sz w:val="20"/>
          <w:szCs w:val="20"/>
          <w:color w:val="auto"/>
        </w:rPr>
      </w:pPr>
    </w:p>
    <w:p>
      <w:pPr>
        <w:ind w:left="60" w:right="139" w:firstLine="324"/>
        <w:spacing w:after="0" w:line="251" w:lineRule="auto"/>
        <w:rPr>
          <w:sz w:val="20"/>
          <w:szCs w:val="20"/>
          <w:color w:val="auto"/>
        </w:rPr>
      </w:pPr>
      <w:r>
        <w:rPr>
          <w:rFonts w:ascii="Times New Roman" w:cs="Times New Roman" w:eastAsia="Times New Roman" w:hAnsi="Times New Roman"/>
          <w:sz w:val="18"/>
          <w:szCs w:val="18"/>
          <w:color w:val="auto"/>
        </w:rPr>
        <w:t>We have based our potential market opportunity on a number of internal and third-party estimates and resources, including, without limitation, management’s estimates and research, as well as industry and general publications and research, surveys and studies conducted by third parties, which may be incorrect. Our estimated potential market opportunity is based on estimates of episodes of agitation across our indications, and these estimated episodes of agitation are also based on internal and third-party estimates and market resources using data self-reported by patients. The conditions supporting our assumptions or estimates and the market data supporting these assumptions and estimates may change at any time or otherwise be inaccurate, thereby reducing the predictive accuracy of these underlying factors. Our total addressable market will ultimately depend upon, among other things, the number of actual treatable episodes, the diagnosis criteria included in the final label for each of our product candidates, if approved for sale for these indications, acceptance by the medical community and patient access, drug pricing and reimbursement. The number of patients and treatable episodes in the United States and other major markets and elsewhere may turn out to be materially lower than expected, the number of treatable episodes may be significantly fewer than total episodes experienced, patients may not be otherwise amenable to treatment with our product candidates or new patients may become increasingly difficult to identify or gain access to, all of which would harm our results of operations and our business. For example, our estimates of the monthly average episodes for patients diagnosed with bipolar disorder and patients diagnosed with schizophrenia and, therefore, our estimated total addressable market are based on third-party market surveys which differ from an observational study in the EU of inhaled loxapine for the treatment of agitation in patients with schizophrenia or bipolar disorder conducted which found that only 40% of enrolled patients reported agitation episodes in the six-month study period. If third-party or internally generated data prove to be inaccurate or we make errors in our assumptions based on that data, our total addressable market may be meaningfully smaller than we have estimated, our future growth opportunities and sales growth may be impaired, any of which could have a material adverse effect on our business, financial condition and results of operations.</w:t>
      </w:r>
    </w:p>
    <w:p>
      <w:pPr>
        <w:spacing w:after="0" w:line="161" w:lineRule="exact"/>
        <w:rPr>
          <w:sz w:val="20"/>
          <w:szCs w:val="20"/>
          <w:color w:val="auto"/>
        </w:rPr>
      </w:pPr>
    </w:p>
    <w:p>
      <w:pPr>
        <w:ind w:left="60" w:right="1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obtained Orphan Drug Designation for BXCL701 for the treatment of pancreatic cancer, melanoma, acute myeloid leukemia and soft tissue sarcoma and we may seek Orphan Drug Designation for other indications or product candidates, and we may be unable to maintain the benefits associated with Orphan Drug Designation, including the potential for market exclusivity, and may not receive Orphan Drug Designation for other indications or for our other product candidates.</w:t>
      </w:r>
    </w:p>
    <w:p>
      <w:pPr>
        <w:spacing w:after="0" w:line="143"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U.S. and EU, may designate drugs intended for relatively small patient populations as orphan drugs. Under the Orphan Drug Act, the FDA may designate a drug as an orphan drug if it is a drug intended to treat a rare disease or condition, which is generally defined as a patient population of fewer than 200,000 individuals in the U.S., or a patient population greater than 200,000 individuals in the U.S. where there is no reasonable expectation that the cost of developing the drug will be recovered from sales in the U.S. In the EU, orphan drug designation is granted by the European Commission based on a scientific opinion of the EMA’s Committee for Orphan Medicinal Products. A medicinal product may be designated as orphan if its sponsor can establish that (i) the product is intended for the diagnosis, prevention or treatment of a life-threatening or chronically debilitating condition; (ii) either (a) such condition affects no more than 5 in 10,000 persons in the EU when the application is made, or (b) the product, without the benefits derived from orphan status, would not generate sufficient return in the EU to justify investment; and (iii) there exists no satisfactory method of diagnosis, prevention or treatment of such condition authorized for marketing in the EU, or if such a method exists, the medicinal product will be of significant benefit to those affected by the condition. The application for orphan designation must be submitted before the application for MA.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In the U.S.,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or condition for which it has such designation, the product is entitled to orphan drug exclusivity. Orphan drug exclusivity in the U.S. provides that the FDA may not approve any other applications, including a full NDA, to market the same drug for the same disease or condition for seven years. In limited circumstances, the applicable exclusivity period is 10 years in the EU. The EU exclusivity period can be reduced to six years if, at the end of the fifth year, it is established that a drug no longer meets the criteria for orphan drug designation or if the drug is sufficiently profitable so that market exclusivity is no longer justified.</w:t>
      </w:r>
    </w:p>
    <w:p>
      <w:pPr>
        <w:spacing w:after="0" w:line="165"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In January 2021, the FDA granted Orphan Drug Designation to BXCL701 for the treatment of soft tissue sarcoma. In September 2019, the FDA granted Orphan Drug Designation to BXCL701 for the treatment of acute myeloid leukemia. Prior to 2019, the FDA granted Orphan Drug Designation to BXCL701 for the treatment of pancreatic cancer and melanoma. We may seek Orphan Drug Designations for BXCL701 in other diseases or conditions or for other product candidates. There can be no assurances that we will be able to obtain such designations.</w:t>
      </w:r>
    </w:p>
    <w:p>
      <w:pPr>
        <w:spacing w:after="0" w:line="143"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Even if we, or any future collaborators, obtain orphan drug designation for a product candidate, we, or they,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and it is possible that another company also holding orphan drug designation for the same product candidate will receive marketing approval for the same disease or condition before we do. If that were to happen, our applications for that disease or condition may not be approved until the competing company’s period of exclusivity expires. In addition, exclusive marketing rights in the U.S. and abroad may be limited if we seek approval for an indication broader than the orphan-designated disease or condition or may be lost if the FDA or foreign regulatory authorities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that exclusivity may not effectively protect the product from competition because different drugs with different active ingredients may be approved for the same disease or condition. Even after an orphan drug is approved, the FDA or foreign regulatory authorities can subsequently approve the same drug with the same active ingredient for the same condition if the FDA or foreign regulatory authorities conclude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or regulatory review time of a drug, nor gives the drug any advantage in the regulatory review or approval process and does not prevent competitors from obtaining approval of the same product candidate as ours for indications other than those in which we have been granted orphan drug designation.</w:t>
      </w:r>
    </w:p>
    <w:p>
      <w:pPr>
        <w:spacing w:after="0" w:line="145" w:lineRule="exact"/>
        <w:rPr>
          <w:sz w:val="20"/>
          <w:szCs w:val="20"/>
          <w:color w:val="auto"/>
        </w:rPr>
      </w:pPr>
    </w:p>
    <w:p>
      <w:pPr>
        <w:ind w:left="60" w:right="619"/>
        <w:spacing w:after="0" w:line="28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satisfactory sales and marketing capabilities, we may not succeed in commercializing IGALMI</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or any product candidate for which we may obtain regulatory approval.</w:t>
      </w:r>
    </w:p>
    <w:p>
      <w:pPr>
        <w:spacing w:after="0" w:line="18" w:lineRule="exact"/>
        <w:rPr>
          <w:sz w:val="20"/>
          <w:szCs w:val="20"/>
          <w:color w:val="auto"/>
        </w:rPr>
      </w:pPr>
    </w:p>
    <w:p>
      <w:pPr>
        <w:ind w:left="60" w:right="179" w:firstLine="324"/>
        <w:spacing w:after="0" w:line="238" w:lineRule="auto"/>
        <w:rPr>
          <w:sz w:val="20"/>
          <w:szCs w:val="20"/>
          <w:color w:val="auto"/>
        </w:rPr>
      </w:pPr>
      <w:r>
        <w:rPr>
          <w:rFonts w:ascii="Times New Roman" w:cs="Times New Roman" w:eastAsia="Times New Roman" w:hAnsi="Times New Roman"/>
          <w:sz w:val="18"/>
          <w:szCs w:val="18"/>
          <w:color w:val="auto"/>
        </w:rPr>
        <w:t>We have limited experience in marketing and selling drug products. We have not entered into arrangements for the sale and marketing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BXCL501, BXCL502, BXCL701, BXCL702 or any other product candidate. Typically, pharmaceutical companies would employ groups of sales representatives and associated sales and marketing staff numbering in the hundreds to thousands of individuals to call on the large number of physicians and hospitals. Following our Reprioritization, we may need to rebuild a commercial sales and marketing team if we seek to modify our commercial strategy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initiate commercial sales for any product candidate in the future, which will likely require significant cost. We may seek to collaborate with a third-party to market our drugs or may seek to market and sell our drugs by ourselves. If we seek to collaborate with a third-party, we cannot be sure that a collaborative agreement can be reached on terms acceptable to us. We may also need to hire additional personnel skilled in marketing and sales for our direct marketing and selling efforts. We cannot be sure that we will be able to acquire, or establish third-party relationships to provide, any or all of these marketing and sales capabilities. The maintenance and expansion of our direct sales force or establishment of a contract sales force, or a combination thereof, as applicable, to market our products is expensive and time-consuming and could delay any product launch. In addition, reputational harm from the Reprioritization may adversely impact our efforts to hire personnel skilled in marketing and sales. Further, we can give no assurances that we will be able to maintain a direct and/or contract sales force for any period of time or that our sales efforts will be sufficient to grow our revenues or that our sales efforts will ever lead to profits. A direct sales force has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in the past subjected and may in the future subject us to higher fixed costs than those of companies that market competing products through independent third parties, due to the costs that we bear associated with employee benefits, training, and managing sales personnel. As a result, we could be at a competitive disadvantage. Additionally, these fixed costs may slow our ability to reduce costs if needed, which could have a material adverse effect on our business, financial condition, and results of operations.</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and rapidly changing industry.</w:t>
      </w:r>
    </w:p>
    <w:p>
      <w:pPr>
        <w:spacing w:after="0" w:line="189" w:lineRule="exact"/>
        <w:rPr>
          <w:sz w:val="20"/>
          <w:szCs w:val="20"/>
          <w:color w:val="auto"/>
        </w:rPr>
      </w:pPr>
    </w:p>
    <w:p>
      <w:pPr>
        <w:ind w:left="60" w:right="299" w:firstLine="324"/>
        <w:spacing w:after="0" w:line="255" w:lineRule="auto"/>
        <w:rPr>
          <w:sz w:val="20"/>
          <w:szCs w:val="20"/>
          <w:color w:val="auto"/>
        </w:rPr>
      </w:pPr>
      <w:r>
        <w:rPr>
          <w:rFonts w:ascii="Times New Roman" w:cs="Times New Roman" w:eastAsia="Times New Roman" w:hAnsi="Times New Roman"/>
          <w:sz w:val="18"/>
          <w:szCs w:val="18"/>
          <w:color w:val="auto"/>
        </w:rPr>
        <w:t>Biopharmaceutical product development is highly competitive and subject to rapid and significant technological advancements. Our success is highly dependent upon our ability to in-license, acquire, develop and obtain regulatory approval for new and innovative products on a cost-effective basis and to market them successfully. In doing so, we face and will continue to face intense competition from a variety of businesses, including large, fully integrated, well-established pharmaceutical companies who already possess a large share of the market, specialty pharmaceutical and biopharmaceutical companies, academic institutions, government agencies and other private and public research institutions in the U.S., the EU and other jurisdictions.</w:t>
      </w:r>
    </w:p>
    <w:p>
      <w:pPr>
        <w:spacing w:after="0" w:line="148" w:lineRule="exact"/>
        <w:rPr>
          <w:sz w:val="20"/>
          <w:szCs w:val="20"/>
          <w:color w:val="auto"/>
        </w:rPr>
      </w:pPr>
    </w:p>
    <w:p>
      <w:pPr>
        <w:ind w:left="60" w:right="239" w:firstLine="324"/>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These third parties compete with us in recruiting and retaining qualified scientific and management personnel, establishing clinical trial sites and patient registration for clinical trials, as well as in acquiring technologies complementary to, or necessary for, our programs. Mergers and acquisitions in the biopharmaceutical industry could result in even more resources being concentrated among a small number of our competitors.</w:t>
      </w:r>
    </w:p>
    <w:p>
      <w:pPr>
        <w:spacing w:after="0" w:line="162"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Competition may further increase as a result of advances in the commercial applicability of technologies and greater availability of capital for investment in these industries. Our competitors may succeed in developing, acquiring or licensing, on an exclusive basis, products that are more effective or less costly than any product candidate that we may develop.</w:t>
      </w:r>
    </w:p>
    <w:p>
      <w:pPr>
        <w:spacing w:after="0" w:line="139" w:lineRule="exact"/>
        <w:rPr>
          <w:sz w:val="20"/>
          <w:szCs w:val="20"/>
          <w:color w:val="auto"/>
        </w:rPr>
      </w:pPr>
    </w:p>
    <w:p>
      <w:pPr>
        <w:ind w:left="60" w:right="299" w:firstLine="324"/>
        <w:spacing w:after="0" w:line="256" w:lineRule="auto"/>
        <w:rPr>
          <w:sz w:val="20"/>
          <w:szCs w:val="20"/>
          <w:color w:val="auto"/>
        </w:rPr>
      </w:pPr>
      <w:r>
        <w:rPr>
          <w:rFonts w:ascii="Times New Roman" w:cs="Times New Roman" w:eastAsia="Times New Roman" w:hAnsi="Times New Roman"/>
          <w:sz w:val="18"/>
          <w:szCs w:val="18"/>
          <w:color w:val="auto"/>
        </w:rPr>
        <w:t>Established biopharmaceutical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to overcome price competition and to be commercially successful. Accordingly, our competitors may succeed in obtaining patent protection, discovering, developing, receiving FDA approval for or commercializing drugs before we do, which would have an adverse impact on our business and results of operations.</w:t>
      </w:r>
    </w:p>
    <w:p>
      <w:pPr>
        <w:spacing w:after="0" w:line="147" w:lineRule="exact"/>
        <w:rPr>
          <w:sz w:val="20"/>
          <w:szCs w:val="20"/>
          <w:color w:val="auto"/>
        </w:rPr>
      </w:pPr>
    </w:p>
    <w:p>
      <w:pPr>
        <w:jc w:val="both"/>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The availability of our competitors’ products could limit the demand and the price we are able to charge for products and product candidates, if any, that we commercialize. The inability to compete with existing or subsequently introduced drugs would harm our business, financial condition and results of operations.</w:t>
      </w:r>
    </w:p>
    <w:p>
      <w:pPr>
        <w:spacing w:after="0" w:line="137" w:lineRule="exact"/>
        <w:rPr>
          <w:sz w:val="20"/>
          <w:szCs w:val="20"/>
          <w:color w:val="auto"/>
        </w:rPr>
      </w:pPr>
    </w:p>
    <w:p>
      <w:pPr>
        <w:ind w:left="60" w:right="499"/>
        <w:spacing w:after="0" w:line="228" w:lineRule="auto"/>
        <w:rPr>
          <w:sz w:val="20"/>
          <w:szCs w:val="20"/>
          <w:color w:val="auto"/>
        </w:rPr>
      </w:pPr>
      <w:r>
        <w:rPr>
          <w:rFonts w:ascii="Times New Roman" w:cs="Times New Roman" w:eastAsia="Times New Roman" w:hAnsi="Times New Roman"/>
          <w:sz w:val="18"/>
          <w:szCs w:val="18"/>
          <w:b w:val="1"/>
          <w:bCs w:val="1"/>
          <w:i w:val="1"/>
          <w:iCs w:val="1"/>
          <w:color w:val="auto"/>
        </w:rPr>
        <w:t>Although we obtained FDA approval for IGALMI</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our products and product candidates may not be accepted by physicians or the medical community in general, and there may be insufficient insurance coverage and reimbursement.</w:t>
      </w:r>
    </w:p>
    <w:p>
      <w:pPr>
        <w:spacing w:after="0" w:line="150" w:lineRule="exact"/>
        <w:rPr>
          <w:sz w:val="20"/>
          <w:szCs w:val="20"/>
          <w:color w:val="auto"/>
        </w:rPr>
      </w:pPr>
    </w:p>
    <w:p>
      <w:pPr>
        <w:ind w:left="60" w:right="259" w:firstLine="324"/>
        <w:spacing w:after="0" w:line="226" w:lineRule="auto"/>
        <w:rPr>
          <w:sz w:val="20"/>
          <w:szCs w:val="20"/>
          <w:color w:val="auto"/>
        </w:rPr>
      </w:pPr>
      <w:r>
        <w:rPr>
          <w:rFonts w:ascii="Times New Roman" w:cs="Times New Roman" w:eastAsia="Times New Roman" w:hAnsi="Times New Roman"/>
          <w:sz w:val="18"/>
          <w:szCs w:val="18"/>
          <w:color w:val="auto"/>
        </w:rPr>
        <w:t>There can be no assurance that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or BXCL501, BXCL502, BXCL701, BXCL702 and our other product candidates or any other product candidate successfully developed by us, independently or with partners, if approved, will be accepted by physicians, hospitals and other health care facilities.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competes, and BXCL501, BXCL502, BXCL701, BXCL702 and any future product candidates we develop will compete, with a number of products manufactured and marketed by major pharmaceutical and biotechnology companies. The degree of market acceptance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any drugs we develop depends on a number of factors, including:</w:t>
      </w:r>
    </w:p>
    <w:p>
      <w:pPr>
        <w:spacing w:after="0" w:line="50" w:lineRule="exact"/>
        <w:rPr>
          <w:sz w:val="20"/>
          <w:szCs w:val="20"/>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demonstration of the clinical efficacy and safety of our products and product candidates;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market approval and commercial launch of our products and product candidates;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products and product candidates are approved;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 and package insert requirements;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advantages and disadvantages of our products and product candidates compared to existing therapies;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interest in and growth of the market for anti-cancer or anti-agitation drugs;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 of sales, marketing, and distribution support;</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pricing in absolute terms and relative to alternative treatments;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changes in health care laws, regulations, and medical policies; and</w:t>
      </w:r>
    </w:p>
    <w:p>
      <w:pPr>
        <w:spacing w:after="0" w:line="184" w:lineRule="exact"/>
        <w:rPr>
          <w:rFonts w:ascii="Times New Roman" w:cs="Times New Roman" w:eastAsia="Times New Roman" w:hAnsi="Times New Roman"/>
          <w:sz w:val="18"/>
          <w:szCs w:val="18"/>
          <w:color w:val="auto"/>
        </w:rPr>
      </w:pPr>
    </w:p>
    <w:p>
      <w:pPr>
        <w:ind w:left="720" w:right="959" w:hanging="319"/>
        <w:spacing w:after="0" w:line="282"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coverage and reimbursement in select jurisdictions, and future changes to coverage and reimbursement policies of government and third-party payors.</w:t>
      </w:r>
    </w:p>
    <w:p>
      <w:pPr>
        <w:spacing w:after="0" w:line="127" w:lineRule="exact"/>
        <w:rPr>
          <w:sz w:val="20"/>
          <w:szCs w:val="20"/>
          <w:color w:val="auto"/>
        </w:rPr>
      </w:pPr>
    </w:p>
    <w:p>
      <w:pPr>
        <w:ind w:left="60" w:right="139" w:firstLine="324"/>
        <w:spacing w:after="0" w:line="217"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any product candidate for which we obtain regulatory approval. In the U.S. and other countries, sales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any other products for which we receive regulatory approval for commercial sale will depend in part on the availability of coverage and reimbursement from third-party payors. Third-party payors include government health administrative authorities, such as Medicaid and Medicare, managed care providers, private health insurers and other organizations.</w:t>
      </w:r>
    </w:p>
    <w:p>
      <w:pPr>
        <w:spacing w:after="0" w:line="161" w:lineRule="exact"/>
        <w:rPr>
          <w:sz w:val="20"/>
          <w:szCs w:val="20"/>
          <w:color w:val="auto"/>
        </w:rPr>
      </w:pPr>
    </w:p>
    <w:p>
      <w:pPr>
        <w:ind w:left="60" w:right="159" w:firstLine="324"/>
        <w:spacing w:after="0" w:line="231" w:lineRule="auto"/>
        <w:rPr>
          <w:sz w:val="20"/>
          <w:szCs w:val="20"/>
          <w:color w:val="auto"/>
        </w:rPr>
      </w:pPr>
      <w:r>
        <w:rPr>
          <w:rFonts w:ascii="Times New Roman" w:cs="Times New Roman" w:eastAsia="Times New Roman" w:hAnsi="Times New Roman"/>
          <w:sz w:val="18"/>
          <w:szCs w:val="18"/>
          <w:color w:val="auto"/>
        </w:rPr>
        <w:t>Third-party payors are increasingly challenging the prices charged for medical products and services. It will be time consuming and expensive for us to go through the process of seeking coverage and reimbursement from Medicare and private payors.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any other products for which we receive regulatory approval may not be considered cost-effective, and coverage and reimbursement may not be available or sufficient to allow us to sell our proposed products on a profitable basis. Further federal, state and foreign government proposals and health care reforms are likely which could limit the prices that can be charged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the product candidates that we develop and may further limit our commercial opportunities. Our results of operations could be materially adversely affected by proposed health care reforms, by the Inflation Reduction Act and other drug pricing legislation in the U.S., by the possible effect of such current or future legislation on amounts that private insurers will pay and by other health care reforms that may be enacted or adopted in the future.</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Health care reform measures could hinder or prevent our product candidates’ commercial success.</w:t>
      </w:r>
    </w:p>
    <w:p>
      <w:pPr>
        <w:spacing w:after="0" w:line="202" w:lineRule="exact"/>
        <w:rPr>
          <w:sz w:val="20"/>
          <w:szCs w:val="20"/>
          <w:color w:val="auto"/>
        </w:rPr>
      </w:pPr>
    </w:p>
    <w:p>
      <w:pPr>
        <w:ind w:left="60" w:right="179" w:firstLine="324"/>
        <w:spacing w:after="0" w:line="238" w:lineRule="auto"/>
        <w:rPr>
          <w:sz w:val="20"/>
          <w:szCs w:val="20"/>
          <w:color w:val="auto"/>
        </w:rPr>
      </w:pPr>
      <w:r>
        <w:rPr>
          <w:rFonts w:ascii="Times New Roman" w:cs="Times New Roman" w:eastAsia="Times New Roman" w:hAnsi="Times New Roman"/>
          <w:sz w:val="18"/>
          <w:szCs w:val="18"/>
          <w:color w:val="auto"/>
        </w:rPr>
        <w:t>The U.S. government and other governments have shown significant interest in pursuing health care reform. Any government-adopted reform measures could adversely impact the pricing of health care products and services in the U.S. or internationally and the amount of reimbursement available from governmental agencies or other third-party payors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the product candidates that we develop. The continuing efforts of the U.S. and foreign governments, insurance companies, managed care organizations and other payors of health care services to contain or reduce health care costs may adversely affect our ability to set prices for our products, which we believe are fair, and our ability to generate revenues and achieve and maintain profitability.</w:t>
      </w:r>
    </w:p>
    <w:p>
      <w:pPr>
        <w:spacing w:after="0" w:line="159"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New laws, regulations and judicial decisions, or new interpretations of existing laws, regulations and decisions, that relate to health care availability, methods of delivery or payment for products and services, or sales, marketing or pricing, may limit our potential revenue, and we may need to revise our research and development programs. The pricing and reimbursement environment may change in the future and become more challenging due to several reasons, including policies advanced by the current executive administration in the U.S., new health care legislation or fiscal challenges faced by government health administration authorities. Specifically, in both the U.S. and some foreign jurisdictions, there have been a number of legislative and regulatory proposals to change the health care system in ways that could affect our ability to sell our products profitably.</w:t>
      </w:r>
    </w:p>
    <w:p>
      <w:pPr>
        <w:spacing w:after="0" w:line="151"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For example, in the U.S., the ACA, which was enacted in 2010, has substantially changed the way health care is financed by both government health plans and private insurers, and significantly impacts the pharmaceutical industry. For example, the ACA imposed a non-deductible excise tax on pharmaceutical manufacturers or importers that sell branded prescription drugs to government programs. In addition, as part of the ACA’s provisions closing a funding gap</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that existed in the Medicare Part D prescription drug program, manufacturers are required to provide a discount on branded prescription drugs for drugs provided to certain beneficiaries who fall within the “donut hole.” Similarly, the ACA increased the level of Medicaid rebates payable by manufacturers of brand-name drugs from 15.1% to 23.1% of the average manufacturer price and required collection of rebates for drugs paid by Medicaid managed care organizations. The ACA also included changes to the Public Health Service’s 340B drug pricing program (the “340B program”) including expansion of the list of eligible covered entities that may purchase drugs under the program.</w:t>
      </w:r>
    </w:p>
    <w:p>
      <w:pPr>
        <w:spacing w:after="0" w:line="160"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w:t>
      </w:r>
    </w:p>
    <w:p>
      <w:pPr>
        <w:spacing w:after="0" w:line="13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U.S. since the ACA was enacted. These changes include the Budget Control Act of 2011, which resulted in aggregate reductions of Medicare payments to providers, which went into effect on April 1, 2013, and, due to subsequent legislative amendments to the statute, will remain in effect through 2032, unless additional Congressional action is taken. Furthermore, the American Taxpayer Relief Act of 2012, further reduced Medicare payments to several types of providers, including hospitals, and increased the statute of limitations period for the government to recover overpayments to providers from three to five years. More recently, on March 11, 2021, President Biden signed the American Rescue Plan Act of 2021 into law, which eliminates the statutory Medicaid drug rebate cap, beginning January 1, 2024.</w:t>
      </w:r>
    </w:p>
    <w:p>
      <w:pPr>
        <w:spacing w:after="0" w:line="151"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Most significantly, on August 16, 2022, President Biden signed the Inflation Reduction Act of 2022 (“IRA”) into law. This statute marks the most significant action by Congress with respect to the pharmaceutical industry since adoption of the ACA in 2010.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On August 29, 2023, HHS announced the list of the first ten drugs that will be subject to price negotiations. HHS has issued and will continue to issue guidance implementing the IRA, although the Medicare drug price negotiation program is currently subject to legal challenges. While the impact of the IRA on the pharmaceutical industry and our business cannot yet be fully determined, it is likely to be significant.</w:t>
      </w:r>
    </w:p>
    <w:p>
      <w:pPr>
        <w:spacing w:after="0" w:line="165"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The cost of prescription pharmaceuticals in the U.S. will likely continue to be the subject of considerable discussion. Members of Congress and the Biden Administration have indicated they will continue to pursue further legislative or administrative measures to control prescription drug costs. There have been several Congressional inquiries, as well as legislative and regulatory initiatives and executive orders designed to, among other things, bring more transparency to product pricing, review the relationship between pricing and manufacturer patient programs, and reform government program reimbursement methodologies for drug products. 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spacing w:after="0" w:line="148"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Individual states in the U.S. continue to consider and have enacted legislation to limit the growth of health 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 Furthermore, there has been increased interest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by third-party payors and governmental authorities in reference pricing systems and publication of discounts and list prices.</w:t>
      </w:r>
    </w:p>
    <w:p>
      <w:pPr>
        <w:spacing w:after="0" w:line="135" w:lineRule="exact"/>
        <w:rPr>
          <w:sz w:val="20"/>
          <w:szCs w:val="20"/>
          <w:color w:val="auto"/>
        </w:rPr>
      </w:pPr>
    </w:p>
    <w:p>
      <w:pPr>
        <w:ind w:left="60" w:right="199" w:firstLine="324"/>
        <w:spacing w:after="0" w:line="239" w:lineRule="auto"/>
        <w:rPr>
          <w:sz w:val="20"/>
          <w:szCs w:val="20"/>
          <w:color w:val="auto"/>
        </w:rPr>
      </w:pPr>
      <w:r>
        <w:rPr>
          <w:rFonts w:ascii="Times New Roman" w:cs="Times New Roman" w:eastAsia="Times New Roman" w:hAnsi="Times New Roman"/>
          <w:sz w:val="18"/>
          <w:szCs w:val="18"/>
          <w:color w:val="auto"/>
        </w:rPr>
        <w:t>It is likely that federal and state legislatures within the U.S. and foreign governments will continue to consider changes to existing health care legislation. We cannot predict the reform initiatives that may be adopted in the future or whether initiatives that have been adopted will be repealed or modified. The continuing efforts of governments, insurance companies, managed care organizations and other payors of health care services to contain or reduce costs of health care may adversely affect the demand for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any other drug products for which we may obtain regulatory approval, our ability to set a price that we believe is fair for our products, our ability to obtain adequate coverage and reimbursement approval for a product, our ability to generate revenues and achieve or maintain profitability, and the level of taxes that we are required to pay.</w:t>
      </w:r>
    </w:p>
    <w:p>
      <w:pPr>
        <w:spacing w:after="0" w:line="163"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In the EU, similar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U.S. and EU, reimbursement and healthcare payment systems vary significantly by country, and many countries have instituted price ceilings on specific products and therapies.</w:t>
      </w:r>
    </w:p>
    <w:p>
      <w:pPr>
        <w:spacing w:after="0" w:line="147"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On December 13, 2021, Regulation No 2021/2282 on Health Technology Assessment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The regulation intends to boost cooperation among EU member states in assessing health technologies, including new medicinal products as well as certain high-risk medical devices, and providing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59" w:lineRule="exact"/>
        <w:rPr>
          <w:sz w:val="20"/>
          <w:szCs w:val="20"/>
          <w:color w:val="auto"/>
        </w:rPr>
      </w:pPr>
    </w:p>
    <w:p>
      <w:pPr>
        <w:ind w:left="6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reporting and payment obligations under the Medicaid Drug Rebate Program or other governmental pricing programs in the U.S., we could be subject to additional reimbursement requirements, penalties, sanctions and fines, which could have a material adverse effect on our business, results of operations and financial condition.</w:t>
      </w:r>
    </w:p>
    <w:p>
      <w:pPr>
        <w:spacing w:after="0" w:line="180" w:lineRule="exact"/>
        <w:rPr>
          <w:sz w:val="20"/>
          <w:szCs w:val="20"/>
          <w:color w:val="auto"/>
        </w:rPr>
      </w:pPr>
    </w:p>
    <w:p>
      <w:pPr>
        <w:ind w:left="60" w:right="239" w:firstLine="324"/>
        <w:spacing w:after="0" w:line="242" w:lineRule="auto"/>
        <w:rPr>
          <w:sz w:val="20"/>
          <w:szCs w:val="20"/>
          <w:color w:val="auto"/>
        </w:rPr>
      </w:pPr>
      <w:r>
        <w:rPr>
          <w:rFonts w:ascii="Times New Roman" w:cs="Times New Roman" w:eastAsia="Times New Roman" w:hAnsi="Times New Roman"/>
          <w:sz w:val="18"/>
          <w:szCs w:val="18"/>
          <w:color w:val="auto"/>
        </w:rPr>
        <w:t>We participate in the Medicaid Drug Rebate Program (“MDRP”) and other federal and state government pricing programs in the U.S., and we may participate in additional government pricing programs in the future. These programs generally require manufacturers to pay rebates or otherwise provide discounts to government payors in connection with drugs that are dispensed to beneficiaries of these programs. As a condition of having federal funds being made available for covered outpatient drugs under Medicaid and Medicare Part B, a manufacturer must enroll in the MDRP. Under this program, we must pay a rebate to state Medicaid programs for each unit of our covered outpatient drug dispensed to a Medicaid beneficiary and paid for by a state Medicaid program. Medicaid drug rebates are based on pricing data that we must report on a monthly and quarterly basis to CMS. For the MDRP, this data includes the average manufacturer price (“AMP”) for each drug and, in the case of an innovator product, like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the best price. If we become aware that our MDRP price reporting submission for a prior period was incorrect or has changed as a result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recalculation of the pricing data, we must resubmit the corrected data for up to three years after the data originally was due. Further, under the IRA, AMP figures we report will also be used to calculate a rebate on Medicare Part D utilization, triggered by price increases that outpace inflation. If we fail to provide information timely or are found to have knowingly submitted false information to the government, we may be subject to civil monetary penalties and other sanctions, including termination from the MDRP, which would result in payment not being available for our covered outpatient drugs under Medicaid or, if applicable, Medicare Part B. Failure to make necessary disclosures and/or to identify overpayments additionally could result in allegations against us under the Federal False Claims Act and other laws and regulations.</w:t>
      </w:r>
    </w:p>
    <w:p>
      <w:pPr>
        <w:spacing w:after="0" w:line="165"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Federal law requires that a manufacturer that participates in the MDRP also participate in the 340B program in order for federal funds to be available for the manufacturer’s drugs under Medicaid and Medicare Part B, and we participate in the 340B program. The 340B program is administered by the Health Resources and Services Administration (“HRSA”) and requires us to charge statutorily defined covered entities no more than the 340B “ceiling price” for our covered outpatient drugs used in an outpatient setting. These 340B program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AMP and rebate amount for the covered outpatient drug as calculated under the MDRP. In general, products subject to Medicaid price reporting and rebate liability are also subject to the 340B ceiling price calculation and discount requirement. We must report 340B ceiling prices to HRSA on a quarterly basis, and HRSA publishes them to 340B covered entities. HRSA has finalized regulations regarding the calculation of the 340B ceiling price and the imposition of civil monetary penalties on manufacturers that knowingly and intentionally overcharge covered entities for 340B eligible drugs. HRSA has also finalized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 In addition, legislation may be introduced that, if passed, would further expand the 340B program, such as adding further covered entities or requiring participating manufacturers to agree to provide 340B program discounted pricing on drugs used in an inpatient setting.</w:t>
      </w:r>
    </w:p>
    <w:p>
      <w:pPr>
        <w:spacing w:after="0" w:line="151"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In order to be eligible to have drug products paid for with federal funds under Medicaid and Medicare Part B and purchased by certain federal agencies and grantees, we also must participate in the U.S. Department of Veterans Affairs (“VA”) Federal Supply Schedule (“FSS”) pricing program. Under the VA/FSS program, we must report the Non-Federal Average Manufacturer Price (“Non-FAMP”) for our covered drugs to the VA and charge certain federal agencies no more than the Federal Ceiling Price, which is calculated based on Non-FAMP using a statutory formula. These four agencies are the VA, the U.S. Department of Defense, the U.S. Coast Guard, and the U.S. Public Health Service (including the Indian Health Service). We must also pay rebates on products purchased by military personnel and dependents through the TRICARE retail pharmacy program. If we fail to provide timely information or are found to have knowingly submitted false information, we may be subject to civil monetary penalties.</w:t>
      </w:r>
    </w:p>
    <w:p>
      <w:pPr>
        <w:spacing w:after="0" w:line="148"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Individual states continue to consider and have enacted legislation to limit the growth of health 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w:t>
      </w:r>
    </w:p>
    <w:p>
      <w:pPr>
        <w:spacing w:after="0" w:line="165"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Pricing and rebate calculations are complex, vary among products and programs, and are often subject to interpretation by manufacturers, governmental or regulatory agencies, and the courts. The terms, scope and complexity of these government pricing programs change frequently, as do interpretations of applicable requirements for pricing and rebate calculations. Responding to current and future changes may increase our costs and the complexity of compliance will be time-consuming. Any required refunds to the U.S. government or responding to a government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54" w:lineRule="auto"/>
        <w:rPr>
          <w:sz w:val="20"/>
          <w:szCs w:val="20"/>
          <w:color w:val="auto"/>
        </w:rPr>
      </w:pPr>
      <w:r>
        <w:rPr>
          <w:rFonts w:ascii="Times New Roman" w:cs="Times New Roman" w:eastAsia="Times New Roman" w:hAnsi="Times New Roman"/>
          <w:sz w:val="18"/>
          <w:szCs w:val="18"/>
          <w:color w:val="auto"/>
        </w:rPr>
        <w:t>investigation or enforcement action would be expensive and time consuming and could have a material adverse effect on our business, results of operations and financial condition. Price recalculations under the MDRP also may affect the ceiling price at which we may be required to offer products under the 340B program. Civil monetary penalties can be applied if we are found to have knowingly submitted any false price or product information to the government, if we fail to submit required price data on a timely basis, or if we are found to have charged 340B program covered entities more than the statutorily mandated ceiling price. In the event that CMS were to terminate our Medicaid rebate agreement, pursuant to which we participate in the MDRP, no federal payments would be available under Medicaid or Medicare for our covered outpatient drugs. We cannot assure you that price data submissions we make will not be found to be incomplete or incorrect.</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Relationship with BioXcel LLC</w:t>
      </w:r>
    </w:p>
    <w:p>
      <w:pPr>
        <w:spacing w:after="0" w:line="185"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BioXcel LLC has significant influence over the direction of our business, and the concentrated ownership of our common stock will prevent you and other stockholders from influencing significant decisions.</w:t>
      </w:r>
    </w:p>
    <w:p>
      <w:pPr>
        <w:spacing w:after="0" w:line="118"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As of September 30, 2024, BioXcel LLC owned approximately 19% of the economic interest and voting power of our outstanding common stock and BioXcel LLC is controlled by BioXcel Holdings, Inc. Our Chief Executive Officer and member of our board of directors, Vimal Mehta, Ph.D., is the Chief Executive Officer, President, Treasurer and Secretary and a member of the board of managers of BioXcel LLC and Chief Executive Officer, President, Treasurer and Secretary and the sole member of the board of directors of BioXcel Holdings, Inc. See “The management of and beneficial ownership in BioXcel LLC by our executive officers and our directors may create, or may create the appearance of, conflicts of interest.” below. Even though BioXcel LLC controls less than a majority of the voting power of our outstanding common stock, it may influence the outcome of such corporate actions so long as it owns a significant portion of our common stock.</w:t>
      </w:r>
    </w:p>
    <w:p>
      <w:pPr>
        <w:spacing w:after="0" w:line="157" w:lineRule="exact"/>
        <w:rPr>
          <w:sz w:val="20"/>
          <w:szCs w:val="20"/>
          <w:color w:val="auto"/>
        </w:rPr>
      </w:pPr>
    </w:p>
    <w:p>
      <w:pPr>
        <w:jc w:val="both"/>
        <w:ind w:left="6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Approval of commercial terms between us and BioXcel LLC does not preclude the possibility of stockholder litigation, including but not limited to derivative litigation nominally against BioXcel LLC and against its directors and officers and also against us and our directors and officers.</w:t>
      </w:r>
    </w:p>
    <w:p>
      <w:pPr>
        <w:spacing w:after="0" w:line="134" w:lineRule="exact"/>
        <w:rPr>
          <w:sz w:val="20"/>
          <w:szCs w:val="20"/>
          <w:color w:val="auto"/>
        </w:rPr>
      </w:pPr>
    </w:p>
    <w:p>
      <w:pPr>
        <w:jc w:val="both"/>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The commercial terms of the Separation and Shared Services Agreement (as amended and/or restated and in effect as of the date hereof, the “Services Agreement”), and the Amended and Restated Asset Contribution Agreement (as amended and/or restated and in effect as of the date hereof, the “Contribution Agreement”), that we entered into with BioXcel LLC have not been negotiated by persons consisting solely of disinterested directors.</w:t>
      </w:r>
    </w:p>
    <w:p>
      <w:pPr>
        <w:spacing w:after="0" w:line="13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No assurance can be given that any equity or debt holder of BioXcel LLC or the Company will not claim in a lawsuit that such terms in fact are not in the best interests of BioXcel LLC or the Company and its applicable equity holders, that the directors and officers of BioXcel LLC or the Company breached their fiduciary duties in connection with such agreements and that any disclosures by the Company to its stockholders regarding these agreements and the relationship between BioXcel LLC and us did not satisfy applicable requirements. In any such instance, we and our directors and officers may also be named as defendants and we would have to defend ourselves and our directors and officers. While we would seek indemnification from BioXcel LLC under the terms of these agreements against any damages or other costs, which could be substantial, no such indemnification has yet been agreed to or may be agreed to and be in effect. Further, any such litigation would be time-consuming and would divert focus and resources from the development of our product candidates and our business, including but not limited to possibly delaying our clinical trials due to our management having to spend time and attention on such litigation.</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continue to depend on BioXcel LLC to provide us with certain services for our business.</w:t>
      </w:r>
    </w:p>
    <w:p>
      <w:pPr>
        <w:spacing w:after="0" w:line="189"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We rely, in part, on BioXcel LLC and access to its EvolverAI, to complement our in-house, uniquely integrated AI-to-drug-development capability. EvolverAI is a research and development engine created and owned by BioXcel LLC, to identify, research and develop potential product candidates in neuroscience and immuno-oncology. We negotiated the Services Agreement with BioXcel LLC pursuant to which BioXcel LLC agreed to perform certain intellectual property prosecution and management and research and development activities for us utilizing its EvolverAI.</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Under the Services Agreement, we have an option, exercisable until December 31, 2024, to enter into a separate collaborative services agreement with BioXcel LLC pursuant to which BioXcel LLC shall perform product identification and related services for us utilizing its EvolverAI. We agreed to pay BioXcel LLC $18,000 per month from March 13, 2023, to December 31, 2024 in exchange for this option. We agreed to negotiate any such collaborative services agreement in good faith and to incorporate reasonable market-based terms, including consideration for BioXcel LLC reflecting a low, single-digit royalty on net sales and reasonable development and commercialization milestone payments, provided that (i) development milestone payments shall not exceed $10 million in the aggregate and not be payable prior to proof of concept in humans and (ii) commercialization milestone payments shall be based on reaching annual net sales levels, be limited to 3% of the applicable net sales level, and not exceed $30 million in the aggregate.</w:t>
      </w:r>
    </w:p>
    <w:p>
      <w:pPr>
        <w:spacing w:after="0" w:line="161"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In addition, at the time of our initial public offering (“IPO”), BioXcel LLC granted us (i) a first right to negotiate exclusive rights to any additional product candidates in the fields of neuroscience and immuno-oncology that BioXcel LLC may identify on its own and not in connection with BioXcel LLC’s provision of services to us under the Services Agreement and (ii) an exclusivity agreement in the neuroscience and immuno-oncology fields whereby BioXcel LLC agreed not develop drugs, or engage in preclinical discovery for the purpose of developing drugs, in the neuroscience and immuno-oncology fields for or on behalf of a third party, utilizing EvolverAI or otherwise. This first right to negotiate and exclusivity period expired on March 12, 2023, and there is no assurance that we will extend the terms of the agreement. We are continuing to assess our ongoing business needs.</w:t>
      </w:r>
    </w:p>
    <w:p>
      <w:pPr>
        <w:spacing w:after="0" w:line="151" w:lineRule="exact"/>
        <w:rPr>
          <w:sz w:val="20"/>
          <w:szCs w:val="20"/>
          <w:color w:val="auto"/>
        </w:rPr>
      </w:pPr>
    </w:p>
    <w:p>
      <w:pPr>
        <w:ind w:left="60" w:right="379" w:firstLine="324"/>
        <w:spacing w:after="0" w:line="256" w:lineRule="auto"/>
        <w:rPr>
          <w:sz w:val="20"/>
          <w:szCs w:val="20"/>
          <w:color w:val="auto"/>
        </w:rPr>
      </w:pPr>
      <w:r>
        <w:rPr>
          <w:rFonts w:ascii="Times New Roman" w:cs="Times New Roman" w:eastAsia="Times New Roman" w:hAnsi="Times New Roman"/>
          <w:sz w:val="18"/>
          <w:szCs w:val="18"/>
          <w:color w:val="auto"/>
        </w:rPr>
        <w:t>On September 19, 2023, the Company, Krishnan Nandabalan, Ph.D., InveniAI LLC (“Inveni”) and Invea Therapeutics, Inc. (“Invea”) and the other parties thereto entered into a non-compete agreement pursuant to which Dr. Nandabalan, Inveni and Invea agreed not to compete with the Company and its controlled affiliates in the fields of neuroscience and immuno-oncology for a period of five years from September 19, 2023 and not to solicit employees of the Company or its controlled affiliates for a period of two years from September 19, 2023. Inveni and Invea are subsidiaries of BioXcel LLC.</w:t>
      </w:r>
    </w:p>
    <w:p>
      <w:pPr>
        <w:spacing w:after="0" w:line="147"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color w:val="auto"/>
        </w:rPr>
        <w:t>If our rights under the Services Agreement were to become limited or if we are otherwise precluded from conducting research and development using EvolverAI, or if BioXcel LLC, Inveni or Invea do not fulfill their obligations under the agreements, such development could materially adversely affect our future operating results, financial condition, and prospects. Furthermore, certain individuals conducting services on our behalf are not our employees, and we cannot control whether they devote sufficient time, skill and resources to our ongoing development programs. We also cannot ensure that BioXcel LLC retains sufficient resources or personnel or otherwise to conduct its operations. BioXcel LLC may also have relationships with other commercial entities, including our competitors, for whom they may also be conducting research and development activities, which could impede their ability to devote appropriate time to our research and development programs. BioXcel LLC is not currently restricted from using EvolverAI to perform drug discovery services for our direct competitors, and if we do not extend the exclusivity period in the neuroscience and immuno-oncology fields, this could harm our competitive position and adversely affect our future operating results and financial condition.</w:t>
      </w:r>
    </w:p>
    <w:p>
      <w:pPr>
        <w:spacing w:after="0" w:line="159"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management of and beneficial ownership in BioXcel LLC may create, or may create the appearance of, conflicts of interest.</w:t>
      </w:r>
    </w:p>
    <w:p>
      <w:pPr>
        <w:spacing w:after="0" w:line="118" w:lineRule="exact"/>
        <w:rPr>
          <w:sz w:val="20"/>
          <w:szCs w:val="20"/>
          <w:color w:val="auto"/>
        </w:rPr>
      </w:pPr>
    </w:p>
    <w:p>
      <w:pPr>
        <w:ind w:left="60" w:right="179" w:firstLine="324"/>
        <w:spacing w:after="0" w:line="270" w:lineRule="auto"/>
        <w:rPr>
          <w:sz w:val="20"/>
          <w:szCs w:val="20"/>
          <w:color w:val="auto"/>
        </w:rPr>
      </w:pPr>
      <w:r>
        <w:rPr>
          <w:rFonts w:ascii="Times New Roman" w:cs="Times New Roman" w:eastAsia="Times New Roman" w:hAnsi="Times New Roman"/>
          <w:sz w:val="17"/>
          <w:szCs w:val="17"/>
          <w:color w:val="auto"/>
        </w:rPr>
        <w:t>Our Chief Executive Officer and member of our board of directors, Vimal Mehta, Ph.D., is the Chief Executive Officer, President, Treasurer and Secretary and a member of the board of managers of BioXcel LLC and Chief Executive Officer, President, Treasurer and Secretary and the sole member of the board of directors of BioXcel Holdings, Inc. Additionally, as of September 30, 2024, Dr. Mehta, through his beneficial ownership of BioXcel LLC, beneficially owned approximately 21.3% of the Company. The management and ownership of BioXcel LLC by Dr. Mehta may create the appearance of, conflicts of interest when Dr. Mehta is faced with decisions that could have different implications for BioXcel LLC than the decisions have for us, including decisions that relate to our Services Agreement and Contribution Agreement, as well as potential agreements relating to future product candidates and AI-related services or collaborations. Any perceived conflicts of interest resulting from investors questioning the independence of our management or the integrity of corporate governance procedures may materially affect our stock price and expose us to litigation risk.</w:t>
      </w:r>
    </w:p>
    <w:p>
      <w:pPr>
        <w:spacing w:after="0" w:line="3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disputes that arise between us and BioXcel LLC with respect to our past and ongoing relationships could harm our business operations.</w:t>
      </w:r>
    </w:p>
    <w:p>
      <w:pPr>
        <w:spacing w:after="0" w:line="132"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Disputes may arise between BioXcel LLC and us in a number of areas relating to our past and ongoing relationships, including:</w:t>
      </w:r>
    </w:p>
    <w:p>
      <w:pPr>
        <w:spacing w:after="0" w:line="121" w:lineRule="exact"/>
        <w:rPr>
          <w:sz w:val="20"/>
          <w:szCs w:val="20"/>
          <w:color w:val="auto"/>
        </w:rPr>
      </w:pPr>
    </w:p>
    <w:p>
      <w:pPr>
        <w:ind w:left="720" w:right="379" w:hanging="319"/>
        <w:spacing w:after="0" w:line="282"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technology and business matters, including failure to make required technology transfers and failure to comply with contractual provisions applicable to BioXcel LLC and us;</w:t>
      </w:r>
    </w:p>
    <w:p>
      <w:pPr>
        <w:spacing w:after="0" w:line="121"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tax, employee benefit, indemnification and other matters arising from the separation of BTI from BioXcel LLC;</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supply obligations;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retention and recruiting;</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involving us;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distributions by BioXcel LLC of all or any portion of its ownership interest in us;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quality and pricing of services BioXcel LLC has agreed to provide us;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opportunities that may be attractive to both BioXcel LLC and us.</w:t>
      </w:r>
    </w:p>
    <w:p>
      <w:pPr>
        <w:spacing w:after="0" w:line="198"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We entered into the Services Agreement with BioXcel LLC related to the separation of our business operations from those of BioXcel LLC that contains certain limitations on BioXcel LLC’s ability to control various aspects of our business and operations, notwithstanding BioXcel LLC’s substantial ownership position. This agreement may be amended upon agreement between us and BioXcel LLC.</w:t>
      </w:r>
    </w:p>
    <w:p>
      <w:pPr>
        <w:spacing w:after="0" w:line="135" w:lineRule="exact"/>
        <w:rPr>
          <w:sz w:val="20"/>
          <w:szCs w:val="20"/>
          <w:color w:val="auto"/>
        </w:rPr>
      </w:pPr>
    </w:p>
    <w:p>
      <w:pPr>
        <w:jc w:val="both"/>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BioXcel LLC may experience challenges with the acquisition, development, enhancement, or deployment of technology necessary for EvolverAI. We may face similar challenges with other AI platforms that we utilize, including our own in-house proprietary platform.</w:t>
      </w:r>
    </w:p>
    <w:p>
      <w:pPr>
        <w:spacing w:after="0" w:line="134"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BioXcel LLC operates in businesses that require sophisticated computer systems and software for data collection, data processing, cloud-based platforms, analytics, statistical projections and forecasting, mobile computing, social media analytics and other applications and technologies. BioXcel LLC seeks to address its technology risks by increasing its reliance on the use of innovations by cross-industry technology leaders and adapt these for their pharmaceutical, biotechnology, biopharmaceutical, diagnostic, medical device and contract research and manufacturing clients. Some of the technologies supporting the industries they serve are changing rapidly and we must continue to adapt to these changes in a timely and effective manner at an acceptable cost. They also must continue to deliver data to their clients in forms that are easy to use while simultaneously providing clear answers to complex questions. We also utilize our own in-house AI platform.</w:t>
      </w:r>
    </w:p>
    <w:p>
      <w:pPr>
        <w:spacing w:after="0" w:line="161"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There can be no guarantee that we or BioXcel LLC will be able to develop, acquire or integrate new technologies, that these new technologies will meet our and BioXcel LLC’s needs or achieve our expected goals, or that we will be able to do so as quickly or cost-effectively as our competitors. Significant technological change could render BioXcel LLC’s EvolverAI or other AI platforms that we utilize obsolete. BioXcel LLC’s and our continued success will depend on the ability to adapt to changing technologies, manage and process ever-increasing amounts of data and information and improve the performance, features and reliability of these services in response to changing client and industry demands. If EvolverAI or other AI and machine learning models that we use are incorrectly designed, do not operate properly, the data we use to train them is incomplete, inadequate or biased in some way, or if we do not have sufficient rights to use the data on which our AI and machine learning models rely, the performance of our products, services and businesses, as well as our reputation, could suffer or we could incur liability through the violation of laws, third-party privacy rights or contracts to which we are a party. BioXcel LLC or we may experience difficulties that could delay or prevent the successful design, development, testing, and introduction of advanced versions of EvolverAI, limiting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ability to identify new product candidates. New services, or enhancements to existing EvolverAI services, may not adequately meet our requirements. Any of these failures could have a material adverse effect on our operating results and financial condition.</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85" w:lineRule="exact"/>
        <w:rPr>
          <w:sz w:val="20"/>
          <w:szCs w:val="20"/>
          <w:color w:val="auto"/>
        </w:rPr>
      </w:pPr>
    </w:p>
    <w:p>
      <w:pPr>
        <w:ind w:left="60" w:right="259"/>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third parties for the manufacture of our clinical supplies of our product candidates and our commercial supplies of IGALMI</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and we intend to rely on third parties to produce commercial supplies of any other approved product candidate. Therefore, our development of our products could be stopped or delayed, and our commercialization of any future product could be stopped, delayed or made less profitable if third-party manufacturers fail to obtain approval of the FDA or comparable regulatory authorities or fail to provide us with drug product in sufficient quantities or at acceptable prices.</w:t>
      </w:r>
    </w:p>
    <w:p>
      <w:pPr>
        <w:spacing w:after="0" w:line="158" w:lineRule="exact"/>
        <w:rPr>
          <w:sz w:val="20"/>
          <w:szCs w:val="20"/>
          <w:color w:val="auto"/>
        </w:rPr>
      </w:pPr>
    </w:p>
    <w:p>
      <w:pPr>
        <w:ind w:left="60" w:right="159" w:firstLine="324"/>
        <w:spacing w:after="0" w:line="242" w:lineRule="auto"/>
        <w:rPr>
          <w:sz w:val="20"/>
          <w:szCs w:val="20"/>
          <w:color w:val="auto"/>
        </w:rPr>
      </w:pPr>
      <w:r>
        <w:rPr>
          <w:rFonts w:ascii="Times New Roman" w:cs="Times New Roman" w:eastAsia="Times New Roman" w:hAnsi="Times New Roman"/>
          <w:sz w:val="18"/>
          <w:szCs w:val="18"/>
          <w:color w:val="auto"/>
        </w:rPr>
        <w:t>We entered into a commercial supply agreement with ARx, LLC (“ARx”) pursuant to which ARx has agreed to exclusively manufacture and supply us with all of our worldwide demand of film formulation of Dex to be used for the commercial supply of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for ongoing clinical trials of our product candidate BXCL501, subject to certain alternative supply provisions. If ARx is unable or ceases to produce our supply of Dex in sufficient quantities as and when needed or if the ARx agreement becomes too costly, our business would be harmed because there can be no assurance that we will be able to identify or enter into agreements with alternative suppliers on a timely basis on acceptable terms, if at all. An interruption in our ability to sell our products to customers could occur if we encounter delays or difficulties in securing Dex, or if the quantity or quality supplied does not meet our specifications, or if we cannot then obtain an acceptable substitute. If any of these events occur, our business and operating results could be harmed. Our specified minimum annual payment could adversely affect our cash flows in the future, such as in times when we have sufficient inventory and would otherwise be able to use our cash for other purposes.</w:t>
      </w:r>
    </w:p>
    <w:p>
      <w:pPr>
        <w:spacing w:after="0" w:line="176"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The manufacture of biotechnology and pharmaceutical products is complex and requires significant expertise, capital investment, process controls and know-how. Common difficulties in biotechnology and pharmaceutical manufacturing may include: sourcing and producing raw materials, transferring technology from chemistry and development activities to production activities, validating initial production designs, scaling manufacturing techniques, improving costs and yields, establishing and maintaining quality controls and stability requirements, eliminating contaminations and operator errors, and maintaining compliance with regulatory requirements. We do not currently have nor do we plan to acquire the infrastructure or capability internally to produce an adequate supply of compounds to meet future requirements for clinical trials and commercialization of our products or to produce our products in accordance with cGMP prescribed by the FDA or similar foreign requirements. Drug manufacturing facilities are subject to inspection before the FDA or foreign regulatory authorities will issue an approval to market a new drug product, and ARx, the Patheon pharma services division of Thermo Fisher Scientific Inc., and any other manufacturers that we may use must adhere to the cGMP or similar foreign regulations prescribed by the FDA or foreign regulatory authorities.</w:t>
      </w:r>
    </w:p>
    <w:p>
      <w:pPr>
        <w:spacing w:after="0" w:line="149"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As such, these third-party manufacturers will be required to comply with cGMPs, and other applicable laws and regulations. We have no control over the ability of these third parties to comply with these requirements, or to maintain adequate quality control, quality assurance and qualified personnel. If the FDA or any other applicable regulatory authorities do not approve the facilities of these third parties for the manufacture of our other product candidates or any products that we may successfully develop, or if it withdraws any such approval,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Any of these factors would significantly impact our ability to develop, obtain regulatory approval for or market our product candidates and adversely affect our business.</w:t>
      </w:r>
    </w:p>
    <w:p>
      <w:pPr>
        <w:spacing w:after="0" w:line="148" w:lineRule="exact"/>
        <w:rPr>
          <w:sz w:val="20"/>
          <w:szCs w:val="20"/>
          <w:color w:val="auto"/>
        </w:rPr>
      </w:pPr>
    </w:p>
    <w:p>
      <w:pPr>
        <w:ind w:left="60" w:right="359" w:firstLine="324"/>
        <w:spacing w:after="0" w:line="256" w:lineRule="auto"/>
        <w:rPr>
          <w:sz w:val="20"/>
          <w:szCs w:val="20"/>
          <w:color w:val="auto"/>
        </w:rPr>
      </w:pPr>
      <w:r>
        <w:rPr>
          <w:rFonts w:ascii="Times New Roman" w:cs="Times New Roman" w:eastAsia="Times New Roman" w:hAnsi="Times New Roman"/>
          <w:sz w:val="18"/>
          <w:szCs w:val="18"/>
          <w:color w:val="auto"/>
        </w:rPr>
        <w:t>We, ARx, the Patheon pharma services division of Thermo Fisher Scientific Inc., and/or our other third-party manufacturers may be adversely affected by developments outside of our control, and these developments may delay or prevent further manufacturing of our products. Adverse developments may include labor disputes, resource constraints, shipment delays, inventory shortages, lot failures, unexpected sources of contamination, lawsuits related to our manufacturing techniques, equipment used during manufacturing, or composition of matter, unstable political environments, acts of terrorism, war, natural disasters, and other natural and man-made disasters. If we, ARx,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Patheon pharma services division of Thermo Fisher Scientific Inc., or our other third-party manufacturers were to encounter any of the above difficulties, or otherwise fail to comply with contractual obligations, our ability to provide any product for clinical trial or commercial purposes would be jeopardized. This may increase the costs associated with completing our clinical trials and commercial production. Further, production disruptions may cause us to terminate ongoing clinical trials and/or commence new clinical trials at additional expense. We may also have to take inventory write-offs and incur other charges and expenses for products that fail to meet specifications or pass safety inspections. Moreover, as a result of the COVID-19 pandemic, third-party manufacturers have been and may in the future be affected, which could disrupt their activities and, as a result, we could face difficulty sourcing key components necessary to produce supply of our commercial product and product candidates, which may negatively affect our preclinical and clinical development activities. If production difficulties cannot be solved with acceptable costs, expenses, and timeframes, we may be forced to abandon our clinical development and commercialization plans, which could have a material adverse effect on our business, prospects, financial condition, and the value of our securities.</w:t>
      </w:r>
    </w:p>
    <w:p>
      <w:pPr>
        <w:spacing w:after="0" w:line="159" w:lineRule="exact"/>
        <w:rPr>
          <w:sz w:val="20"/>
          <w:szCs w:val="20"/>
          <w:color w:val="auto"/>
        </w:rPr>
      </w:pPr>
    </w:p>
    <w:p>
      <w:pPr>
        <w:ind w:left="60" w:right="2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or third-party manufacturers on whom we rely, including ARx, may be unable to successfully scale-up manufacturing of our product and product candidates in sufficient quality and quantity, which would delay or prevent us from developing our product candidates and commercializing any approved products.</w:t>
      </w:r>
    </w:p>
    <w:p>
      <w:pPr>
        <w:spacing w:after="0" w:line="134" w:lineRule="exact"/>
        <w:rPr>
          <w:sz w:val="20"/>
          <w:szCs w:val="20"/>
          <w:color w:val="auto"/>
        </w:rPr>
      </w:pPr>
    </w:p>
    <w:p>
      <w:pPr>
        <w:ind w:left="60" w:right="239" w:firstLine="324"/>
        <w:spacing w:after="0" w:line="253" w:lineRule="auto"/>
        <w:rPr>
          <w:sz w:val="20"/>
          <w:szCs w:val="20"/>
          <w:color w:val="auto"/>
        </w:rPr>
      </w:pPr>
      <w:r>
        <w:rPr>
          <w:rFonts w:ascii="Times New Roman" w:cs="Times New Roman" w:eastAsia="Times New Roman" w:hAnsi="Times New Roman"/>
          <w:sz w:val="18"/>
          <w:szCs w:val="18"/>
          <w:color w:val="auto"/>
        </w:rPr>
        <w:t>In order to conduct clinical trials of our product candidates and commercialize any approved product candidates, we, or our manufacturers, including ARx, and the Patheon pharma services division of Thermo Fisher Scientific Inc., will need to manufacture them in large quantities. We, or our manufacturers, may be unable to successfully increase the manufacturing capacity for any of our approved products or product candidates in a timely or cost-effective manner, or at all. In addition, quality issues may arise during scale-up activities. If we, or any of our manufacturers, are unable to successfully scale up the manufacture of our approved products or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 If we are unable to obtain or maintain third-party manufacturing for commercial supply of our approved products, or to do so on commercially reasonable terms, we may not be able to develop and commercialize our approved products or product candidates successfully.</w:t>
      </w:r>
    </w:p>
    <w:p>
      <w:pPr>
        <w:spacing w:after="0" w:line="147" w:lineRule="exact"/>
        <w:rPr>
          <w:sz w:val="20"/>
          <w:szCs w:val="20"/>
          <w:color w:val="auto"/>
        </w:rPr>
      </w:pPr>
    </w:p>
    <w:p>
      <w:pPr>
        <w:ind w:left="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find third-party collaborators to assist or share in the costs of product development could materially harm our business, financial condition, and results of operations.</w:t>
      </w:r>
    </w:p>
    <w:p>
      <w:pPr>
        <w:spacing w:after="0" w:line="132" w:lineRule="exact"/>
        <w:rPr>
          <w:sz w:val="20"/>
          <w:szCs w:val="20"/>
          <w:color w:val="auto"/>
        </w:rPr>
      </w:pPr>
    </w:p>
    <w:p>
      <w:pPr>
        <w:ind w:left="60" w:right="299" w:firstLine="324"/>
        <w:spacing w:after="0" w:line="258" w:lineRule="auto"/>
        <w:rPr>
          <w:sz w:val="20"/>
          <w:szCs w:val="20"/>
          <w:color w:val="auto"/>
        </w:rPr>
      </w:pPr>
      <w:r>
        <w:rPr>
          <w:rFonts w:ascii="Times New Roman" w:cs="Times New Roman" w:eastAsia="Times New Roman" w:hAnsi="Times New Roman"/>
          <w:sz w:val="18"/>
          <w:szCs w:val="18"/>
          <w:color w:val="auto"/>
        </w:rPr>
        <w:t>Our strategy for the development and commercialization of our proprietary products and product candidates may include the formation of collaborative arrangements with third parties. Collaborators have significant discretion in determining the efforts and resources they apply and may not perform their obligations as expected. Potential third-party collaborators include biopharmaceutical, pharmaceutical and biotechnology companies, academic institutions and other entities. Third-party collaborators may assist us in:</w:t>
      </w:r>
    </w:p>
    <w:p>
      <w:pPr>
        <w:spacing w:after="0" w:line="143" w:lineRule="exact"/>
        <w:rPr>
          <w:sz w:val="20"/>
          <w:szCs w:val="20"/>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research, preclinical development, clinical trials and manufacturing;</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and obtaining regulatory approvals; and</w:t>
      </w:r>
    </w:p>
    <w:p>
      <w:pPr>
        <w:spacing w:after="0" w:line="19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commercializing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or product candidates.</w:t>
      </w:r>
    </w:p>
    <w:p>
      <w:pPr>
        <w:spacing w:after="0" w:line="100" w:lineRule="exact"/>
        <w:rPr>
          <w:sz w:val="20"/>
          <w:szCs w:val="20"/>
          <w:color w:val="auto"/>
        </w:rPr>
      </w:pPr>
    </w:p>
    <w:p>
      <w:pPr>
        <w:jc w:val="both"/>
        <w:ind w:left="60" w:right="319" w:firstLine="324"/>
        <w:spacing w:after="0" w:line="281" w:lineRule="auto"/>
        <w:rPr>
          <w:sz w:val="20"/>
          <w:szCs w:val="20"/>
          <w:color w:val="auto"/>
        </w:rPr>
      </w:pPr>
      <w:r>
        <w:rPr>
          <w:rFonts w:ascii="Times New Roman" w:cs="Times New Roman" w:eastAsia="Times New Roman" w:hAnsi="Times New Roman"/>
          <w:sz w:val="17"/>
          <w:szCs w:val="17"/>
          <w:color w:val="auto"/>
        </w:rPr>
        <w:t>If we are not able to establish collaboration agreements, we may be required to undertake product development and commercialization at our own expense. Such an undertaking may limit the number of product candidates that we will be able to develop, significantly increase our capital requirements and place additional strain on our internal resources. Our failure to enter into collaborations could materially harm our business, financial condition and results of operations.</w:t>
      </w:r>
    </w:p>
    <w:p>
      <w:pPr>
        <w:spacing w:after="0" w:line="124"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In addition, our dependence on licensing, collaboration and other agreements with third parties may subject us to a number of risks. These agreements may not be on terms that prove favorable to us and may require us to relinquish certain rights in our product candidates. To the extent we agree to work exclusively with one collaborator in a given area, our opportunities to collaborate with other entities could be curtailed. Lengthy negotiations with potential new collaborators may lead to delays in the research, development or commercialization of product candidates. The decision by our collaborators to pursue alternative technologies or the failure of our collaborators to develop or commercialize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99"/>
        <w:spacing w:after="0" w:line="282" w:lineRule="auto"/>
        <w:rPr>
          <w:sz w:val="20"/>
          <w:szCs w:val="20"/>
          <w:color w:val="auto"/>
        </w:rPr>
      </w:pPr>
      <w:r>
        <w:rPr>
          <w:rFonts w:ascii="Times New Roman" w:cs="Times New Roman" w:eastAsia="Times New Roman" w:hAnsi="Times New Roman"/>
          <w:sz w:val="18"/>
          <w:szCs w:val="18"/>
          <w:color w:val="auto"/>
        </w:rPr>
        <w:t>successfully any product candidate to which they have obtained rights from us could materially harm our business, financial condition and results of operations.</w:t>
      </w:r>
    </w:p>
    <w:p>
      <w:pPr>
        <w:spacing w:after="0" w:line="131"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preclinical and clinical trials. If these third parties do not successfully perform their contractual legal and regulatory duties or meet expected deadlines, we may not be able to obtain regulatory approval for or commercialize our product candidates and our business could be substantially harmed.</w:t>
      </w:r>
    </w:p>
    <w:p>
      <w:pPr>
        <w:spacing w:after="0" w:line="134" w:lineRule="exact"/>
        <w:rPr>
          <w:sz w:val="20"/>
          <w:szCs w:val="20"/>
          <w:color w:val="auto"/>
        </w:rPr>
      </w:pPr>
    </w:p>
    <w:p>
      <w:pPr>
        <w:jc w:val="both"/>
        <w:ind w:left="60" w:right="139" w:firstLine="324"/>
        <w:spacing w:after="0" w:line="272" w:lineRule="auto"/>
        <w:rPr>
          <w:sz w:val="20"/>
          <w:szCs w:val="20"/>
          <w:color w:val="auto"/>
        </w:rPr>
      </w:pPr>
      <w:r>
        <w:rPr>
          <w:rFonts w:ascii="Times New Roman" w:cs="Times New Roman" w:eastAsia="Times New Roman" w:hAnsi="Times New Roman"/>
          <w:sz w:val="17"/>
          <w:szCs w:val="17"/>
          <w:color w:val="auto"/>
        </w:rPr>
        <w:t>We have relied upon and plan to continue to rely upon third-party medical institutions, clinical investigators, contract laboratories and other third-party CROs to monitor and manage data for our ongoing preclinical and clinical programs. We rely on these parties for execution of our preclinical and clinical trials, and control only certain aspects of their activities.</w:t>
      </w:r>
    </w:p>
    <w:p>
      <w:pPr>
        <w:spacing w:after="0" w:line="2"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Nevertheless, we are responsible for ensuring that each of our studies is conducted in accordance with the applicable protocol, legal, regulatory and scientific standards, and our reliance on the CROs does not relieve us of our regulatory responsibilities. We and our CROs are required to comply with GCPs, which are regulations and guidelines enforced by the FDA, the competent authorities of the European Economic Area (“EEA”) countries and comparable foreign regulatory authorities for all of our products in clinical development.</w:t>
      </w:r>
    </w:p>
    <w:p>
      <w:pPr>
        <w:spacing w:after="0" w:line="146"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Regulatory authorities enforce these GCPs through periodic inspections of trial sponsors, principal investigators and trial sites. If regulatory authorities determine that we or any of our CROs failed to comply with applicable GCPs, the clinical data generated in our clinical trials may be deemed unreliable and the FDA, the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and similar foreign regulations. Any failure, whether by us or our CROs, to comply with these regulations may require us to repeat clinical trials, which would delay the regulatory approval process.</w:t>
      </w:r>
    </w:p>
    <w:p>
      <w:pPr>
        <w:spacing w:after="0" w:line="165" w:lineRule="exact"/>
        <w:rPr>
          <w:sz w:val="20"/>
          <w:szCs w:val="20"/>
          <w:color w:val="auto"/>
        </w:rPr>
      </w:pPr>
    </w:p>
    <w:p>
      <w:pPr>
        <w:ind w:left="60" w:right="239" w:firstLine="324"/>
        <w:spacing w:after="0" w:line="268" w:lineRule="auto"/>
        <w:rPr>
          <w:sz w:val="20"/>
          <w:szCs w:val="20"/>
          <w:color w:val="auto"/>
        </w:rPr>
      </w:pPr>
      <w:r>
        <w:rPr>
          <w:rFonts w:ascii="Times New Roman" w:cs="Times New Roman" w:eastAsia="Times New Roman" w:hAnsi="Times New Roman"/>
          <w:sz w:val="17"/>
          <w:szCs w:val="17"/>
          <w:color w:val="auto"/>
        </w:rPr>
        <w:t>In addition, if any of our relationships with our third-party CROs terminate, we may not be able to enter into arrangements with alternative CROs or to do so on commercially reasonable terms. In addition, our CROs are not our employees, and except for remedies available to us under our agreements with such CROs, we cannot control whether they devote sufficient time and resources to our on-going clinical, nonclinical and preclinical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For example, investigator misconduct during our TRANQUILITY II trial evaluating BXCL501 in patients with probable Alzheimer’s disease could require us to conduct additional clinical trials before we are able to seek or obtain approval for BXCL501 for use in this patient population, as described more fully in the risk factor above entitled: “</w:t>
      </w:r>
      <w:r>
        <w:rPr>
          <w:rFonts w:ascii="Times New Roman" w:cs="Times New Roman" w:eastAsia="Times New Roman" w:hAnsi="Times New Roman"/>
          <w:sz w:val="17"/>
          <w:szCs w:val="17"/>
          <w:i w:val="1"/>
          <w:iCs w:val="1"/>
          <w:color w:val="auto"/>
        </w:rPr>
        <w:t>Developments relating to 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TRANQUILITY II Phase 3 trial may impact the timing of our development plans for, and prospects for seeking or obtaining regulatory approval of, BXCL501 for the acute treatment of agitation (non-daily) associated with dementia in patients with probable Alzheimer’s disease</w:t>
      </w:r>
      <w:r>
        <w:rPr>
          <w:rFonts w:ascii="Times New Roman" w:cs="Times New Roman" w:eastAsia="Times New Roman" w:hAnsi="Times New Roman"/>
          <w:sz w:val="17"/>
          <w:szCs w:val="17"/>
          <w:color w:val="auto"/>
        </w:rPr>
        <w:t>.” As a result, our results of operations and the commercial prospects for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product candidates would be harmed, our costs could increase and our ability to generate revenues could be delayed.</w:t>
      </w:r>
    </w:p>
    <w:p>
      <w:pPr>
        <w:spacing w:after="0" w:line="141"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Many of the third parties with whom we contract may also have relationships with other commercial entities, including our competitors, for whom they may also be conducting clinical trials or other drug development activities that could harm our competitive position. If the third parties conducting our GCP preclinical studies or our clinical trials do not perform their contractual duties or obligations, experience work stoppages, do not meet expected deadlines, terminate their agreements with us or need to be replaced, or if the quality or accuracy of the clinical data they obtain is compromised due to their failure to adhere to our clinical trial protocols or to GCPs, or for any other reason, we may need to enter into new arrangements with alternative third parties. Switching or adding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98"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Pandemics, epidemics or outbreaks of an infectious disease, such as COVID-19, may materially and adversely impact our business, including our preclinical studies and clinical trials.</w:t>
      </w:r>
    </w:p>
    <w:p>
      <w:pPr>
        <w:spacing w:after="0" w:line="118" w:lineRule="exact"/>
        <w:rPr>
          <w:sz w:val="20"/>
          <w:szCs w:val="20"/>
          <w:color w:val="auto"/>
        </w:rPr>
      </w:pPr>
    </w:p>
    <w:p>
      <w:pPr>
        <w:ind w:left="60" w:right="519" w:firstLine="324"/>
        <w:spacing w:after="0" w:line="266" w:lineRule="auto"/>
        <w:rPr>
          <w:sz w:val="20"/>
          <w:szCs w:val="20"/>
          <w:color w:val="auto"/>
        </w:rPr>
      </w:pPr>
      <w:r>
        <w:rPr>
          <w:rFonts w:ascii="Times New Roman" w:cs="Times New Roman" w:eastAsia="Times New Roman" w:hAnsi="Times New Roman"/>
          <w:sz w:val="18"/>
          <w:szCs w:val="18"/>
          <w:color w:val="auto"/>
        </w:rPr>
        <w:t>As a result of outbreaks from variants of COVID-19, or other pandemics, epidemics or outbreaks of infectious disease, we may experience disruptions that could severely impact our business, preclinical studies and clinical trials, including:</w:t>
      </w:r>
    </w:p>
    <w:p>
      <w:pPr>
        <w:spacing w:after="0" w:line="135" w:lineRule="exact"/>
        <w:rPr>
          <w:sz w:val="20"/>
          <w:szCs w:val="20"/>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initiating, operating and completing our clinical trials;</w:t>
      </w:r>
    </w:p>
    <w:p>
      <w:pPr>
        <w:spacing w:after="0" w:line="198" w:lineRule="exact"/>
        <w:rPr>
          <w:rFonts w:ascii="Times New Roman" w:cs="Times New Roman" w:eastAsia="Times New Roman" w:hAnsi="Times New Roman"/>
          <w:sz w:val="18"/>
          <w:szCs w:val="18"/>
          <w:color w:val="auto"/>
        </w:rPr>
      </w:pPr>
    </w:p>
    <w:p>
      <w:pPr>
        <w:ind w:left="720" w:right="299" w:hanging="319"/>
        <w:spacing w:after="0" w:line="266"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data monitoring, due to limitations on travel imposed or recommended by governments, employers and others or interruption of clinical trial subject visits and study procedures, which may impact the integrity of subject data and clinical study endpoints;</w:t>
      </w:r>
    </w:p>
    <w:p>
      <w:pPr>
        <w:spacing w:after="0" w:line="135"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or other regulatory authorities, which may impact review and approval timelines;</w:t>
      </w:r>
    </w:p>
    <w:p>
      <w:pPr>
        <w:spacing w:after="0" w:line="121" w:lineRule="exact"/>
        <w:rPr>
          <w:rFonts w:ascii="Times New Roman" w:cs="Times New Roman" w:eastAsia="Times New Roman" w:hAnsi="Times New Roman"/>
          <w:sz w:val="18"/>
          <w:szCs w:val="18"/>
          <w:color w:val="auto"/>
        </w:rPr>
      </w:pPr>
    </w:p>
    <w:p>
      <w:pPr>
        <w:ind w:left="720" w:right="219" w:hanging="319"/>
        <w:spacing w:after="0" w:line="266"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delays in receiving, supplies of our product candidates from our contract manufacturing organizations due to staffing shortages, production slowdowns or stoppages and disruptions in delivery systems; and</w:t>
      </w:r>
    </w:p>
    <w:p>
      <w:pPr>
        <w:spacing w:after="0" w:line="14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interruptions or delays to our sourced discovery and clinical activities.</w:t>
      </w:r>
    </w:p>
    <w:p>
      <w:pPr>
        <w:spacing w:after="0" w:line="185"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If we or any of the third parties with whom we engage were to experience shutdowns or other business disruptions from COVID-19 or other pandemics, epidemics or outbreaks of infectious disease, our ability to conduct our business in the manner and on the timelines presently planned could be materially and negatively impacted.</w:t>
      </w:r>
    </w:p>
    <w:p>
      <w:pPr>
        <w:spacing w:after="0" w:line="131" w:lineRule="exact"/>
        <w:rPr>
          <w:sz w:val="20"/>
          <w:szCs w:val="20"/>
          <w:color w:val="auto"/>
        </w:rPr>
      </w:pPr>
    </w:p>
    <w:p>
      <w:pPr>
        <w:ind w:left="60" w:right="579"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political or economic events and conditions could adversely affect our business, financial condition or results of operations.</w:t>
      </w:r>
    </w:p>
    <w:p>
      <w:pPr>
        <w:spacing w:after="0" w:line="132"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world, and their impact on the global economy and in the global financial markets. The global economy, including credit and financial markets, has recently experienced extreme volatility and disruptions, including severely diminished liquidity and credit availability, rising interest and inflation rates, declines in consumer confidence, declines in economic growth, increases in unemployment rates and uncertainty about economic stability. A severe or prolonged economic downturn or recession and a continued increase in inflation rates or interest rates could result in a variety of risks to our business, and our ability to raise additional capital when needed on acceptable terms, if at all. There can be no assurance that further deterioration in credit and financial markets and confidence in economic conditions will not occur. A weak or declining economy could also strain our suppliers, possibly resulting in supply disruption, or cause our customers to delay making payments for our services. Increased inflation rates and related increases in interest rates can adversely affect us by increasing our costs, including labor and employee benefit costs. In addition, events such as pandemics, epidemics, or outbreaks of an infectious disease may materially and adversely impact our business if we or any of the third parties with whom we engage were to experience shutdowns or other business disruptions. Furthermore, geopolitical conflicts and war, such as the current military conflict between Russia and Ukraine and the war between Israel and Hamas, could disrupt or otherwise adversely impact our operations and those of third parties upon which we rely. Related sanctions, export controls or other actions have and may in the future be initiated by nations including the U.S., the EU or Russia (e.g., potential cyberattacks, disruption of energy flows, etc.), which could adversely affect our business and/or our supply chain, our CROs, CMOs and other third parties with which we conduct business. Any of the foregoing could harm our business and we cannot anticipate all of the ways in which the current economic climate and financial market conditions could adversely impact our business.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may depend on our ability to attract and retain qualified personnel, including consultants.</w:t>
      </w:r>
    </w:p>
    <w:p>
      <w:pPr>
        <w:spacing w:after="0" w:line="189"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We are dependent on the principal members of our management and scientific teams. Our success and the execution of our operating strategy, to the extent we continue operations, depend largely on the continued service of our</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55" w:lineRule="auto"/>
        <w:rPr>
          <w:sz w:val="20"/>
          <w:szCs w:val="20"/>
          <w:color w:val="auto"/>
        </w:rPr>
      </w:pPr>
      <w:r>
        <w:rPr>
          <w:rFonts w:ascii="Times New Roman" w:cs="Times New Roman" w:eastAsia="Times New Roman" w:hAnsi="Times New Roman"/>
          <w:sz w:val="18"/>
          <w:szCs w:val="18"/>
          <w:color w:val="auto"/>
        </w:rPr>
        <w:t>employees. In addition to our employees, we have access to certain of BioXcel LLC’s employees and resources through the various agreements we have with BioXcel LLC. We have expanded our management team to include an operational ramp-up of additional technical staff required to achieve our business objectives. We will need to retain such employees, and may need to continue to expand our managerial, commercial, operational, technical, and scientific, financial, and other resources to manage our operations and clinical trials, continue our research and development activities, and any approved product candidates. Our management and scientific personnel, systems and facilities currently in place may not be adequate to support our future growth.</w:t>
      </w:r>
    </w:p>
    <w:p>
      <w:pPr>
        <w:spacing w:after="0" w:line="162"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We may utilize the services of third-party vendors to perform tasks including preclinical and clinical trial management, statistics and analysis, regulatory affairs, medical advisory, market research, formulation development, chemistry, manufacturing and control activities, other drug development functions, legal, auditing, financial advisory, and investor relations. Because we rely on numerous consultants to outsource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 or otherwise advance our business. There can be no assurance that we will be able to manage our existing consultants or find other competent outside contractors and consultants on economically reasonable terms, or at all. If we are not able to recruit and retain qualified personnel, we may be unable to successfully implement the tasks necessary to further develop and commercialize our product candidate and, accordingly, may not achieve our research, development and commercialization goals.</w:t>
      </w:r>
    </w:p>
    <w:p>
      <w:pPr>
        <w:spacing w:after="0" w:line="143"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the loss of one or more of our executive officers or key employees or an inability to attract and retain highly skilled employees could adversely affect our business.</w:t>
      </w:r>
    </w:p>
    <w:p>
      <w:pPr>
        <w:spacing w:after="0" w:line="118"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key executive officers, including Vimal Mehta, our Chief Executive Officer, President and a member of our Board, as well as the other principal members of our management, scientific, clinical teams and commercial readiness teams. We do not maintain “key person” insurance for any of these executive officers or any of our other key employees. We also rely on our leadership team in the areas of research and development, marketing, services and selling, general and administrative functions. From time to time, there may be changes in our executive management and leadership teams resulting from the hiring or departure of executives or other key employees, which could disrupt our business. The replacement of one or more of our executive officers or other key employees would likely involve significant time and costs and may significantly delay or prevent the achievement of our business objectives.</w:t>
      </w:r>
    </w:p>
    <w:p>
      <w:pPr>
        <w:spacing w:after="0" w:line="161"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To continue to execute our business strategy, we also must attract and retain highly skilled personnel. We might not be successful in maintaining our unique culture and continuing to attract and retain qualified personnel. We have, from time to time, had difficulty hiring and retaining highly skilled personnel with appropriate qualifications, including as a result of the Reprioritization and related consequences for our reputation. We may experience such difficulties in the future, and any further restructuring or related reduction in force could exacerbate such difficulties. The pool of qualified personnel with experience working within the biopharmaceutical and biotechnology market is limited overall. In addition, many of the companies with which we compete for experienced personnel have greater resources than we have.</w:t>
      </w:r>
    </w:p>
    <w:p>
      <w:pPr>
        <w:spacing w:after="0" w:line="148" w:lineRule="exact"/>
        <w:rPr>
          <w:sz w:val="20"/>
          <w:szCs w:val="20"/>
          <w:color w:val="auto"/>
        </w:rPr>
      </w:pPr>
    </w:p>
    <w:p>
      <w:pPr>
        <w:ind w:left="60" w:right="239" w:firstLine="324"/>
        <w:spacing w:after="0" w:line="254" w:lineRule="auto"/>
        <w:rPr>
          <w:sz w:val="20"/>
          <w:szCs w:val="20"/>
          <w:color w:val="auto"/>
        </w:rPr>
      </w:pPr>
      <w:r>
        <w:rPr>
          <w:rFonts w:ascii="Times New Roman" w:cs="Times New Roman" w:eastAsia="Times New Roman" w:hAnsi="Times New Roman"/>
          <w:sz w:val="18"/>
          <w:szCs w:val="18"/>
          <w:color w:val="auto"/>
        </w:rPr>
        <w:t>Furthermore, prior workforce reductions and any future similar cost-saving initiatives may make it difficult for us to maintain valuable aspects of our culture, retain institutional knowledge and expertise, to prevent a negative effect on employee morale or attrition beyond our planned reduction in headcount, and to attract competent personnel who are willing to embrace our culture in the future. Our executive officers and other employees are at-will employees, which means they may terminate their employment relationship with us at any time, and their knowledge of our business and industry would be extremely difficult to replace. We may not be able to retain the services of any members of our senior management or other key employees. If we do not succeed in retaining and motivating existing employees or attracting well-qualified employees in the future, our business, financial condition and results of operations could be materially and adversely affected.</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In addition, in making employment decisions, particularly in the biotechnology and high-technology industries, job candidates often consider the value of the stock options or other equity instruments they are to receive in connection with their employment. Volatility in the price of our stock might, therefore, adversely affect our ability to attract or retain highly skilled personnel. Furthermore, the requirement to expense the fair value of stock options and other equity instruments might discourage us from granting the size or type of stock option or equity awards that job candidates require to join our Company. If we fail to attract new personnel or fail to retain and motivate our current personnel, our business and future growth prospects could be severely harmed.</w:t>
      </w:r>
    </w:p>
    <w:p>
      <w:pPr>
        <w:spacing w:after="0" w:line="158"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technologies, which could divert our management’s attention, result in dilution to our stockholders and otherwise disrupt our operations and adversely affect our operating results.</w:t>
      </w:r>
    </w:p>
    <w:p>
      <w:pPr>
        <w:spacing w:after="0" w:line="118"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We may in the future seek to acquire or invest in businesses, applications and services or technologies that we believe could complement or expand our services,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w:t>
      </w:r>
    </w:p>
    <w:p>
      <w:pPr>
        <w:spacing w:after="0" w:line="139"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In addition, we do not have any experience in acquiring other businesses.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53" w:lineRule="exact"/>
        <w:rPr>
          <w:sz w:val="20"/>
          <w:szCs w:val="20"/>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integrate or benefit from acquired technologies or services in a profitable manner;</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or liabilities associated with the acquisition;</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integrating the accounting systems, operations and personnel of the acquired business;</w:t>
      </w:r>
    </w:p>
    <w:p>
      <w:pPr>
        <w:spacing w:after="0" w:line="198"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additional expenses associated with supporting legacy products and hosting infrastructure of the acquired business;</w:t>
      </w:r>
    </w:p>
    <w:p>
      <w:pPr>
        <w:spacing w:after="0" w:line="121" w:lineRule="exact"/>
        <w:rPr>
          <w:rFonts w:ascii="Times New Roman" w:cs="Times New Roman" w:eastAsia="Times New Roman" w:hAnsi="Times New Roman"/>
          <w:sz w:val="18"/>
          <w:szCs w:val="18"/>
          <w:color w:val="auto"/>
        </w:rPr>
      </w:pPr>
    </w:p>
    <w:p>
      <w:pPr>
        <w:ind w:left="720" w:right="539" w:hanging="319"/>
        <w:spacing w:after="0" w:line="312" w:lineRule="auto"/>
        <w:tabs>
          <w:tab w:leader="none" w:pos="7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converting the customers of the acquired business onto our platform and contract terms, including disparities in the revenue, licensing, support or professional services model of the acquired company;</w:t>
      </w:r>
    </w:p>
    <w:p>
      <w:pPr>
        <w:spacing w:after="0" w:line="99" w:lineRule="exact"/>
        <w:rPr>
          <w:rFonts w:ascii="Times New Roman" w:cs="Times New Roman" w:eastAsia="Times New Roman" w:hAnsi="Times New Roman"/>
          <w:sz w:val="17"/>
          <w:szCs w:val="17"/>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198"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our existing business relationships with business partners and customers as a result of the acquisition;</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parts of our business; and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substantial portions of our available cash to consummate the acquisition.</w:t>
      </w:r>
    </w:p>
    <w:p>
      <w:pPr>
        <w:spacing w:after="0" w:line="185" w:lineRule="exact"/>
        <w:rPr>
          <w:sz w:val="20"/>
          <w:szCs w:val="20"/>
          <w:color w:val="auto"/>
        </w:rPr>
      </w:pPr>
    </w:p>
    <w:p>
      <w:pPr>
        <w:ind w:left="60" w:right="639" w:firstLine="324"/>
        <w:spacing w:after="0" w:line="261"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39" w:lineRule="exact"/>
        <w:rPr>
          <w:sz w:val="20"/>
          <w:szCs w:val="20"/>
          <w:color w:val="auto"/>
        </w:rPr>
      </w:pPr>
    </w:p>
    <w:p>
      <w:pPr>
        <w:ind w:left="60" w:right="479" w:firstLine="324"/>
        <w:spacing w:after="0" w:line="266" w:lineRule="auto"/>
        <w:rPr>
          <w:sz w:val="20"/>
          <w:szCs w:val="20"/>
          <w:color w:val="auto"/>
        </w:rPr>
      </w:pPr>
      <w:r>
        <w:rPr>
          <w:rFonts w:ascii="Times New Roman" w:cs="Times New Roman" w:eastAsia="Times New Roman" w:hAnsi="Times New Roman"/>
          <w:sz w:val="18"/>
          <w:szCs w:val="18"/>
          <w:color w:val="auto"/>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132"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could include intentional failures to comply with any regulations applicable to us, to provide accurate information to regulatory authorities, to comply with manufacturing standards we have established, to comply with federal and state health care fraud and abuse laws and regulations, or to report financial information or data accurately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during clinical trials, which could result in regulatory sanctions and serious harm to our reputation. We have adopted a Code of Business Conduct and Ethics, but it is not always possible to identify and deter employee misconduct, and the precautions we take to detect and prevent this activity may not be effective in controlling unknown or unmanaged risk.</w:t>
      </w:r>
    </w:p>
    <w:p>
      <w:pPr>
        <w:spacing w:after="0" w:line="145"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interruptions could adversely affect future operations, revenues, and financial conditions, and may increase our costs and expenses.</w:t>
      </w:r>
    </w:p>
    <w:p>
      <w:pPr>
        <w:spacing w:after="0" w:line="118"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Our operations, and those of our directors, advisors, contractors, consultants, CROs, and collaborators, could be adversely affected by earthquakes, floods, hurricanes, typhoons, extreme weather conditions, fires, water shortages, power failures, business systems failures, medical epidemics, and other natural and man-made disaster or business interruptions. Our phones, electronic devices and computer systems and those of our directors, advisors, contractors, consultants, CROs, and collaborators are vulnerable to damages, theft and accidental loss, negligence, unauthorized access, terrorism, war, electronic and telecommunications failures, and other natural and man- made disasters. Several of our employees conduct business outside of our headquarters and leased or owned facilities. These locations may be subject to additional security and other risk factors due to the limited control of our employees. If such an event as described above were to occur in the future, it may cause interruptions in our operations, delay research and development programs, clinical trials, regulatory activities, manufacturing and quality assurance activities, sales and marketing activities, hiring, training of employees and persons within associated third parties, and other business activities. For example, the loss of clinical trial data from completed or future clinical trials could result in delays in our regulatory approval efforts and significantly increase our costs to recover or reproduce the data.</w:t>
      </w:r>
    </w:p>
    <w:p>
      <w:pPr>
        <w:spacing w:after="0" w:line="153" w:lineRule="exact"/>
        <w:rPr>
          <w:sz w:val="20"/>
          <w:szCs w:val="20"/>
          <w:color w:val="auto"/>
        </w:rPr>
      </w:pPr>
    </w:p>
    <w:p>
      <w:pPr>
        <w:ind w:left="60" w:right="159" w:firstLine="324"/>
        <w:spacing w:after="0" w:line="237" w:lineRule="auto"/>
        <w:rPr>
          <w:sz w:val="20"/>
          <w:szCs w:val="20"/>
          <w:color w:val="auto"/>
        </w:rPr>
      </w:pPr>
      <w:r>
        <w:rPr>
          <w:rFonts w:ascii="Times New Roman" w:cs="Times New Roman" w:eastAsia="Times New Roman" w:hAnsi="Times New Roman"/>
          <w:sz w:val="18"/>
          <w:szCs w:val="18"/>
          <w:color w:val="auto"/>
        </w:rPr>
        <w:t>Likewise, we will rely on third parties, including ARx, to manufacture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our product candidates and to conduct clinical trials, and similar events as those described in the prior paragraph relating to their business systems, equipment and facilities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 could be delayed or altogether terminated.</w:t>
      </w:r>
    </w:p>
    <w:p>
      <w:pPr>
        <w:spacing w:after="0" w:line="158" w:lineRule="exact"/>
        <w:rPr>
          <w:sz w:val="20"/>
          <w:szCs w:val="20"/>
          <w:color w:val="auto"/>
        </w:rPr>
      </w:pPr>
    </w:p>
    <w:p>
      <w:pPr>
        <w:jc w:val="both"/>
        <w:ind w:left="6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Data breaches or cyber-attacks could disrupt our business operations and information technology systems or those of third parties on which we rely, adversely impact our financial results, or result in the loss or exposure of confidential or sensitive product candidate, clinical trial, employee, or Company information.</w:t>
      </w:r>
    </w:p>
    <w:p>
      <w:pPr>
        <w:spacing w:after="0" w:line="134"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We collect and maintain information in digital form that is necessary to conduct our business, and we are increasingly dependent on information technology systems and infrastructure to operate our business, including our mobile and web-based applications, our e-commerce platform and our enterprise software. In the ordinary course of our business, we collect, store and transmit large amounts of confidential information, including intellectual property, proprietary business information, clinical trial data, and personal information (collectively, “Confidential Information”) of customers and our employees and contractors. It is critical that we do so in a secure manner to maintain the confidentiality and integrity of such Confidential Information.</w:t>
      </w:r>
    </w:p>
    <w:p>
      <w:pPr>
        <w:spacing w:after="0" w:line="162"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Our information technology systems and those of third parties on which we rely have been and may in the future be attacked or breached by individuals or organizations intending to obtain our Confidential Information; harm or disrupt our business operations; or otherwise misappropriate information or Company funds. A security compromise of our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56" w:lineRule="auto"/>
        <w:rPr>
          <w:sz w:val="20"/>
          <w:szCs w:val="20"/>
          <w:color w:val="auto"/>
        </w:rPr>
      </w:pPr>
      <w:r>
        <w:rPr>
          <w:rFonts w:ascii="Times New Roman" w:cs="Times New Roman" w:eastAsia="Times New Roman" w:hAnsi="Times New Roman"/>
          <w:sz w:val="18"/>
          <w:szCs w:val="18"/>
          <w:color w:val="auto"/>
        </w:rPr>
        <w:t>information technology systems or business operations, or those of third parties on which we rely, could occur through a variety of methods such as from cyber-attacks and cyber-intrusions over the Internet, misconfigurations, “bugs” or other vulnerabilities, malware, computer viruses, email spoofing, attachments to e-mails, persons inside or outside our organization or persons with access to systems inside our organization. The risk of such intrusions, threats to data and information technology systems and breaches has generally increased as the number, intensity and sophistication of attempted attacks and intrusions from around the world have increased.</w:t>
      </w:r>
    </w:p>
    <w:p>
      <w:pPr>
        <w:spacing w:after="0" w:line="160"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color w:val="auto"/>
        </w:rPr>
        <w:t>While we maintain some of our own critical information technology systems, we also depend on third parties to provide important information technology services relating to several key business functions. Our measures to prevent, detect and mitigate these threats, including password protection, firewalls, backup servers, threat monitoring and periodic penetration testing, may not be successful in preventing a data breach or limiting the effects of a breach.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154"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Furthermore, the security measures employed by third-party service providers may prove to be ineffective at preventing breaches of their systems. Any attack that results in disruptions to our operations, or the unauthorized release or loss of Confidential Information, could have a material adverse effect on our business reputation, increase our costs and expose us to material legal claims and liability (such as class actions) and result in regulatory investigations and enforcement actions, fines and penalties, negative reputational impacts that cause us to lose existing or future customers, and/or significant incident response, system restoration or remediation and future compliance costs. If the unauthorized release or loss of Confidential Information were to occur, our operations and financial results and our share price could be adversely affected. Although we maintain insurance for our business, the coverage under our policies may not be adequate to compensate us for all losses that may occur.</w:t>
      </w:r>
    </w:p>
    <w:p>
      <w:pPr>
        <w:spacing w:after="0" w:line="144" w:lineRule="exact"/>
        <w:rPr>
          <w:sz w:val="20"/>
          <w:szCs w:val="20"/>
          <w:color w:val="auto"/>
        </w:rPr>
      </w:pPr>
    </w:p>
    <w:p>
      <w:pPr>
        <w:ind w:left="60" w:right="3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0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Additionally, our use of AI and machine learning may be subject to laws and evolving regulations regarding the use of AI or machine learning, controlling for data bias, and anti-discrimination, and we may not always be able to anticipate how to respond to these laws or regulations. Further, there is an increase in litigation in a number of jurisdictions, including the United States, relating to the use of AI, particularly generative AI. New laws regulating AI are at an advanced stage of the legislative process in the EU, and it is possible that new laws and regulations will be adopted in the United States and in other non-U.S. jurisdictions, or that existing laws and regulations may be interpreted in ways that would affect the operation of our learning platforms, online testing business and data analytics and the way in which we use AI and machine learning technology.</w:t>
      </w:r>
    </w:p>
    <w:p>
      <w:pPr>
        <w:spacing w:after="0" w:line="151"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In Europe, on December 8, 2023, the European Union legislators reached a political agreement on the EU Artificial Intelligence Act (“EU AI Act”) which establishes a comprehensive, risk-based governance framework for AI in the EU market. The EU AI Act is expected to enter into force in 2024, and the majority of the substantive requirements will apply two years later. The EU AI Act will apply to companies that develop, use and/ or provide AI in the EU and includes requirements around transparency, conformity assessments and monitoring, risk assessments, human oversight, security, accuracy, general purpose AI and foundation models, and proposes fines for breach of up to 7% of worldwide annual turnover. In addition, on September 28, 2022, the European Commission proposed two Directives seeking to establish a harmonized civil liability regime for AI in the EU. Once fully applicable, this regulatory framework is expected to have a material impact on the way AI is regulated in the EU, and together with developing guidance and/ or decisions in this area, may affect our use of AI and our ability to provide, improve or commercialize our services, require additional compliance measures and changes to our operations and processes, result in increased compliance costs and potential increases in civil claims against us, and could adversely affect our business,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and financial condition.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167"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Most healthcare providers, including research institutions from which we obtain patient health information, are subject to privacy and security regulations promulgated under HIPAA. If we are determined to act as a covered entity or business associate under HIPAA and be directly regulated under HIPAA, any person acting on our behalf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w:t>
      </w:r>
    </w:p>
    <w:p>
      <w:pPr>
        <w:spacing w:after="0" w:line="154" w:lineRule="exact"/>
        <w:rPr>
          <w:sz w:val="20"/>
          <w:szCs w:val="20"/>
          <w:color w:val="auto"/>
        </w:rPr>
      </w:pPr>
    </w:p>
    <w:p>
      <w:pPr>
        <w:ind w:left="60" w:right="199" w:firstLine="324"/>
        <w:spacing w:after="0" w:line="269" w:lineRule="auto"/>
        <w:rPr>
          <w:sz w:val="20"/>
          <w:szCs w:val="20"/>
          <w:color w:val="auto"/>
        </w:rPr>
      </w:pPr>
      <w:r>
        <w:rPr>
          <w:rFonts w:ascii="Times New Roman" w:cs="Times New Roman" w:eastAsia="Times New Roman" w:hAnsi="Times New Roman"/>
          <w:sz w:val="17"/>
          <w:szCs w:val="17"/>
          <w:color w:val="auto"/>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as amended by the California Privacy Rights Act (collectively, the “CCPA”), requires covered businesses that process the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 out of certain disclosures of their personal information, and enter into specific contractual provisions with service providers that process California resident personal information on the business’s behalf. If we are subject to or affected by HIPAA, the CCPA, or other domestic privacy and data protection laws, any liability from failure to comply with the requirements of these laws could adversely affect our financial condition.</w:t>
      </w:r>
    </w:p>
    <w:p>
      <w:pPr>
        <w:spacing w:after="0" w:line="141"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In Europe, the General Data Protection Regulation (“GDPR”) went into effect in May 2018 and imposes strict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U.S., and the efficacy and longevity of current transfer mechanisms between the EEA, and the United States remains uncertain. On July 10, 2023, the European Commission adopted its Adequacy Decision in relation to the new EU-US Data Privacy Framework (“DPF”), rendering the DPF effective as a GDPR transfer mechanism to U.S. entities self-certified under the DPF.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firstLine="324"/>
        <w:spacing w:after="0" w:line="258" w:lineRule="auto"/>
        <w:rPr>
          <w:sz w:val="20"/>
          <w:szCs w:val="20"/>
          <w:color w:val="auto"/>
        </w:rPr>
      </w:pPr>
      <w:r>
        <w:rPr>
          <w:rFonts w:ascii="Times New Roman" w:cs="Times New Roman" w:eastAsia="Times New Roman" w:hAnsi="Times New Roman"/>
          <w:sz w:val="18"/>
          <w:szCs w:val="18"/>
          <w:color w:val="auto"/>
        </w:rPr>
        <w:t>Further, since January 1, 2021, companies have had to comply with the GDPR and also the UK GDPR, which, together with the amended UK Data Protection Act 2018, retains the GDPR in UK national law. The UK GDPR mirrors the fines under the GDPR (i.e., fines up to the greater of £17.5 million or 4% of global turnover). On October 12, 2023, the UK Extension to the DPF came into effect (as approved by the UK Government), as a data transfer mechanism from the UK to U.S. entities self-certified under the DPF.</w:t>
      </w:r>
    </w:p>
    <w:p>
      <w:pPr>
        <w:spacing w:after="0" w:line="156"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44"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of and evolving expectations for environmental, social and governance (“ESG”) initiatives may impose additional costs or otherwise adversely impact our business.</w:t>
      </w:r>
    </w:p>
    <w:p>
      <w:pPr>
        <w:spacing w:after="0" w:line="118"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There has been an increased focus from investors, capital providers, shareholder advocacy groups, other market participants, customers, and other stakeholder groups regarding companies’ ESG initiatives. While we may at times engage in voluntary initiatives (such as voluntary disclosures, certifications, or goals, among others) or commitments to improve the ESG profile of our Company and/or offerings, such initiatives or achievements of such commitments may be costly and may not have the desired effect. Additionally, some investors may use third-party or proprietary ESG ratings to guide their investment strategies and, in some cases, may choose not to invest in us if they believe our ESG practices are inadequate. The criteria by which companies’ ESG practices are assessed are evolving, which could result in greater expectations of us and cause us to undertake costly initiatives to satisfy such new criteria. Alternatively, if we elect not to or are unable to satisfy new criteria or do not meet the criteria, some investors may conclude that our policies with respect to ESG are inadequate and choose not to invest in us.</w:t>
      </w:r>
    </w:p>
    <w:p>
      <w:pPr>
        <w:spacing w:after="0" w:line="167"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If our ESG practices do not meet evolving investor or other stakeholder expectations and our standards, reputation, ability to attract or retain employees and desirability as an investment or business partner could be negatively impacted. Similarly, our failure or perceived failure to adequately pursue or fulfill any ESG goals and objectives or to satisfy various reporting standards, if any, could expose us to additional regulatory, social or other scrutiny, the imposition of unexpected costs, or damage to our reputation, which in turn could have a material adverse effect on our business and could cause the market value of our common stock to decline.</w:t>
      </w:r>
    </w:p>
    <w:p>
      <w:pPr>
        <w:spacing w:after="0" w:line="143"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successfully acquire, develop and market additional product candidates or approved drug products could impair our ability to grow.</w:t>
      </w:r>
    </w:p>
    <w:p>
      <w:pPr>
        <w:spacing w:after="0" w:line="118"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As part of our growth strategy, we may evaluate, acquire, license, develop and/or market third-party products or product candidates and technologies. Our internal research capabilities are limited and we may be dependent upon pharmaceutical and biotechnology companies, academic scientists and other researchers to sell or license products or technology to us. The success of this strategy depends partly upon our ability to identify, select and acquire promising pharmaceutical product candidates and products. The process of proposing, negotiating and implementing a license or acquisition of a product candidate or approved product is lengthy and complex. Other companies, including some with substantially greater financial, marketing and sales resources, may compete with us for the license or acquisition of product candidates and approved products.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future acquisitions may entail numerous operational and financial risks, including:</w:t>
      </w:r>
    </w:p>
    <w:p>
      <w:pPr>
        <w:spacing w:after="0" w:line="185" w:lineRule="exact"/>
        <w:rPr>
          <w:sz w:val="20"/>
          <w:szCs w:val="20"/>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459" w:hanging="319"/>
        <w:spacing w:after="0" w:line="282"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and technical personnel’s time and attention to develop acquired products or technologies;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securities to pay for acquisitions;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198"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and personnel of any acquired businesses with our operations and personnel;</w:t>
      </w:r>
    </w:p>
    <w:p>
      <w:pPr>
        <w:spacing w:after="0" w:line="121" w:lineRule="exact"/>
        <w:rPr>
          <w:rFonts w:ascii="Times New Roman" w:cs="Times New Roman" w:eastAsia="Times New Roman" w:hAnsi="Times New Roman"/>
          <w:sz w:val="18"/>
          <w:szCs w:val="18"/>
          <w:color w:val="auto"/>
        </w:rPr>
      </w:pPr>
    </w:p>
    <w:p>
      <w:pPr>
        <w:ind w:left="720" w:right="699" w:hanging="319"/>
        <w:spacing w:after="0" w:line="282"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any acquired businesses.</w:t>
      </w:r>
    </w:p>
    <w:p>
      <w:pPr>
        <w:spacing w:after="0" w:line="198" w:lineRule="exact"/>
        <w:rPr>
          <w:sz w:val="20"/>
          <w:szCs w:val="20"/>
          <w:color w:val="auto"/>
        </w:rPr>
      </w:pPr>
    </w:p>
    <w:p>
      <w:pPr>
        <w:ind w:left="60" w:right="439" w:firstLine="324"/>
        <w:spacing w:after="0" w:line="256" w:lineRule="auto"/>
        <w:rPr>
          <w:sz w:val="20"/>
          <w:szCs w:val="20"/>
          <w:color w:val="auto"/>
        </w:rPr>
      </w:pPr>
      <w:r>
        <w:rPr>
          <w:rFonts w:ascii="Times New Roman" w:cs="Times New Roman" w:eastAsia="Times New Roman" w:hAnsi="Times New Roman"/>
          <w:sz w:val="18"/>
          <w:szCs w:val="18"/>
          <w:color w:val="auto"/>
        </w:rPr>
        <w:t>Any product candidate that we acquire may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will not be shown to be sufficiently safe and effective for approval by regulatory authorities. In addition, we cannot provide assurance that any products that we develop or approved products that we acquire will be manufactured profitably or achieve market acceptance.</w:t>
      </w:r>
    </w:p>
    <w:p>
      <w:pPr>
        <w:spacing w:after="0" w:line="143"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tax credits to offset future taxable income and income tax liabilities may be limited.</w:t>
      </w:r>
    </w:p>
    <w:p>
      <w:pPr>
        <w:spacing w:after="0" w:line="118"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2023, the Company had federal net operating loss carryforwards (“NOLs”) of approximately $351.3 million and state NOLs of approximately $360.1 million. If not utilized, the federal and state NOLs, which are subject to expiration, will begin to expire in 2037. Federal NOLs generated in taxable years beginning after December 31, 2017 may be carried forward indefinitely but may only be used to offset 80% of our taxable income in future taxable years beginning after December 31, 2020. As of December 31, 2023, we also had approximately $14.3 million of federal orphan drug credits and research and development credits and $1.2 million of state research and development credits, which will begin to expire in 2037 if not utilized. The utilization of such NOLs and tax credits and realization of tax benefits in future years depends upon our having taxable income and income tax liabilities.</w:t>
      </w:r>
    </w:p>
    <w:p>
      <w:pPr>
        <w:spacing w:after="0" w:line="165"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In addition, in general, under Sections 382 and 383 of the Internal Revenue Code of 1986, as amended, a corporation that undergoes an “ownership change” is subject to limitations on its ability to utilize its pre-ownership change NOLs and tax credits to offset future taxable income or income tax liabilities. For these purposes, an ownership change generally occurs where the aggregate change in stock ownership, of one or more stockholders or groups of stockholders owning at least 5% of a corporation's stock, exceeds 50 percentage points over a rolling three-year period. We may have experienced ownership changes in the past, and future changes in our stock ownership, many of which are outside of our control, could result in ownership changes in the future. Our state NOLs or tax credits may also be impaired under state law. Accordingly, even if we attain profitability, we may not be able to utilize a material portion of our NOLs or tax credits. We have recorded a full valuation allowance related to our NOLs and other deferred tax assets due to the uncertainty of the ultimate realization of the future benefits of those assets.</w:t>
      </w:r>
    </w:p>
    <w:p>
      <w:pPr>
        <w:spacing w:after="0" w:line="1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85" w:lineRule="exact"/>
        <w:rPr>
          <w:sz w:val="20"/>
          <w:szCs w:val="20"/>
          <w:color w:val="auto"/>
        </w:rPr>
      </w:pPr>
    </w:p>
    <w:p>
      <w:pPr>
        <w:jc w:val="both"/>
        <w:ind w:left="60" w:right="5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It is difficult and costly to protect our proprietary rights, and we may not be able to ensure their protection. If our patent position does not adequately protect our product candidates, others could compete against us more directly, which would harm our business, possibly materially.</w:t>
      </w:r>
    </w:p>
    <w:p>
      <w:pPr>
        <w:spacing w:after="0" w:line="148" w:lineRule="exact"/>
        <w:rPr>
          <w:sz w:val="20"/>
          <w:szCs w:val="20"/>
          <w:color w:val="auto"/>
        </w:rPr>
      </w:pPr>
    </w:p>
    <w:p>
      <w:pPr>
        <w:ind w:left="60" w:right="419" w:firstLine="324"/>
        <w:spacing w:after="0" w:line="289" w:lineRule="auto"/>
        <w:rPr>
          <w:sz w:val="20"/>
          <w:szCs w:val="20"/>
          <w:color w:val="auto"/>
        </w:rPr>
      </w:pPr>
      <w:r>
        <w:rPr>
          <w:rFonts w:ascii="Times New Roman" w:cs="Times New Roman" w:eastAsia="Times New Roman" w:hAnsi="Times New Roman"/>
          <w:sz w:val="17"/>
          <w:szCs w:val="17"/>
          <w:color w:val="auto"/>
        </w:rPr>
        <w:t>Our commercial success will depend in part on obtaining, maintaining enforcing and defending our patents, trademarks, trade secrets and other intellectual property rights and proprietary technology for our current and future approved products and product candidates, the processes used to manufacture them and the methods for using them, as</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7" w:lineRule="auto"/>
        <w:rPr>
          <w:sz w:val="20"/>
          <w:szCs w:val="20"/>
          <w:color w:val="auto"/>
        </w:rPr>
      </w:pPr>
      <w:r>
        <w:rPr>
          <w:rFonts w:ascii="Times New Roman" w:cs="Times New Roman" w:eastAsia="Times New Roman" w:hAnsi="Times New Roman"/>
          <w:sz w:val="17"/>
          <w:szCs w:val="17"/>
          <w:color w:val="auto"/>
        </w:rPr>
        <w:t>well as successfully defending these patents against third-party challenges. We are the owner of record of certain patents and patent applications pending in the U.S. and in certain foreign jurisdictions. Patents issued from non-provisional applications, which are typically filed from provisional patent applications or from PCT applications that enter the national phase. Neither provisional patent applications nor PCT applications issue directly as patents. We own PCT patent applications relating to our platform technologies covering methods of use and applications of the platform technologies.</w:t>
      </w:r>
    </w:p>
    <w:p>
      <w:pPr>
        <w:spacing w:after="0" w:line="141"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We cannot be certain that any future patents will issue with claims that cover our product candidates. Our ability to stop third parties from making, using, selling, offering to sell or importing our product candidates is dependent upon the extent to which we have rights under valid and enforceable patents, trademarks, trade secrets and other intellectual property rights and proprietary technology that cover these activities.</w:t>
      </w:r>
    </w:p>
    <w:p>
      <w:pPr>
        <w:spacing w:after="0" w:line="139" w:lineRule="exact"/>
        <w:rPr>
          <w:sz w:val="20"/>
          <w:szCs w:val="20"/>
          <w:color w:val="auto"/>
        </w:rPr>
      </w:pPr>
    </w:p>
    <w:p>
      <w:pPr>
        <w:ind w:left="60" w:right="159" w:firstLine="324"/>
        <w:spacing w:after="0" w:line="269" w:lineRule="auto"/>
        <w:rPr>
          <w:sz w:val="20"/>
          <w:szCs w:val="20"/>
          <w:color w:val="auto"/>
        </w:rPr>
      </w:pPr>
      <w:r>
        <w:rPr>
          <w:rFonts w:ascii="Times New Roman" w:cs="Times New Roman" w:eastAsia="Times New Roman" w:hAnsi="Times New Roman"/>
          <w:sz w:val="17"/>
          <w:szCs w:val="17"/>
          <w:color w:val="auto"/>
        </w:rPr>
        <w:t>The patent positions of biotechnology and pharmaceutical companies can be highly uncertain and involve complex legal and factual questions that have been the subject of much litigation in recent years and for which important legal principles remain unresolved. Therefore, the scope of any patent claims that we have or may obtain cannot be predicted with certainty. No consistent policy regarding the breadth of claims allowed in pharmaceutical patents has emerged to date in the U.S. or in foreign jurisdictions outside of the U.S. Changes in either the patent laws or interpretations of patent laws in the U.S. and other countries may diminish the value of our intellectual property. Accordingly, we cannot predict which of our patent applications will issue, the breadth of claims that may be enforced in the patents that may be issued from the applications we currently, or may in the future, own or license from third parties,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and services. Further, if any patents we obtain or license are deemed invalid and unenforceable, our ability to commercialize or license our technology could be adversely affected.</w:t>
      </w:r>
    </w:p>
    <w:p>
      <w:pPr>
        <w:spacing w:after="0" w:line="138"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Others have filed, and in the future are likely to file, patent applications covering products and technologies that are similar, identical or competitive to ours or important to our business. We cannot be certain that any patent application owned by a third-party will not have priority over patent applications filed or in-licensed by us, or that we or our licensors will not be involved in interference, opposition, reexamination, review, reissue, post grant review or invalidity proceedings before U.S. or non-U.S. patent offices.</w:t>
      </w:r>
    </w:p>
    <w:p>
      <w:pPr>
        <w:spacing w:after="0" w:line="156" w:lineRule="exact"/>
        <w:rPr>
          <w:sz w:val="20"/>
          <w:szCs w:val="20"/>
          <w:color w:val="auto"/>
        </w:rPr>
      </w:pPr>
    </w:p>
    <w:p>
      <w:pPr>
        <w:ind w:left="60" w:right="159" w:firstLine="324"/>
        <w:spacing w:after="0" w:line="312" w:lineRule="auto"/>
        <w:rPr>
          <w:sz w:val="20"/>
          <w:szCs w:val="20"/>
          <w:color w:val="auto"/>
        </w:rPr>
      </w:pPr>
      <w:r>
        <w:rPr>
          <w:rFonts w:ascii="Times New Roman" w:cs="Times New Roman" w:eastAsia="Times New Roman" w:hAnsi="Times New Roman"/>
          <w:sz w:val="17"/>
          <w:szCs w:val="17"/>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99" w:lineRule="exact"/>
        <w:rPr>
          <w:sz w:val="20"/>
          <w:szCs w:val="20"/>
          <w:color w:val="auto"/>
        </w:rPr>
      </w:pPr>
    </w:p>
    <w:p>
      <w:pPr>
        <w:ind w:left="720" w:right="299" w:hanging="319"/>
        <w:spacing w:after="0" w:line="266"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independently develop, make and commercialize compounds that are similar to, or are alternatives or duplicates of any of our product candidates, but that are not covered by the claims of our patents or are not infringing, misappropriating, or otherwise violating our other intellectual property rights;</w:t>
      </w:r>
    </w:p>
    <w:p>
      <w:pPr>
        <w:spacing w:after="0" w:line="135" w:lineRule="exact"/>
        <w:rPr>
          <w:rFonts w:ascii="Times New Roman" w:cs="Times New Roman" w:eastAsia="Times New Roman" w:hAnsi="Times New Roman"/>
          <w:sz w:val="18"/>
          <w:szCs w:val="18"/>
          <w:color w:val="auto"/>
        </w:rPr>
      </w:pPr>
    </w:p>
    <w:p>
      <w:pPr>
        <w:ind w:left="720" w:right="819" w:hanging="319"/>
        <w:spacing w:after="0" w:line="282"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our issued patents or pending patent applications that we license or may own in the future;</w:t>
      </w:r>
    </w:p>
    <w:p>
      <w:pPr>
        <w:spacing w:after="0" w:line="134"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collaborators, might not have been the first to file patent applications covering certain of our or their inventions;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pending patent applications or those that we may own in the future may not result in issued patents;</w:t>
      </w:r>
    </w:p>
    <w:p>
      <w:pPr>
        <w:spacing w:after="0" w:line="184" w:lineRule="exact"/>
        <w:rPr>
          <w:rFonts w:ascii="Times New Roman" w:cs="Times New Roman" w:eastAsia="Times New Roman" w:hAnsi="Times New Roman"/>
          <w:sz w:val="18"/>
          <w:szCs w:val="18"/>
          <w:color w:val="auto"/>
        </w:rPr>
      </w:pPr>
    </w:p>
    <w:p>
      <w:pPr>
        <w:ind w:left="720" w:right="699" w:hanging="319"/>
        <w:spacing w:after="0" w:line="282"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issued patents or patent applications when issued may not cover our products or product candidates;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that we obtain may not provide us with any competitive advantages;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459" w:hanging="319"/>
        <w:spacing w:after="0" w:line="266"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manufacture and commercialize competitive products or product candidates for sale in our major commercial markets;</w:t>
      </w:r>
    </w:p>
    <w:p>
      <w:pPr>
        <w:spacing w:after="0" w:line="14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84" w:lineRule="exact"/>
        <w:rPr>
          <w:rFonts w:ascii="Times New Roman" w:cs="Times New Roman" w:eastAsia="Times New Roman" w:hAnsi="Times New Roman"/>
          <w:sz w:val="18"/>
          <w:szCs w:val="18"/>
          <w:color w:val="auto"/>
        </w:rPr>
      </w:pPr>
    </w:p>
    <w:p>
      <w:pPr>
        <w:ind w:left="720" w:right="239" w:hanging="319"/>
        <w:spacing w:after="0" w:line="266"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seek patent protection for some of our proprietary technology or product candidates to maintain certain trade secrets or know-how, and a third party may subsequently file a patent covering such trade secrets or know-how;</w:t>
      </w:r>
    </w:p>
    <w:p>
      <w:pPr>
        <w:spacing w:after="0" w:line="13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granted patents may be held invalid or unenforceable as a result of legal challenges by third parties; and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85"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117" w:lineRule="exact"/>
        <w:rPr>
          <w:sz w:val="20"/>
          <w:szCs w:val="20"/>
          <w:color w:val="auto"/>
        </w:rPr>
      </w:pPr>
    </w:p>
    <w:p>
      <w:pPr>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48" w:lineRule="exact"/>
        <w:rPr>
          <w:sz w:val="20"/>
          <w:szCs w:val="20"/>
          <w:color w:val="auto"/>
        </w:rPr>
      </w:pPr>
    </w:p>
    <w:p>
      <w:pPr>
        <w:ind w:left="60" w:right="239" w:firstLine="324"/>
        <w:spacing w:after="0" w:line="253" w:lineRule="auto"/>
        <w:rPr>
          <w:sz w:val="20"/>
          <w:szCs w:val="20"/>
          <w:color w:val="auto"/>
        </w:rPr>
      </w:pPr>
      <w:r>
        <w:rPr>
          <w:rFonts w:ascii="Times New Roman" w:cs="Times New Roman" w:eastAsia="Times New Roman" w:hAnsi="Times New Roman"/>
          <w:sz w:val="18"/>
          <w:szCs w:val="18"/>
          <w:color w:val="auto"/>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In addition, the USPTO and various foreign governmental patent agencies require compliance with various procedural, document submission,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143" w:lineRule="exact"/>
        <w:rPr>
          <w:sz w:val="20"/>
          <w:szCs w:val="20"/>
          <w:color w:val="auto"/>
        </w:rPr>
      </w:pPr>
    </w:p>
    <w:p>
      <w:pPr>
        <w:ind w:left="60" w:right="3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the agreements under which we may license intellectual property rights from third parties or otherwise experience disruptions to our business relationships with our licensors, we could lose rights that are important to our business.</w:t>
      </w:r>
    </w:p>
    <w:p>
      <w:pPr>
        <w:spacing w:after="0" w:line="134"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We may be required to enter into intellectual property license agreements that are important to our business. These license agreements may impose various diligence, payment, and other obligations on us. For example, we may enter into exclusive license agreements with universities, research institutions, or peer industry third parties pursuant to which we may be required to use commercially reasonable efforts to engage in various development and commercialization activities with respect to licensed products and may need to satisfy specified milestone and royalty payment obligations. If we fail to comply with any obligations under our agreements with any of these licensors, we may be subject to termination of the license agreement in whole or in part; increased financial obligations to our licensors or loss of exclusivity in a particular field or territory, in which case our ability to develop or commercialize products covered by the license agreement will be impaired.</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disputes may arise regarding intellectual property subject to a license agreement, including:</w:t>
      </w:r>
    </w:p>
    <w:p>
      <w:pPr>
        <w:spacing w:after="0" w:line="185" w:lineRule="exact"/>
        <w:rPr>
          <w:sz w:val="20"/>
          <w:szCs w:val="20"/>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84"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obligations;</w:t>
      </w:r>
    </w:p>
    <w:p>
      <w:pPr>
        <w:spacing w:after="0" w:line="198" w:lineRule="exact"/>
        <w:rPr>
          <w:rFonts w:ascii="Times New Roman" w:cs="Times New Roman" w:eastAsia="Times New Roman" w:hAnsi="Times New Roman"/>
          <w:sz w:val="18"/>
          <w:szCs w:val="18"/>
          <w:color w:val="auto"/>
        </w:rPr>
      </w:pPr>
    </w:p>
    <w:p>
      <w:pPr>
        <w:ind w:left="720" w:right="159" w:hanging="319"/>
        <w:spacing w:after="0" w:line="266"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third-party expresses interest in an area under a license that we are not pursuing, under the terms of certain of our license agreements, we may be required to sublicense rights in that area to a third-party, and that sublicense could harm our business; and</w:t>
      </w:r>
    </w:p>
    <w:p>
      <w:pPr>
        <w:spacing w:after="0" w:line="135"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w:t>
      </w:r>
    </w:p>
    <w:p>
      <w:pPr>
        <w:spacing w:after="0" w:line="121" w:lineRule="exact"/>
        <w:rPr>
          <w:sz w:val="20"/>
          <w:szCs w:val="20"/>
          <w:color w:val="auto"/>
        </w:rPr>
      </w:pPr>
    </w:p>
    <w:p>
      <w:pPr>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we may be unable to successfully develop and commercialize the affected approved products or product candidates.</w:t>
      </w:r>
    </w:p>
    <w:p>
      <w:pPr>
        <w:spacing w:after="0" w:line="149" w:lineRule="exact"/>
        <w:rPr>
          <w:sz w:val="20"/>
          <w:szCs w:val="20"/>
          <w:color w:val="auto"/>
        </w:rPr>
      </w:pPr>
    </w:p>
    <w:p>
      <w:pPr>
        <w:jc w:val="both"/>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one or more of our product candidates, which could harm our business significantly.</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89"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We or our licensors may be subject to claims that third parties have an interest in our patents, trade secrets, or other intellectual property that we regard as our own or our licensor’s, based on claims that the relevant agreements with employees or consultants obligating them to assign their intellectual property rights to us or our licensor are ineffective or in conflict with prior or competing contractual obligations to assign inventions and intellectual property rights to another employer, to a former employer, or to another person or entity. We may also be subject to claims that our former employees, contractors or collaborators, or other third parties have an ownership interest in our current or future patents, patent applications, or other intellectual property rights, including as an inventor or co-inventor. For example, we or our licensors may have inventorship disputes arise from conflicting obligations of employees, consultants or others who are involved in developing our product candidates. Although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conceives or develops intellectual property rights that we regard as our own, and we cannot be certain that our agreements with such parties will be upheld in the face of a potential challenge, or that they will not be breached, for which we may not have an adequate remedy.</w:t>
      </w:r>
    </w:p>
    <w:p>
      <w:pPr>
        <w:spacing w:after="0" w:line="170" w:lineRule="exact"/>
        <w:rPr>
          <w:sz w:val="20"/>
          <w:szCs w:val="20"/>
          <w:color w:val="auto"/>
        </w:rPr>
      </w:pPr>
    </w:p>
    <w:p>
      <w:pPr>
        <w:ind w:left="60" w:right="199" w:firstLine="324"/>
        <w:spacing w:after="0" w:line="252" w:lineRule="auto"/>
        <w:rPr>
          <w:sz w:val="20"/>
          <w:szCs w:val="20"/>
          <w:color w:val="auto"/>
        </w:rPr>
      </w:pPr>
      <w:r>
        <w:rPr>
          <w:rFonts w:ascii="Times New Roman" w:cs="Times New Roman" w:eastAsia="Times New Roman" w:hAnsi="Times New Roman"/>
          <w:sz w:val="18"/>
          <w:szCs w:val="18"/>
          <w:color w:val="auto"/>
        </w:rPr>
        <w:t>We are not aware of any threatened or pending claims related to these matters, but in the future litigation may be necessary to defend against these and other claims challenging inventorship or our or our licensors’ ownership of our owned or in-licensed patents, trade secrets, or other intellectual property, and it may be necessary or we may desire to obtain a license to a third party’s intellectual property rights to settle any such claim; however, there can be no assurance that we would be able to obtain such license on commercially reasonable terms, if at all. If we or our licensors fail in defending any such claims, in addition to paying monetary damages or a settlement payment, we may lose valuable intellectual property rights, such as exclusive ownership of, or right to use, intellectual property that is important to our product candidates. A court could prohibit us from using technologies, features or other intellectual property rights that are essential to our products or technologies, if such technologies or features are found to incorporate or be derived from the trade secrets or other proprietary information of another person or entity, including another or former employers. An inability to incorporate technologies, features or other intellectual property rights that are important or essential to our products or product candidates could have a material adverse effect on our business, financial condition, results of operations, and competitive position, and may prevent us from developing, manufacturing and/or commercializing our products or technologies. In addition, we may lose valuable intellectual property rights or personnel. Even if we are successful in defending against such claims, litigation could result in substantial costs and be a distraction to management and other employees. Any litigation or the threat thereof may adversely affect our ability to hire employees or contract with independent sales representatives. A loss of key personnel or their work product could hamper or prevent our ability to develop, manufacture and/or commercialize our products or services, which could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1" w:name="page122"/>
    <w:bookmarkEnd w:id="1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materially and adversely affect our business, financial condition and results of operations. Any of the foregoing could have a material adverse effect on our business, financial condition, results of operations and prospects.</w:t>
      </w:r>
    </w:p>
    <w:p>
      <w:pPr>
        <w:spacing w:after="0" w:line="131" w:lineRule="exact"/>
        <w:rPr>
          <w:sz w:val="20"/>
          <w:szCs w:val="20"/>
          <w:color w:val="auto"/>
        </w:rPr>
      </w:pPr>
    </w:p>
    <w:p>
      <w:pPr>
        <w:ind w:left="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NDA submitted under Section 505(b)(2) subjects us to the risk that we may be subject to a patent infringement lawsuit that would delay or prevent the review or approval of our product candidate.</w:t>
      </w:r>
    </w:p>
    <w:p>
      <w:pPr>
        <w:spacing w:after="0" w:line="118"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Our product candidates have been or will be submitted to the FDA for approval under Section 505(b)(2) of the FDCA. Section 505(b)(2) permits the submission of an NDA where at least some of the information required for approval comes from studies that were not conducted by, or for, the applicant and on which the applicant has not obtained a right of reference. The 505(b)(2) application would enable us to reference published literature and/or the FDA’s previous findings of safety and effectiveness for a branded reference drug with the same active ingredient. For NDAs submitted under Section 505(b)(2) of the FDCA, the patent certification and related provisions of the Hatch-Waxman Act apply. In accordance with the Hatch-Waxman Act, such NDAs may be required to include paragraph IV certifications, that certify that any patents listed in the FDA’s Orange Book, with respect to any product referenced in the 505(b)(2) application, are invalid, unenforceable or will not be infringed by the manufacture, use or sale of the product that is the subject of the 505(b)(2) NDA.</w:t>
      </w:r>
    </w:p>
    <w:p>
      <w:pPr>
        <w:spacing w:after="0" w:line="154"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Under the Hatch-Waxman Act, the holder of patents that the 505(b)(2) application references may file a patent infringement lawsuit after receiving notice of the paragraph IV certification. Filing of a patent infringement lawsuit against the filer of the 505(b)(2) applicant within 45 days of the patent owner’s receipt of notice triggers a one-time, automatic, 30-month stay of the FDA’s ability to approve the 505(b)(2) NDA, unless patent litigation is resolved in the favor of the paragraph IV certification filer, or the patent expires before that time. Accordingly, we may invest a significant amount of time and expense in the development of one or more product candidates only to be subject to significant delay and patent litigation before such product candidates may be commercialized, if at all. In addition, a 505(b)(2) application will not be approved until any non-patent exclusivity, such as exclusivity for obtaining approval of a new chemical entity, listed in the Orange Book for the branded reference drug product has expired. The FDA may also require us to perform one or more additional clinical studies or measurements to support the change from the branded reference drug, which could be time consuming and could substantially delay our achievement of regulatory approvals for such product candidates. The FDA may also reject our future 505(b)(2) submissions and require us to file such submissions under Section 505(b)(1) of the FDCA, which would require us to provide extensive data to establish safety and effectiveness of the drug product for the proposed use and could cause delay and be considerably more expensive and time consuming. These factors, among others, may limit our ability to successfully commercialize our product candidates.</w:t>
      </w:r>
    </w:p>
    <w:p>
      <w:pPr>
        <w:spacing w:after="0" w:line="157" w:lineRule="exact"/>
        <w:rPr>
          <w:sz w:val="20"/>
          <w:szCs w:val="20"/>
          <w:color w:val="auto"/>
        </w:rPr>
      </w:pPr>
    </w:p>
    <w:p>
      <w:pPr>
        <w:ind w:left="60" w:right="259" w:firstLine="324"/>
        <w:spacing w:after="0" w:line="233" w:lineRule="auto"/>
        <w:rPr>
          <w:sz w:val="20"/>
          <w:szCs w:val="20"/>
          <w:color w:val="auto"/>
        </w:rPr>
      </w:pPr>
      <w:r>
        <w:rPr>
          <w:rFonts w:ascii="Times New Roman" w:cs="Times New Roman" w:eastAsia="Times New Roman" w:hAnsi="Times New Roman"/>
          <w:sz w:val="18"/>
          <w:szCs w:val="18"/>
          <w:b w:val="1"/>
          <w:bCs w:val="1"/>
          <w:i w:val="1"/>
          <w:iCs w:val="1"/>
          <w:color w:val="auto"/>
        </w:rPr>
        <w:t>If our intellectual property related to IGALMI</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BXCL501, BXCL502, BXCL701, BXCL702 or any future product candidates is not adequate or if we are not able to successfully enforce our intellectual property rights, the commercial value of our products or product candidates may be adversely affected and we may not be able to compete effectively in our market.</w:t>
      </w:r>
    </w:p>
    <w:p>
      <w:pPr>
        <w:spacing w:after="0" w:line="158" w:lineRule="exact"/>
        <w:rPr>
          <w:sz w:val="20"/>
          <w:szCs w:val="20"/>
          <w:color w:val="auto"/>
        </w:rPr>
      </w:pPr>
    </w:p>
    <w:p>
      <w:pPr>
        <w:jc w:val="both"/>
        <w:ind w:left="60" w:right="219" w:firstLine="324"/>
        <w:spacing w:after="0" w:line="269" w:lineRule="auto"/>
        <w:rPr>
          <w:sz w:val="20"/>
          <w:szCs w:val="20"/>
          <w:color w:val="auto"/>
        </w:rPr>
      </w:pPr>
      <w:r>
        <w:rPr>
          <w:rFonts w:ascii="Times New Roman" w:cs="Times New Roman" w:eastAsia="Times New Roman" w:hAnsi="Times New Roman"/>
          <w:sz w:val="17"/>
          <w:szCs w:val="17"/>
          <w:color w:val="auto"/>
        </w:rPr>
        <w:t>Third parties, including our competitors, may currently, or in the future, infringe, misappropriate or otherwise violate our issued patents or other intellectual property rights, and we may file lawsuits or initiate other proceedings to protect or enforce our patents or other intellectual property rights, which could be expensive, time-consuming and unsuccessful. We regularly monitor for unauthorized use of our intellectual property rights and, from time to time, analyze whether to seek enforce our rights against potential infringement, misappropriation or violation of our intellectual property rights.</w:t>
      </w:r>
    </w:p>
    <w:p>
      <w:pPr>
        <w:spacing w:after="0" w:line="3" w:lineRule="exact"/>
        <w:rPr>
          <w:sz w:val="20"/>
          <w:szCs w:val="20"/>
          <w:color w:val="auto"/>
        </w:rPr>
      </w:pPr>
    </w:p>
    <w:p>
      <w:pPr>
        <w:ind w:left="60" w:right="159"/>
        <w:spacing w:after="0" w:line="251" w:lineRule="auto"/>
        <w:rPr>
          <w:sz w:val="20"/>
          <w:szCs w:val="20"/>
          <w:color w:val="auto"/>
        </w:rPr>
      </w:pPr>
      <w:r>
        <w:rPr>
          <w:rFonts w:ascii="Times New Roman" w:cs="Times New Roman" w:eastAsia="Times New Roman" w:hAnsi="Times New Roman"/>
          <w:sz w:val="18"/>
          <w:szCs w:val="18"/>
          <w:color w:val="auto"/>
        </w:rPr>
        <w:t>However, the steps we have taken, and are taking, to protect our proprietary rights may not be adequate to enforce our rights as against such infringement, misappropriation or violation of our intellectual property rights. In certain circumstances it may not be practicable or cost-effective for us to enforce our intellectual property rights fully, particularly in certain developing countries or where the initiation of a claim might harm our business relationships. We may also be hindered or prevented from enforcing our rights with respect to a government entity or instrumentality because of the doctrine of sovereign immunity. Our ability to enforce our patent or other intellectual property rights depends on our ability to detect infringement. It may be difficult to detect infringers who do not advertise the components or methods that are used in connection with their products or technologies. Moreover, it may be difficult or impossible to obtain evidence of infringement in a competitor’s or potential competitor’s product or technologies. Thus, we may not be able to detect unauthorized use of, or take appropriate steps to enforce,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2" w:name="page123"/>
    <w:bookmarkEnd w:id="1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intellectual property rights. Any inability to meaningfully enforce our intellectual property rights could harm our ability to compete and reduce demand for our products and product candidates.</w:t>
      </w:r>
    </w:p>
    <w:p>
      <w:pPr>
        <w:spacing w:after="0" w:line="135" w:lineRule="exact"/>
        <w:rPr>
          <w:sz w:val="20"/>
          <w:szCs w:val="20"/>
          <w:color w:val="auto"/>
        </w:rPr>
      </w:pPr>
    </w:p>
    <w:p>
      <w:pPr>
        <w:ind w:left="60" w:right="139" w:firstLine="324"/>
        <w:spacing w:after="0" w:line="251" w:lineRule="auto"/>
        <w:rPr>
          <w:sz w:val="20"/>
          <w:szCs w:val="20"/>
          <w:color w:val="auto"/>
        </w:rPr>
      </w:pPr>
      <w:r>
        <w:rPr>
          <w:rFonts w:ascii="Times New Roman" w:cs="Times New Roman" w:eastAsia="Times New Roman" w:hAnsi="Times New Roman"/>
          <w:sz w:val="18"/>
          <w:szCs w:val="18"/>
          <w:color w:val="auto"/>
        </w:rPr>
        <w:t>Even where laws provide protection, costly and time-consuming litigation could be necessary to enforce and determine the scope of our proprietary rights, and the outcome of such litigation would be uncertain. If we choose to commence a proceeding or litigation to prevent another party from infringing our patents, that party could counterclaim that our patents are invalid or should not be enforced against them.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With respect to validity, for example, we cannot be certain that there is no invalidating prior art, of which we and the patent examiner were unaware during prosecution. There is a risk that the examiner or court will decide that our patents are invalid or unenforceable, in whole or in part, and that we do not have the right to stop the other party from using the related inventions. There is also the risk that, even if the validity of our patents is upheld, the examiner or court may construe the patent’s claims or other intellectual property narrowly or refuse to stop the other party from using the technology at issue on the grounds that such other party’s activities do not infringe our rights to such patents. In addition, the U.S. Supreme Court has recently modified some tests used by the USPTO in granting patents over the past 20 years, which may decrease the likelihood that we will be able to obtain patents and increase the likelihood of challenge to any patents we obtain or license. Any proceedings or litigation to enforce our intellectual property rights or defend ourselves against claims of infringement of third-party intellectual property rights could be costly and divert the attention of managerial and scientific personnel, regardless of whether such litigation is ultimately resolved in our favor. We may not have sufficient resources to bring these actions to a successful conclusion. If a defendant were to prevail on its legal assertion of invalidity and/or unenforceability against our intellectual property related to a product or a product candidate, we could lose at least part, and perhaps all, of the patent protection on such product or product candidate. Such a loss of patent protection would have a material adverse impact on our business. Moreover, our competitors could counterclaim that we infringe their intellectual property, and some of our competitors have substantially greater intellectual property portfolios than we do. An adverse result in any litigation or administrative proceeding could put one or more of our patents or other intellectual property rights at risk of being invalidated or interpreted narrowly, which could adversely affect our competitive business position, financial condition and results of operations. Moreover, if we are unable to successfully defend against claims that we have infringed the intellectual property rights of others, we may be prevented from using certain intellectual property and may be liable for damages, which in turn could materially adversely affect our business, financial condition or results of operations. Even if we are successful in any litigation, we may incur significant expense in connection with such proceedings, and the amount of any monetary damages may be inadequate to compensate us for damage as a result of the infringement and the proceedings. Further, a court may decide not to grant an injunction against further infringing activity and instead award only monetary damages, which may not be an adequate remedy. Furthermore, the monetary cost of such litigation and the diversion of the attention of our management could outweigh any benefit we receive as a result of the proceedings. Uncertainties resulting from the initiation and continuation of patent litigation or other proceedings could have a material adverse effect on our business. Any of the foregoing may cause us to incur substantial costs, and could place a significant strain on our financial resources, divert the attention of management from our core business and harm our reputation.</w:t>
      </w:r>
    </w:p>
    <w:p>
      <w:pPr>
        <w:spacing w:after="0" w:line="157"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Further,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 motions, or other interim developments. If securities analysts or investors perceive these results to be negative, it could have a material adverse effect on the price of shares of our common stock.</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3" w:name="page124"/>
    <w:bookmarkEnd w:id="1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and/or third party claims seeking to invalidate our patents, which would be costly, time consuming and, if successfully asserted against us, may prevent or delay our product development efforts and stop us from commercializing or increase the costs of commercializing our product candidates.</w:t>
      </w:r>
    </w:p>
    <w:p>
      <w:pPr>
        <w:spacing w:after="0" w:line="153" w:lineRule="exact"/>
        <w:rPr>
          <w:sz w:val="20"/>
          <w:szCs w:val="20"/>
          <w:color w:val="auto"/>
        </w:rPr>
      </w:pPr>
    </w:p>
    <w:p>
      <w:pPr>
        <w:ind w:left="60" w:right="159" w:firstLine="324"/>
        <w:spacing w:after="0" w:line="267" w:lineRule="auto"/>
        <w:rPr>
          <w:sz w:val="20"/>
          <w:szCs w:val="20"/>
          <w:color w:val="auto"/>
        </w:rPr>
      </w:pPr>
      <w:r>
        <w:rPr>
          <w:rFonts w:ascii="Times New Roman" w:cs="Times New Roman" w:eastAsia="Times New Roman" w:hAnsi="Times New Roman"/>
          <w:sz w:val="17"/>
          <w:szCs w:val="17"/>
          <w:color w:val="auto"/>
        </w:rPr>
        <w:t>Our commercial success will depend in part on our ability to develop, manufacture or commercialize our products and product candidates without infringing, misappropriating or otherwise violating the intellectual property rights of third parties. There is considerable patent and other intellectual property litigation in the pharmaceutical and biotechnology industries, and companies in the industry have used intellectual property litigation to gain a competitive advantage. We may become party to, or threatened with, adversarial proceedings or litigation regarding intellectual property rights with respect to our products, or the manufacture or use of our product candidates. In addition to infringement claims against us, third parties may also raise similar claims before administrative bodies in the United States or abroad. Such mechanisms include interference proceedings, post grant review, inter partes review, and derivation proceedings before the USPTO and similar proceedings in foreign jurisdictions. If third parties prepare and file patent applications in the United States that also claim technology similar or identical to ours, we may have to participate in interference or derivation proceedings in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 Such administrative proceedings could result in revocation of or amendment to our patents in such a way that they no longer cover our products or product candidates.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or technologies. Such a loss of patent protection would have a material adverse impact on our business, financial condition, results of operations, and prospects.</w:t>
      </w:r>
    </w:p>
    <w:p>
      <w:pPr>
        <w:spacing w:after="0" w:line="363"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The legal threshold for initiating litigation or contested proceedings is low, so that even lawsuits or proceedings with a low probability of success might be initiated and require significant resources to defend. The costs of these lawsuits could affect our results of operations and divert the attention of managerial and scientific personnel. Some of these third parties may be better capitalized and have more resources than us. There is a risk that a court would decide that we are infringing the third-party’s patents and would order us to stop the activities covered by the patents. In that event, we may not have a viable way around the patent and may need to halt commercialization of the relevant product candidate. In addition, there is a risk that a court will order us to pay the other party damages for having violated the other party’s patents. We also could be ordered to pay substantial damages, including treble damages and attorney’s fees if we are found to be willfully infringing a third party’s patents or other intellectual property rights. In addition, we may be obligated to indemnify our licensors and collaborators against certain intellectual property infringement claims brought by third parties, which could require us to expend additional resources. 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 Even if we believe such claims are without merit, a court of competent jurisdiction could hold that these third party patents are valid and enforceable, and infringed by the use of our products and/or technologies, which could have a negative impact on the commercial success of our current and any future products or technologies.</w:t>
      </w:r>
    </w:p>
    <w:p>
      <w:pPr>
        <w:spacing w:after="0" w:line="153"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color w:val="auto"/>
        </w:rPr>
        <w:t>If we are sued for patent infringement, we would need to demonstrate that our products or methods either do not infringe the patent claims of the relevant patent or that the patent claims are invalid, and we may not be able to do this. Proving invalidity is difficult. For example, in the U.S.,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 incur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4" w:name="page125"/>
    <w:bookmarkEnd w:id="1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substantial monetary damages, encounter significant delays in bringing our product candidates to market and be precluded from manufacturing or selling our product candidates.</w:t>
      </w:r>
    </w:p>
    <w:p>
      <w:pPr>
        <w:spacing w:after="0" w:line="135" w:lineRule="exact"/>
        <w:rPr>
          <w:sz w:val="20"/>
          <w:szCs w:val="20"/>
          <w:color w:val="auto"/>
        </w:rPr>
      </w:pPr>
    </w:p>
    <w:p>
      <w:pPr>
        <w:ind w:left="60" w:right="1059" w:firstLine="324"/>
        <w:spacing w:after="0" w:line="282" w:lineRule="auto"/>
        <w:rPr>
          <w:sz w:val="20"/>
          <w:szCs w:val="20"/>
          <w:color w:val="auto"/>
        </w:rPr>
      </w:pPr>
      <w:r>
        <w:rPr>
          <w:rFonts w:ascii="Times New Roman" w:cs="Times New Roman" w:eastAsia="Times New Roman" w:hAnsi="Times New Roman"/>
          <w:sz w:val="18"/>
          <w:szCs w:val="18"/>
          <w:color w:val="auto"/>
        </w:rPr>
        <w:t>We cannot be certain that others have not filed patent applications for technology covered by our pending applications, or that we were the first to invent the technology, because:</w:t>
      </w:r>
    </w:p>
    <w:p>
      <w:pPr>
        <w:spacing w:after="0" w:line="121" w:lineRule="exact"/>
        <w:rPr>
          <w:sz w:val="20"/>
          <w:szCs w:val="20"/>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patent applications in the U.S. may be maintained in secrecy until the patents are issued;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in the U.S. are typically not published until 18 months after the priority date; and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publications in the scientific literature often lag behind actual discoveries.</w:t>
      </w:r>
    </w:p>
    <w:p>
      <w:pPr>
        <w:spacing w:after="0" w:line="185"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Our competitors may have filed, and may in the future file, patent applications covering technology similar to ours. Any such patent application may have priority over our patent applications, which could further require us to obtain rights to issued patents covering such technologies. If another party has filed U.S. patent applications on inventions similar to ours that claim priority to any applications filed prior to the priority dates of our applications, we may have to participate in an interference proceeding declared by the USPTO to determine priority of invention in the U.S. The costs of these proceedings could be substantial, and it is possible that such efforts would be unsuccessful if, unbeknownst to us, the other party had independently arrived at the same or similar inventions prior to our own inventions, resulting in a loss of our U.S. patent position with respect to such inventions. Other countries have similar laws that permit secrecy of patent applications and may be entitled to priority over our applications in such jurisdictions.</w:t>
      </w:r>
    </w:p>
    <w:p>
      <w:pPr>
        <w:spacing w:after="0" w:line="148" w:lineRule="exact"/>
        <w:rPr>
          <w:sz w:val="20"/>
          <w:szCs w:val="20"/>
          <w:color w:val="auto"/>
        </w:rPr>
      </w:pPr>
    </w:p>
    <w:p>
      <w:pPr>
        <w:ind w:left="60" w:right="359" w:firstLine="324"/>
        <w:spacing w:after="0" w:line="261"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49" w:lineRule="exact"/>
        <w:rPr>
          <w:sz w:val="20"/>
          <w:szCs w:val="20"/>
          <w:color w:val="auto"/>
        </w:rPr>
      </w:pPr>
    </w:p>
    <w:p>
      <w:pPr>
        <w:ind w:left="60" w:right="319"/>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in the United States under the Hatch-Waxman Act and in foreign countries under similar legislation, thereby potentially extending the term of marketing exclusivity for IGALMI</w:t>
      </w:r>
      <w:r>
        <w:rPr>
          <w:rFonts w:ascii="Times New Roman" w:cs="Times New Roman" w:eastAsia="Times New Roman" w:hAnsi="Times New Roman"/>
          <w:sz w:val="26"/>
          <w:szCs w:val="26"/>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or our product candidates, our business may be materially harmed.</w:t>
      </w:r>
    </w:p>
    <w:p>
      <w:pPr>
        <w:spacing w:after="0" w:line="151" w:lineRule="exact"/>
        <w:rPr>
          <w:sz w:val="20"/>
          <w:szCs w:val="20"/>
          <w:color w:val="auto"/>
        </w:rPr>
      </w:pPr>
    </w:p>
    <w:p>
      <w:pPr>
        <w:ind w:left="60" w:right="199" w:firstLine="324"/>
        <w:spacing w:after="0" w:line="242" w:lineRule="auto"/>
        <w:rPr>
          <w:sz w:val="20"/>
          <w:szCs w:val="20"/>
          <w:color w:val="auto"/>
        </w:rPr>
      </w:pPr>
      <w:r>
        <w:rPr>
          <w:rFonts w:ascii="Times New Roman" w:cs="Times New Roman" w:eastAsia="Times New Roman" w:hAnsi="Times New Roman"/>
          <w:sz w:val="18"/>
          <w:szCs w:val="18"/>
          <w:color w:val="auto"/>
        </w:rPr>
        <w:t>Following the approval by the FDA for our NDA to market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we became eligible to seek and sought patent term restoration under the Hatch-Waxman Act for one of the U.S. patents covering our approved product or the use thereof. The Hatch-Waxman Act allows a maximum of one patent to be extended per FDA approved product. Patent term extension also may be available in certain foreign countries upon regulatory approval of our product candidates. Despite seeking patent term extension for our product candidates, we may not be granted patent term extension either in the United States or in any foreign country because of, for example,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202"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w:t>
      </w:r>
    </w:p>
    <w:p>
      <w:pPr>
        <w:spacing w:after="0" w:line="148"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products. Accordingly, our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5" w:name="page126"/>
    <w:bookmarkEnd w:id="1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79"/>
        <w:spacing w:after="0" w:line="266" w:lineRule="auto"/>
        <w:rPr>
          <w:sz w:val="20"/>
          <w:szCs w:val="20"/>
          <w:color w:val="auto"/>
        </w:rPr>
      </w:pPr>
      <w:r>
        <w:rPr>
          <w:rFonts w:ascii="Times New Roman" w:cs="Times New Roman" w:eastAsia="Times New Roman" w:hAnsi="Times New Roman"/>
          <w:sz w:val="18"/>
          <w:szCs w:val="18"/>
          <w:color w:val="auto"/>
        </w:rPr>
        <w:t>efforts to protect our intellectual property rights in such countries may be inadequate. In addition, changes in the law and legal decisions by courts in the United States and foreign countries may affect our ability to obtain and enforce adequate intellectual property protection for our technology.</w:t>
      </w:r>
    </w:p>
    <w:p>
      <w:pPr>
        <w:spacing w:after="0" w:line="14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Finally, a Unitary Patent and Unified Patent Court (“UPC”) system was implemented in Europe on June 1, 2023. This new regime may present uncertainties for our ability to protect and enforce our patent rights against competitors in Europe. Under the UPC, all European patents, including those issued prior to ratification of the European Patent Package, by default automatically fall under the jurisdiction of the UPC. The UPC provides our competitors with a new forum to centrally revoke our European patents, and allows for the possibility of a competitor to obtain pan-European injunctions. It will be several years before we will understand the scope of patent rights that will be recognized and the strength of patent remedies that will be provided by the UPC. Under the EU Patent Package, we will have the right to opt our patents out of the UPC over the first seven years of the court’s existence, but doing so may preclude us from realizing the benefits of the new unified court.</w:t>
      </w:r>
    </w:p>
    <w:p>
      <w:pPr>
        <w:spacing w:after="0" w:line="144"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we may not be able to build name recognition in our markets of interest and our competitive position may be harmed.</w:t>
      </w:r>
    </w:p>
    <w:p>
      <w:pPr>
        <w:spacing w:after="0" w:line="118"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Our trademarks could be challenged, invalidated, infringed, and circumvented by third parties, and our trademarks could also be diluted, declared generic or found to be infringing on other marks. If any of the foregoing occurs, we could be forced to re-brand our products or technologies, resulting in loss of brand recognition and requiring us to devote resources to advertising and marketing new brands, and suffer other competitive harm. Third parties may also adopt trademarks similar to ours, which could harm our brand identity and lead to market confusion. Further, there can be no assurance that competitors will not infringe on our trademarks or that we will have adequate resources to enforce our trademarks. At times, competitors may adopt trade names or trademarks similar to ours, thereby impeding our ability to build brand identity and possibly leading to market confusion.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Any of the foregoing could have a material adverse effect on our competitive position, business, financial condition, operating results and prospects.</w:t>
      </w:r>
    </w:p>
    <w:p>
      <w:pPr>
        <w:spacing w:after="0" w:line="155" w:lineRule="exact"/>
        <w:rPr>
          <w:sz w:val="20"/>
          <w:szCs w:val="20"/>
          <w:color w:val="auto"/>
        </w:rPr>
      </w:pPr>
    </w:p>
    <w:p>
      <w:pPr>
        <w:ind w:left="60" w:right="179" w:firstLine="324"/>
        <w:spacing w:after="0" w:line="246" w:lineRule="auto"/>
        <w:rPr>
          <w:sz w:val="20"/>
          <w:szCs w:val="20"/>
          <w:color w:val="auto"/>
        </w:rPr>
      </w:pPr>
      <w:r>
        <w:rPr>
          <w:rFonts w:ascii="Times New Roman" w:cs="Times New Roman" w:eastAsia="Times New Roman" w:hAnsi="Times New Roman"/>
          <w:sz w:val="18"/>
          <w:szCs w:val="18"/>
          <w:color w:val="auto"/>
        </w:rPr>
        <w:t>We rely on our trademarks, trade names and brand names, such as “IGALMI</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and our logo, to distinguish our company and our products from our competitors and the products of our competitors, and have registered or applied to register many of these trademarks in the United States and certain countries outside the United States, however, we have not yet registered all of our trademarks in all of our current and potential markets. There can be no assurance that our trademark applications will be approved for registration. During trademark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may also oppose our trademark applications and may seek to cancel trademark registrations or otherwise challenge our use of the trademarks. Opposition or cancellation proceedings may be filed against our trademark filings in these agencies, and such filings may not survive such proceedings. While we may be able to continue the use of our trademarks in the event registration is not available, particularly in the United States, where trademark rights are acquired based on use and not registration, third parties may be able to enjoin the continued use of our trademarks if such parties are able to successfully claim infringement in court.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 Our trademarks or trade names may be infringed, circumvented, declared generic or determined to be violating or infringing on other marks.</w:t>
      </w:r>
    </w:p>
    <w:p>
      <w:pPr>
        <w:spacing w:after="0" w:line="150"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adequately prevent disclosure of trade secrets and other proprietary information, the value of our technology and products could be significantly diminished.</w:t>
      </w:r>
    </w:p>
    <w:p>
      <w:pPr>
        <w:spacing w:after="0" w:line="118"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In addition to patent protection, we also rely on other intellectual property rights, including protection of copyright, trade secrets, know-how and/or other proprietary information to protect our proprietary technologies, especially where we do not believe patent protection is appropriate or obtainable. However, trade secrets are difficult to protect, and some courts are less willing or unwilling to protect trade secrets. To maintain the confidentiality of our trade secrets and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6" w:name="page127"/>
    <w:bookmarkEnd w:id="1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1" w:lineRule="auto"/>
        <w:rPr>
          <w:sz w:val="20"/>
          <w:szCs w:val="20"/>
          <w:color w:val="auto"/>
        </w:rPr>
      </w:pPr>
      <w:r>
        <w:rPr>
          <w:rFonts w:ascii="Times New Roman" w:cs="Times New Roman" w:eastAsia="Times New Roman" w:hAnsi="Times New Roman"/>
          <w:sz w:val="18"/>
          <w:szCs w:val="18"/>
          <w:color w:val="auto"/>
        </w:rPr>
        <w:t>proprietary information, we rely in part on confidentiality agreements with our employees, consultants, outside scientific collaborators, sponsored researchers and other advisors to protect our trade secrets and other proprietary information. However, we cannot guarantee that we have entered into such agreements with each party that may have or have had access to our trade secrets or proprietary technology and processes and we may not enter into such agreements with all employees, consultants and third parties who have been involved in the development of our intellectual property rights. Although we generally require all of our employees, consultants, advisors and any third parties who have access to our proprietary know-how, information, or technology to enter into confidentiality agreements, we cannot provide any assurances that all such agreements have been duly executed. In addition, despite the protections we do place on our intellectual property or other proprietary rights, monitoring unauthorized use and disclosure of our intellectual property rights by employees, consultants and other third parties who have access to such intellectual property or other proprietary rights is difficult, and we do not know whether the steps we have taken to protect our intellectual property or other proprietary rights will be adequate. Therefore, we may not be able to prevent the unauthorized disclosure or use of our technical knowledge or other trade secrets by such employees, consultants, advisors or third parties, despite the existence generally of these confidentiality restrictions. These agreements may not effectively prevent disclosure of confidential information and may not provide an adequate remedy in the event of unauthorized disclosure of confidential information. There can be no assurances that such employees, consultants, advisors or third parties will not breach their agreements with us, that we will have adequate remedies for any breach, or that our trade secrets will not otherwise become known or independently developed by third parties, including our competitors.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 The exposure of our trade secrets and other proprietary information would impair our competitive advantages and could have a material adverse effect on our business, financial condition and results of operations. In particular, a failure to protect our proprietary rights may allow competitors to copy our technology, which could adversely affect our pricing and market share.</w:t>
      </w:r>
    </w:p>
    <w:p>
      <w:pPr>
        <w:spacing w:after="0" w:line="177" w:lineRule="exact"/>
        <w:rPr>
          <w:sz w:val="20"/>
          <w:szCs w:val="20"/>
          <w:color w:val="auto"/>
        </w:rPr>
      </w:pPr>
    </w:p>
    <w:p>
      <w:pPr>
        <w:ind w:left="60" w:right="239" w:firstLine="324"/>
        <w:spacing w:after="0" w:line="252" w:lineRule="auto"/>
        <w:rPr>
          <w:sz w:val="20"/>
          <w:szCs w:val="20"/>
          <w:color w:val="auto"/>
        </w:rPr>
      </w:pPr>
      <w:r>
        <w:rPr>
          <w:rFonts w:ascii="Times New Roman" w:cs="Times New Roman" w:eastAsia="Times New Roman" w:hAnsi="Times New Roman"/>
          <w:sz w:val="18"/>
          <w:szCs w:val="18"/>
          <w:color w:val="auto"/>
        </w:rPr>
        <w:t>In addition to contractual measures, we try to protect the confidential nature of our proprietary information by maintaining physical security of our premises and electronic security of our information technology systems. Such security measures may not, for example, in the case of misappropriation of a trade secret by an employee, consultant or other third party with authorized access, provide adequate protection for our proprietary information. Our security measures may not prevent an employee, consultant or other third party from misappropriating our trade secrets and providing them to a competitor, and recourse we take against such misconduct may not provide an adequate remedy to protect our interests fully. Unauthorized parties may also attempt to copy or reverse engineer certain aspects of our products or services that we consider proprietary. Enforcing a claim that a party illegally disclosed or misappropriated a trade secret can be difficult, expensive and time-consuming, and the outcome is unpredictable. Further, we may not be able to obtain adequate remedies for any breach. While we use commonly accepted security measures, trade secret violations are often a matter of state law in the United States, and the criteria for protection of trade secrets can vary among different jurisdictions. If the steps we have taken to maintain our trade secrets are deemed inadequate, we may have insufficient recourse against third parties for misappropriating the trade secret. In addition, trade secrets may be independently developed by others in a manner that could prevent legal recourse by us. If any of our intellectual property rights or confidential or proprietary information, such as our trade secrets, were to be disclosed or misappropriated, or if any such information was independently developed by a competitor, it could have a material adverse effect on our competitive position, business, financial condition, results of operations and prospects.</w:t>
      </w:r>
    </w:p>
    <w:p>
      <w:pPr>
        <w:spacing w:after="0" w:line="153"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Furthermore, any license agreements we enter into in the future may require us to notify, and in some cases license back to the licensor, certain additional proprietary information or intellectual property that we developed using the rights licensed to us under these agreements. Any such licenses back to the licensor could allow our licensors to use that proprietary information or intellectual property in a manner that could harm our business.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 Further, it is possible that others will independently develop the same or similar technology, products or services or otherwise obtain access to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7" w:name="page128"/>
    <w:bookmarkEnd w:id="1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58" w:lineRule="auto"/>
        <w:rPr>
          <w:sz w:val="20"/>
          <w:szCs w:val="20"/>
          <w:color w:val="auto"/>
        </w:rPr>
      </w:pPr>
      <w:r>
        <w:rPr>
          <w:rFonts w:ascii="Times New Roman" w:cs="Times New Roman" w:eastAsia="Times New Roman" w:hAnsi="Times New Roman"/>
          <w:sz w:val="18"/>
          <w:szCs w:val="18"/>
          <w:color w:val="auto"/>
        </w:rPr>
        <w:t>unpatented technology, and in such cases, we could not assert any trade secret rights against such parties. If we fail to obtain or maintain trade secret protection, or if our competitors obtain our trade secrets or independently develop technology or products similar to ours,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w:t>
      </w:r>
    </w:p>
    <w:p>
      <w:pPr>
        <w:spacing w:after="0" w:line="152"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misappropriated the intellectual property rights, including know-how or trade secrets of a third party.</w:t>
      </w:r>
    </w:p>
    <w:p>
      <w:pPr>
        <w:spacing w:after="0" w:line="118"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We may be subject to claims that our employees or consultants have wrongfully used for our benefit or disclosed to us confidential information of third parties. As is common in the biotechnology and pharmaceutical industries, we employ individuals who were previously employed at other biotechnology or pharmaceutical companies, including our competitors or potential competitors. Some of these employees, consultants and contractors may have executed proprietary rights, non-disclosure and non-competition agreements in connection with such previous employment or engagement. Although we try to ensure that our employees, consultants and independent contractors do not use the intellectual property rights, proprietary information, know-how, or trade secrets of others in their work for us, and do not perform work for us that is in conflict with their obligations to another employer or any other entity, we may be subject to claims that we or our employees, consultants or independent contractors have, inadvertently or otherwise misappropriated the intellectual property, including know-how, trade secrets or other proprietary information of their former employers or clients. To the extent that our employees, consultants or contractors use intellectual property rights or proprietary information owned by others in their work for us, disputes may arise as to the rights in any related or resulting know-how and inventions. Litigation may be necessary to defend against these claims. If we fail in defending any such claims, in addition to paying monetary damages, we could lose valuable intellectual property rights or personnel, which could adversely impact our business. There is no guarantee of success in defending these claims, and even if we are successful, litigation could result in substantial costs and be a distraction to management.</w:t>
      </w:r>
    </w:p>
    <w:p>
      <w:pPr>
        <w:spacing w:after="0" w:line="150"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may not be sufficient to protect our products from competition, which may negatively affect our business as well as limit our partnership or acquisition appeal.</w:t>
      </w:r>
    </w:p>
    <w:p>
      <w:pPr>
        <w:spacing w:after="0" w:line="132"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We may be subject to competition despite the existence of intellectual property we license or own. We can give no assurances that our intellectual property claims will be sufficient to prevent third parties from designing around patents we own or license and developing and commercializing competitive products. The existence of competitive products that avoid our intellectual property could materially adversely affect our operating results and financial condition.</w:t>
      </w:r>
    </w:p>
    <w:p>
      <w:pPr>
        <w:spacing w:after="0" w:line="139"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Furthermore, limitations, or perceived limitations, in our intellectual property may limit the interest of third parties to partner, collaborate or otherwise transact with us, if third parties perceive a higher than acceptable risk to commercialization of our products or future products.</w:t>
      </w:r>
    </w:p>
    <w:p>
      <w:pPr>
        <w:spacing w:after="0" w:line="135" w:lineRule="exact"/>
        <w:rPr>
          <w:sz w:val="20"/>
          <w:szCs w:val="20"/>
          <w:color w:val="auto"/>
        </w:rPr>
      </w:pPr>
    </w:p>
    <w:p>
      <w:pPr>
        <w:ind w:left="60" w:right="279" w:firstLine="324"/>
        <w:spacing w:after="0" w:line="255" w:lineRule="auto"/>
        <w:rPr>
          <w:sz w:val="20"/>
          <w:szCs w:val="20"/>
          <w:color w:val="auto"/>
        </w:rPr>
      </w:pPr>
      <w:r>
        <w:rPr>
          <w:rFonts w:ascii="Times New Roman" w:cs="Times New Roman" w:eastAsia="Times New Roman" w:hAnsi="Times New Roman"/>
          <w:sz w:val="18"/>
          <w:szCs w:val="18"/>
          <w:color w:val="auto"/>
        </w:rPr>
        <w:t>Our drug re-innovation approach involves the filing of patent applications covering new methods of use and/or new formulations of previously known, studied and/or marketed drugs. Although the protection afforded by our patent and patent applications may be significant with respect to BXCL501, BXCL502, BXCL701 and BXCL702, when looking at our patents’ ability to block competition, the protection offered by our patents may be, to some extent, more limited than the protection provided by patents claiming the composition of matter of entirely new chemical structures previously unknown. If a competitor were able to successfully design around any method of use and formulation patents we may have in the future, our business and competitive advantage could be adversely affected.</w:t>
      </w:r>
    </w:p>
    <w:p>
      <w:pPr>
        <w:spacing w:after="0" w:line="162"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We may elect to sue a third party, or otherwise make a claim, alleging infringement or other violation of patents, trademarks, trade dress, copyrights, trade secrets, domain names or other intellectual property rights that we either own or license from BioXcel LLC. If we do not prevail in enforcing our intellectual property rights in this type of litigation, we may be subject to:</w:t>
      </w:r>
    </w:p>
    <w:p>
      <w:pPr>
        <w:spacing w:after="0" w:line="139" w:lineRule="exact"/>
        <w:rPr>
          <w:sz w:val="20"/>
          <w:szCs w:val="20"/>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monetary damages related to the legal expenses of the third party;</w:t>
      </w:r>
    </w:p>
    <w:p>
      <w:pPr>
        <w:spacing w:after="0" w:line="184"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facing additional competition that may have a significant adverse effect on our product pricing, market share, business operations, financial condition, and the commercial viability of our products;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8" w:name="page129"/>
    <w:bookmarkEnd w:id="1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199" w:hanging="319"/>
        <w:spacing w:after="0" w:line="266"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our company or delaying or terminating select business opportunities, including, but not limited to, research and development, clinical trial, and commercialization activities, due to a potential deterioration of our financial condition or market competitiveness.</w:t>
      </w:r>
    </w:p>
    <w:p>
      <w:pPr>
        <w:spacing w:after="0" w:line="149"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A third-party may also challenge the validity, enforceability or scope of the intellectual property rights that we license or own; and the result of these challenges may narrow the scope or claims of or invalidate patents that are integral to our product candidates in the future. There can be no assurance that we will be able to successfully defend patents we own in an action against third parties due to the unpredictability of litigation and the high costs associated with intellectual property litigation, amongst other factors.</w:t>
      </w:r>
    </w:p>
    <w:p>
      <w:pPr>
        <w:spacing w:after="0" w:line="143" w:lineRule="exact"/>
        <w:rPr>
          <w:sz w:val="20"/>
          <w:szCs w:val="20"/>
          <w:color w:val="auto"/>
        </w:rPr>
      </w:pPr>
    </w:p>
    <w:p>
      <w:pPr>
        <w:jc w:val="both"/>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Intellectual property rights and enforcement may be less extensive in jurisdictions outside of the U.S.; thus, we may not be able to protect our intellectual property and third parties may be able to market competitive products that may use some or all of our intellectual property.</w:t>
      </w:r>
    </w:p>
    <w:p>
      <w:pPr>
        <w:spacing w:after="0" w:line="135" w:lineRule="exact"/>
        <w:rPr>
          <w:sz w:val="20"/>
          <w:szCs w:val="20"/>
          <w:color w:val="auto"/>
        </w:rPr>
      </w:pPr>
    </w:p>
    <w:p>
      <w:pPr>
        <w:ind w:left="60" w:right="279" w:firstLine="324"/>
        <w:spacing w:after="0" w:line="258" w:lineRule="auto"/>
        <w:rPr>
          <w:sz w:val="20"/>
          <w:szCs w:val="20"/>
          <w:color w:val="auto"/>
        </w:rPr>
      </w:pPr>
      <w:r>
        <w:rPr>
          <w:rFonts w:ascii="Times New Roman" w:cs="Times New Roman" w:eastAsia="Times New Roman" w:hAnsi="Times New Roman"/>
          <w:sz w:val="18"/>
          <w:szCs w:val="18"/>
          <w:color w:val="auto"/>
        </w:rPr>
        <w:t>Changes to patent law, including the Leahy-Smith America Invents Act of 2011 and the Patent Reform Act of 2009 and other future article of legislation, may substantially change the regulations and procedures surrounding patent applications, issuance of patents, and prosecution of patents. We can give no assurances that our patents and those of our licensor, BioXcel LLC, can be defended or will protect us against future intellectual property challenges, particularly as they pertain to changes in patent law and future patent law interpretations.</w:t>
      </w:r>
    </w:p>
    <w:p>
      <w:pPr>
        <w:spacing w:after="0" w:line="156" w:lineRule="exact"/>
        <w:rPr>
          <w:sz w:val="20"/>
          <w:szCs w:val="20"/>
          <w:color w:val="auto"/>
        </w:rPr>
      </w:pPr>
    </w:p>
    <w:p>
      <w:pPr>
        <w:ind w:left="60" w:right="519" w:firstLine="324"/>
        <w:spacing w:after="0" w:line="261" w:lineRule="auto"/>
        <w:rPr>
          <w:sz w:val="20"/>
          <w:szCs w:val="20"/>
          <w:color w:val="auto"/>
        </w:rPr>
      </w:pPr>
      <w:r>
        <w:rPr>
          <w:rFonts w:ascii="Times New Roman" w:cs="Times New Roman" w:eastAsia="Times New Roman" w:hAnsi="Times New Roman"/>
          <w:sz w:val="18"/>
          <w:szCs w:val="18"/>
          <w:color w:val="auto"/>
        </w:rPr>
        <w:t>In addition, enforcing and maintaining our intellectual property protection depends on compliance with various procedural, document submission, fee payment and other requirements imposed by the USPTO, courts and foreign government patent agencies, and our patent protection could be reduced or eliminated for non- compliance with these requirements.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Owning our Common Stock</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fluctuate substantially.</w:t>
      </w:r>
    </w:p>
    <w:p>
      <w:pPr>
        <w:spacing w:after="0" w:line="202"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You should consider an investment in our common stock to be risky, and you should invest in our common stock only if you can withstand a significant loss and wide fluctuations in the market value of your investment. Some factors that may cause the market price of our common stock to fluctuate, in addition to the other risks mentioned in this "Risk Factors" section, are:</w:t>
      </w:r>
    </w:p>
    <w:p>
      <w:pPr>
        <w:spacing w:after="0" w:line="139" w:lineRule="exact"/>
        <w:rPr>
          <w:sz w:val="20"/>
          <w:szCs w:val="20"/>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our common stock by our stockholders, executives, and directors;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limitations in trading volumes of our shares of common stock;</w:t>
      </w:r>
    </w:p>
    <w:p>
      <w:pPr>
        <w:spacing w:after="0" w:line="198"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speculative trading in and short sales of our stock, as well as trading phenomena such as the “short squeeze” and “short and distort” schemes;</w:t>
      </w:r>
    </w:p>
    <w:p>
      <w:pPr>
        <w:spacing w:after="0" w:line="121"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financings to conduct and complete research and development activities including, but not limited to, our clinical trials, and other business activities;</w:t>
      </w:r>
    </w:p>
    <w:p>
      <w:pPr>
        <w:spacing w:after="0" w:line="121" w:lineRule="exact"/>
        <w:rPr>
          <w:rFonts w:ascii="Times New Roman" w:cs="Times New Roman" w:eastAsia="Times New Roman" w:hAnsi="Times New Roman"/>
          <w:sz w:val="18"/>
          <w:szCs w:val="18"/>
          <w:color w:val="auto"/>
        </w:rPr>
      </w:pPr>
    </w:p>
    <w:p>
      <w:pPr>
        <w:ind w:left="720" w:right="779" w:hanging="319"/>
        <w:spacing w:after="0" w:line="282"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delays in the expected recognition of revenue due to lengthy and sometimes unpredictable sales timelines;</w:t>
      </w:r>
    </w:p>
    <w:p>
      <w:pPr>
        <w:spacing w:after="0" w:line="134" w:lineRule="exact"/>
        <w:rPr>
          <w:rFonts w:ascii="Times New Roman" w:cs="Times New Roman" w:eastAsia="Times New Roman" w:hAnsi="Times New Roman"/>
          <w:sz w:val="18"/>
          <w:szCs w:val="18"/>
          <w:color w:val="auto"/>
        </w:rPr>
      </w:pPr>
    </w:p>
    <w:p>
      <w:pPr>
        <w:jc w:val="both"/>
        <w:ind w:left="720" w:right="379" w:hanging="319"/>
        <w:spacing w:after="0" w:line="266"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introductions of new applications and services by us or our competitors or any other change in the competitive dynamics of our industry, including consolidation among competitors, customers or strategic partners;</w:t>
      </w:r>
    </w:p>
    <w:p>
      <w:pPr>
        <w:spacing w:after="0" w:line="13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outages or security breaches;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renewal rates and the timing and terms of customer renewals;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9" w:name="page130"/>
    <w:bookmarkEnd w:id="1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resources and the necessary personnel to conduct clinical trials on our desired schedule;</w:t>
      </w:r>
    </w:p>
    <w:p>
      <w:pPr>
        <w:spacing w:after="0" w:line="198"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enrollment or results of our clinical trials for our product candidates or any future clinical trials we may conduct;</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development status of our product candidates;</w:t>
      </w:r>
    </w:p>
    <w:p>
      <w:pPr>
        <w:spacing w:after="0" w:line="184" w:lineRule="exact"/>
        <w:rPr>
          <w:rFonts w:ascii="Times New Roman" w:cs="Times New Roman" w:eastAsia="Times New Roman" w:hAnsi="Times New Roman"/>
          <w:sz w:val="18"/>
          <w:szCs w:val="18"/>
          <w:color w:val="auto"/>
        </w:rPr>
      </w:pPr>
    </w:p>
    <w:p>
      <w:pPr>
        <w:ind w:left="720" w:right="619" w:hanging="319"/>
        <w:spacing w:after="0" w:line="282"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or adverse developments or perceived adverse developments with respect to our preclinical and clinical trials;</w:t>
      </w:r>
    </w:p>
    <w:p>
      <w:pPr>
        <w:spacing w:after="0" w:line="134"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submission for studies or product approvals or adverse regulatory decisions, including failure to receive regulatory approval for our product candidates;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safety concerns related to the use of our product candidates;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to meet external expectations or management guidance;</w:t>
      </w:r>
    </w:p>
    <w:p>
      <w:pPr>
        <w:spacing w:after="0" w:line="198" w:lineRule="exact"/>
        <w:rPr>
          <w:rFonts w:ascii="Times New Roman" w:cs="Times New Roman" w:eastAsia="Times New Roman" w:hAnsi="Times New Roman"/>
          <w:sz w:val="18"/>
          <w:szCs w:val="18"/>
          <w:color w:val="auto"/>
        </w:rPr>
      </w:pPr>
    </w:p>
    <w:p>
      <w:pPr>
        <w:ind w:left="720" w:right="779" w:hanging="319"/>
        <w:spacing w:after="0" w:line="282"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or dividend policy, future issuances of securities, sales of large blocks of common stock by our stockholders;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position;</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and events surrounding financing efforts, including debt and equity securities;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enter into new markets or develop new products;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issues;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technologies and products or new technologies and products that may emerge;</w:t>
      </w:r>
    </w:p>
    <w:p>
      <w:pPr>
        <w:spacing w:after="0" w:line="198"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acquisitions, partnerships, collaborations, joint ventures, new products, capital commitments, or other events by us or our competitors;</w:t>
      </w:r>
    </w:p>
    <w:p>
      <w:pPr>
        <w:spacing w:after="0" w:line="121" w:lineRule="exact"/>
        <w:rPr>
          <w:rFonts w:ascii="Times New Roman" w:cs="Times New Roman" w:eastAsia="Times New Roman" w:hAnsi="Times New Roman"/>
          <w:sz w:val="18"/>
          <w:szCs w:val="18"/>
          <w:color w:val="auto"/>
        </w:rPr>
      </w:pPr>
    </w:p>
    <w:p>
      <w:pPr>
        <w:ind w:left="720" w:right="339" w:hanging="319"/>
        <w:spacing w:after="0" w:line="282"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political and market conditions in or any of the regions in which we conduct our business;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industry conditions or perceptions;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valuations of similar companies or groups of companies;</w:t>
      </w:r>
    </w:p>
    <w:p>
      <w:pPr>
        <w:spacing w:after="0" w:line="184"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analyst research reports, recommendation and changes in recommendations, price targets, and withdrawals of coverage;</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departures and additions of key personnel;</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and litigations related to intellectual properties, proprietary rights, and contractual obligations;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rules, regulations, or accounting practices and other dynamics;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may be out of our control.</w:t>
      </w:r>
    </w:p>
    <w:p>
      <w:pPr>
        <w:spacing w:after="0" w:line="198" w:lineRule="exact"/>
        <w:rPr>
          <w:sz w:val="20"/>
          <w:szCs w:val="20"/>
          <w:color w:val="auto"/>
        </w:rPr>
      </w:pPr>
    </w:p>
    <w:p>
      <w:pPr>
        <w:ind w:left="60" w:right="159" w:firstLine="324"/>
        <w:spacing w:after="0" w:line="281" w:lineRule="auto"/>
        <w:rPr>
          <w:sz w:val="20"/>
          <w:szCs w:val="20"/>
          <w:color w:val="auto"/>
        </w:rPr>
      </w:pPr>
      <w:r>
        <w:rPr>
          <w:rFonts w:ascii="Times New Roman" w:cs="Times New Roman" w:eastAsia="Times New Roman" w:hAnsi="Times New Roman"/>
          <w:sz w:val="17"/>
          <w:szCs w:val="17"/>
          <w:color w:val="auto"/>
        </w:rPr>
        <w:t>In addition, if the market for stocks in our industry or industries related to our industry, or the stock market in general, experiences a loss of investor confidence, the trading price of our common stock could decline for reasons unrelated to our business, financial condition and results of operations. If any of the foregoing occurs, it could cause our stock price to fall and may expose us to lawsuits that, even if unsuccessful, could be costly to defend and a distraction to management.</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0" w:name="page131"/>
    <w:bookmarkEnd w:id="1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3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including common stock that may be sold following exercise of outstanding warrants, would result in additional dilution of the percentage ownership of our stockholders and could adversely impact the share price of our common stock.</w:t>
      </w:r>
    </w:p>
    <w:p>
      <w:pPr>
        <w:spacing w:after="0" w:line="134"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continue our planned operations, including, without limitation, funding our trials and studies, marketing and commercializing our products and funding our operations. Accordingly, we have sold, and in the future may sell, common stock, convertible securities or other equity securities in one or more transactions at prices and in a manner we determine from time to time. To the extent we raise additional capital by issuing additional shares of common stock or securities convertible or exchangeable for our common stock, our stockholders may experience substantial dilution, and new investors could gain rights superior to our existing stockholders.</w:t>
      </w:r>
    </w:p>
    <w:p>
      <w:pPr>
        <w:spacing w:after="0" w:line="148" w:lineRule="exact"/>
        <w:rPr>
          <w:sz w:val="20"/>
          <w:szCs w:val="20"/>
          <w:color w:val="auto"/>
        </w:rPr>
      </w:pPr>
    </w:p>
    <w:p>
      <w:pPr>
        <w:ind w:left="60" w:right="239"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March 2024, we issued and sold in a registered direct offering 3,054,609 shares of our common stock, accompanying warrants to purchase up to 8,619,636 shares of our common stock and pre-funded warrants to purchase up to 5,565,027 shares of our common stock (see Note 11, </w:t>
      </w:r>
      <w:r>
        <w:rPr>
          <w:rFonts w:ascii="Times New Roman" w:cs="Times New Roman" w:eastAsia="Times New Roman" w:hAnsi="Times New Roman"/>
          <w:sz w:val="18"/>
          <w:szCs w:val="18"/>
          <w:i w:val="1"/>
          <w:iCs w:val="1"/>
          <w:color w:val="auto"/>
        </w:rPr>
        <w:t>Common Stock Financing Activities</w:t>
      </w:r>
      <w:r>
        <w:rPr>
          <w:rFonts w:ascii="Times New Roman" w:cs="Times New Roman" w:eastAsia="Times New Roman" w:hAnsi="Times New Roman"/>
          <w:sz w:val="18"/>
          <w:szCs w:val="18"/>
          <w:color w:val="auto"/>
        </w:rPr>
        <w:t xml:space="preserve"> in this Quarterly Report on Form 10-Q for additional information). The number of shares of common stock underlying our outstanding warrants is significant in relation to our outstanding common stock (20.3% as of October 23, 2024), which could have a negative effect on the market price of our common stock and make it more difficult for us to raise funds through future equity offerings. In the event these warrants are exercised, our stockholders will experience additional dilution. To the extent outstanding stock options or warrants are exercised, there would be further dilution to our existing stockholders, which could impact the price of our common stock.</w:t>
      </w:r>
    </w:p>
    <w:p>
      <w:pPr>
        <w:spacing w:after="0" w:line="157" w:lineRule="exact"/>
        <w:rPr>
          <w:sz w:val="20"/>
          <w:szCs w:val="20"/>
          <w:color w:val="auto"/>
        </w:rPr>
      </w:pPr>
    </w:p>
    <w:p>
      <w:pPr>
        <w:ind w:left="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certain of our stockholders control a significant number of shares of our common stock, they may have significant influence over actions requiring stockholder approval.</w:t>
      </w:r>
    </w:p>
    <w:p>
      <w:pPr>
        <w:spacing w:after="0" w:line="118"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As of September 30, 2024, our directors, executive officers and BioXcel LLC, and their respective affiliates, beneficially owned approximately 24.6% of our outstanding shares of common stock. As a result, these stockholders, acting together, would have significant control over the outcome of matters submitted to our stockholders for approval, including the election of directors and any merger, consolidation or sale of all or substantially all of our assets. In addition, these stockholders, acting together, would have significant control over the management and affairs of our Company. Accordingly, this concentration of ownership might harm the market price of our common stock by:</w:t>
      </w:r>
    </w:p>
    <w:p>
      <w:pPr>
        <w:spacing w:after="0" w:line="187" w:lineRule="exact"/>
        <w:rPr>
          <w:sz w:val="20"/>
          <w:szCs w:val="20"/>
          <w:color w:val="auto"/>
        </w:rPr>
      </w:pPr>
    </w:p>
    <w:p>
      <w:pPr>
        <w:ind w:left="720" w:hanging="319"/>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in corporate control;</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us.</w:t>
      </w:r>
    </w:p>
    <w:p>
      <w:pPr>
        <w:spacing w:after="0" w:line="181"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on our shares of common stock so any returns will be limited to the value of our shares.</w:t>
      </w:r>
    </w:p>
    <w:p>
      <w:pPr>
        <w:spacing w:after="0" w:line="118" w:lineRule="exact"/>
        <w:rPr>
          <w:sz w:val="20"/>
          <w:szCs w:val="20"/>
          <w:color w:val="auto"/>
        </w:rPr>
      </w:pPr>
    </w:p>
    <w:p>
      <w:pPr>
        <w:ind w:left="60" w:right="679" w:firstLine="324"/>
        <w:spacing w:after="0" w:line="266" w:lineRule="auto"/>
        <w:rPr>
          <w:sz w:val="20"/>
          <w:szCs w:val="20"/>
          <w:color w:val="auto"/>
        </w:rPr>
      </w:pPr>
      <w:r>
        <w:rPr>
          <w:rFonts w:ascii="Times New Roman" w:cs="Times New Roman" w:eastAsia="Times New Roman" w:hAnsi="Times New Roman"/>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increase, if any, of our share price.</w:t>
      </w:r>
    </w:p>
    <w:p>
      <w:pPr>
        <w:spacing w:after="0" w:line="145"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were deemed to be an investment company under the Investment Company Act of 1940, as amended (the “1940 Act”), applicable restrictions could make it impractical for us to continue our business as contemplated and could have a material adverse effect on our business, financial condition and results of operations.</w:t>
      </w:r>
    </w:p>
    <w:p>
      <w:pPr>
        <w:spacing w:after="0" w:line="134" w:lineRule="exact"/>
        <w:rPr>
          <w:sz w:val="20"/>
          <w:szCs w:val="20"/>
          <w:color w:val="auto"/>
        </w:rPr>
      </w:pPr>
    </w:p>
    <w:p>
      <w:pPr>
        <w:ind w:left="60" w:right="339" w:firstLine="324"/>
        <w:spacing w:after="0" w:line="281" w:lineRule="auto"/>
        <w:rPr>
          <w:sz w:val="20"/>
          <w:szCs w:val="20"/>
          <w:color w:val="auto"/>
        </w:rPr>
      </w:pPr>
      <w:r>
        <w:rPr>
          <w:rFonts w:ascii="Times New Roman" w:cs="Times New Roman" w:eastAsia="Times New Roman" w:hAnsi="Times New Roman"/>
          <w:sz w:val="17"/>
          <w:szCs w:val="17"/>
          <w:color w:val="auto"/>
        </w:rPr>
        <w:t>Under Sections 3(a)(1)(A) and (C) of the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1" w:name="page132"/>
    <w:bookmarkEnd w:id="1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66" w:lineRule="auto"/>
        <w:rPr>
          <w:sz w:val="20"/>
          <w:szCs w:val="20"/>
          <w:color w:val="auto"/>
        </w:rPr>
      </w:pPr>
      <w:r>
        <w:rPr>
          <w:rFonts w:ascii="Times New Roman" w:cs="Times New Roman" w:eastAsia="Times New Roman" w:hAnsi="Times New Roman"/>
          <w:sz w:val="18"/>
          <w:szCs w:val="18"/>
          <w:color w:val="auto"/>
        </w:rPr>
        <w:t>investment securities having a value exceeding 40% of the value of its total assets (exclusive of U.S. government securities and cash items) on an unconsolidated basis. We do not believe that we are an “investment company,” as such term is defined in the 1940 Act.</w:t>
      </w:r>
    </w:p>
    <w:p>
      <w:pPr>
        <w:spacing w:after="0" w:line="149" w:lineRule="exact"/>
        <w:rPr>
          <w:sz w:val="20"/>
          <w:szCs w:val="20"/>
          <w:color w:val="auto"/>
        </w:rPr>
      </w:pPr>
    </w:p>
    <w:p>
      <w:pPr>
        <w:ind w:left="60" w:right="379" w:firstLine="324"/>
        <w:spacing w:after="0" w:line="256" w:lineRule="auto"/>
        <w:rPr>
          <w:sz w:val="20"/>
          <w:szCs w:val="20"/>
          <w:color w:val="auto"/>
        </w:rPr>
      </w:pPr>
      <w:r>
        <w:rPr>
          <w:rFonts w:ascii="Times New Roman" w:cs="Times New Roman" w:eastAsia="Times New Roman" w:hAnsi="Times New Roman"/>
          <w:sz w:val="18"/>
          <w:szCs w:val="18"/>
          <w:color w:val="auto"/>
        </w:rPr>
        <w:t>Notwithstanding Sections 3(a)(1)(A) and (C) of the 1940 Act, we are a research and development company and comply with the safe harbor requirements of Rule 3a-8 of the 1940 Act.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 financial condition and results of operations.</w:t>
      </w:r>
    </w:p>
    <w:p>
      <w:pPr>
        <w:spacing w:after="0" w:line="143"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are able to avail ourselves of reduced disclosure requirements applicable to smaller reporting companies, which could make our common stock less attractive to investors.</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are a smaller reporting company, and we will remain a smaller reporting company until we determine that either</w:t>
      </w:r>
    </w:p>
    <w:p>
      <w:pPr>
        <w:spacing w:after="0" w:line="27" w:lineRule="exact"/>
        <w:rPr>
          <w:sz w:val="20"/>
          <w:szCs w:val="20"/>
          <w:color w:val="auto"/>
        </w:rPr>
      </w:pPr>
    </w:p>
    <w:p>
      <w:pPr>
        <w:ind w:left="60" w:right="179" w:hanging="10"/>
        <w:spacing w:after="0" w:line="251" w:lineRule="auto"/>
        <w:tabs>
          <w:tab w:leader="none" w:pos="3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revenues are at least $100 million and our voting and non-voting common stock held by non-affiliates is at least $250 million measured on the last business day of our most recent second fiscal quarter, or (2) our voting and non-voting common stock held by non-affiliates is at least $700 million measured on the last business day of our most recent second fiscal quarter. Smaller reporting companies are able to provide simplified executive compensation disclosure, and have certain other reduced disclosure obligations, including, among other things, being required to provide only two years of audited financial statements and not being required to provide selected financial data, supplemental financial information or risk factors. In addition, as a non-accelerated filer, we are exempt from the auditor attestation requirements of Section 404 of the Sarbanes-Oxley Act.</w:t>
      </w:r>
    </w:p>
    <w:p>
      <w:pPr>
        <w:spacing w:after="0" w:line="167" w:lineRule="exact"/>
        <w:rPr>
          <w:sz w:val="20"/>
          <w:szCs w:val="20"/>
          <w:color w:val="auto"/>
        </w:rPr>
      </w:pPr>
    </w:p>
    <w:p>
      <w:pPr>
        <w:ind w:left="60" w:right="359" w:firstLine="324"/>
        <w:spacing w:after="0" w:line="261"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reporting obligations.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w:t>
      </w:r>
    </w:p>
    <w:p>
      <w:pPr>
        <w:spacing w:after="0" w:line="135" w:lineRule="exact"/>
        <w:rPr>
          <w:sz w:val="20"/>
          <w:szCs w:val="20"/>
          <w:color w:val="auto"/>
        </w:rPr>
      </w:pPr>
    </w:p>
    <w:p>
      <w:pPr>
        <w:ind w:left="60" w:right="1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and may in the future be subject to legal proceedings, claims and investigations in or outside the ordinary course of business. Such proceedings, claims and investigations could be costly and time-consuming to defend and could result in unfavorable outcomes, which may have a material adverse effect on our business, operating results and financial condition, and negatively affect the price of our common stock.</w:t>
      </w:r>
    </w:p>
    <w:p>
      <w:pPr>
        <w:spacing w:after="0" w:line="140" w:lineRule="exact"/>
        <w:rPr>
          <w:sz w:val="20"/>
          <w:szCs w:val="20"/>
          <w:color w:val="auto"/>
        </w:rPr>
      </w:pPr>
    </w:p>
    <w:p>
      <w:pPr>
        <w:ind w:left="60" w:right="239" w:firstLine="324"/>
        <w:spacing w:after="0" w:line="253" w:lineRule="auto"/>
        <w:rPr>
          <w:sz w:val="20"/>
          <w:szCs w:val="20"/>
          <w:color w:val="auto"/>
        </w:rPr>
      </w:pPr>
      <w:r>
        <w:rPr>
          <w:rFonts w:ascii="Times New Roman" w:cs="Times New Roman" w:eastAsia="Times New Roman" w:hAnsi="Times New Roman"/>
          <w:sz w:val="18"/>
          <w:szCs w:val="18"/>
          <w:color w:val="auto"/>
        </w:rPr>
        <w:t xml:space="preserve">We are, and may in the future become, subject to various legal proceedings, claims and investigations that arise in or outside the ordinary course of business. For example, on July 7, 2023, plaintiff Katelyn Martin filed a class action complaint against the Company and certain executives in the United States District Court for the District of Connecticut, captioned </w:t>
      </w:r>
      <w:r>
        <w:rPr>
          <w:rFonts w:ascii="Times New Roman" w:cs="Times New Roman" w:eastAsia="Times New Roman" w:hAnsi="Times New Roman"/>
          <w:sz w:val="18"/>
          <w:szCs w:val="18"/>
          <w:i w:val="1"/>
          <w:iCs w:val="1"/>
          <w:color w:val="auto"/>
        </w:rPr>
        <w:t>Martin v. BioXcel Therapeutics, et al.</w:t>
      </w:r>
      <w:r>
        <w:rPr>
          <w:rFonts w:ascii="Times New Roman" w:cs="Times New Roman" w:eastAsia="Times New Roman" w:hAnsi="Times New Roman"/>
          <w:sz w:val="18"/>
          <w:szCs w:val="18"/>
          <w:color w:val="auto"/>
        </w:rPr>
        <w:t>, 3:23-cv-00915 (D. Conn). On October 4, 2023, pursuant to the Private Securities Litigation Reform Act, the court appointed two co-Lead Plaintiffs. The co-Lead Plaintiffs filed an amended complaint on December 5, 2023, alleging violations of Sections 10(b) and 20A of the Exchange Act and SEC Rule 10b-5 promulgated thereunder. On July 11, 2024, the Court dismissed the amended complaint without prejudice and, on August 1, 2024, co-Lead Plaintiffs filed a second amended complaint. The second amended complaint alleges that defendants made false or misleading statements regarding the TRANQUILITY II trial and the development of BXCL501 for an expanded indication related to the treatment of certain Alzheimer’s-related agitation. The Company moved to dismiss the second amended complaint on September 6, 2024. The Court has not yet ruled on the motion.</w:t>
      </w:r>
    </w:p>
    <w:p>
      <w:pPr>
        <w:spacing w:after="0" w:line="165"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November 28, 2023, Plaintiffs Pratheesan Panancherry and Jeffrey Bastress filed a stockholder derivative complaint in the United States District Court for the District of Connecticut purportedly on behalf of the Company and against Vimal Mehta, Richard I. Steinhart, Peter Mueller, June Bray, Sandeep Laumas, Michael Miller, Michal Votruba, and Krishnan Nandabalan as Defendants, and the Company as Nominal Defendant under the caption </w:t>
      </w:r>
      <w:r>
        <w:rPr>
          <w:rFonts w:ascii="Times New Roman" w:cs="Times New Roman" w:eastAsia="Times New Roman" w:hAnsi="Times New Roman"/>
          <w:sz w:val="18"/>
          <w:szCs w:val="18"/>
          <w:i w:val="1"/>
          <w:iCs w:val="1"/>
          <w:color w:val="auto"/>
        </w:rPr>
        <w:t>Panancherry et al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Mehta et al</w:t>
      </w:r>
      <w:r>
        <w:rPr>
          <w:rFonts w:ascii="Times New Roman" w:cs="Times New Roman" w:eastAsia="Times New Roman" w:hAnsi="Times New Roman"/>
          <w:sz w:val="18"/>
          <w:szCs w:val="18"/>
          <w:color w:val="auto"/>
        </w:rPr>
        <w:t xml:space="preserve">, 3:23-cv-1554. Following the initial action, Plaintiffs Maria Vomvolakis (3:24-cv-3) and Kelly Fowler (3:24-cv-203) each filed separate stockholder derivative complaints in the District of Connecticut raising similar claims as Panancherry and Bastress, including business torts and violations of the Securities Exchange Act of 1934. The cases have been consolidated under the caption </w:t>
      </w:r>
      <w:r>
        <w:rPr>
          <w:rFonts w:ascii="Times New Roman" w:cs="Times New Roman" w:eastAsia="Times New Roman" w:hAnsi="Times New Roman"/>
          <w:sz w:val="18"/>
          <w:szCs w:val="18"/>
          <w:i w:val="1"/>
          <w:iCs w:val="1"/>
          <w:color w:val="auto"/>
        </w:rPr>
        <w:t>In re BioXcel Therapeutics, Inc. Stockholder Derivative Litigation</w:t>
      </w:r>
      <w:r>
        <w:rPr>
          <w:rFonts w:ascii="Times New Roman" w:cs="Times New Roman" w:eastAsia="Times New Roman" w:hAnsi="Times New Roman"/>
          <w:sz w:val="18"/>
          <w:szCs w:val="18"/>
          <w:color w:val="auto"/>
        </w:rPr>
        <w:t>, 3:23-cv-1554 (D. Conn.). The consolidated action is currently stayed.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2" w:name="page133"/>
    <w:bookmarkEnd w:id="1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January 11, 2024, Plaintiff Jeremy Smith filed a stockholder derivative complaint in the United States District Court for the United States District Court for the District of Delaware purportedly on behalf of the Company and against Vimal Mehta, Peter Mueller, June Bray, Sandeep Laumas, Michael Miller, Michal Votruba, Richard I. Steinhart, Robert Risinger, and Krishnan Nandabalan as Defendants, and the Company as Nominal Defendant under the caption </w:t>
      </w:r>
      <w:r>
        <w:rPr>
          <w:rFonts w:ascii="Times New Roman" w:cs="Times New Roman" w:eastAsia="Times New Roman" w:hAnsi="Times New Roman"/>
          <w:sz w:val="18"/>
          <w:szCs w:val="18"/>
          <w:i w:val="1"/>
          <w:iCs w:val="1"/>
          <w:color w:val="auto"/>
        </w:rPr>
        <w:t>Smith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Mehta et al</w:t>
      </w:r>
      <w:r>
        <w:rPr>
          <w:rFonts w:ascii="Times New Roman" w:cs="Times New Roman" w:eastAsia="Times New Roman" w:hAnsi="Times New Roman"/>
          <w:sz w:val="18"/>
          <w:szCs w:val="18"/>
          <w:color w:val="auto"/>
        </w:rPr>
        <w:t>, 1:24-cv-00041. Following the initial action, Plaintiff Janice Korff filed a stockholder derivative complaint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District of Delaware raising similar claims as Smith (1:24-cv-130), including business torts and violations of the Securities Exchange Act of 1934. The cases have been consolidated under the caption </w:t>
      </w:r>
      <w:r>
        <w:rPr>
          <w:rFonts w:ascii="Times New Roman" w:cs="Times New Roman" w:eastAsia="Times New Roman" w:hAnsi="Times New Roman"/>
          <w:sz w:val="18"/>
          <w:szCs w:val="18"/>
          <w:i w:val="1"/>
          <w:iCs w:val="1"/>
          <w:color w:val="auto"/>
        </w:rPr>
        <w:t>In re BioXcel Therapeutics,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Derivative Litigation, </w:t>
      </w:r>
      <w:r>
        <w:rPr>
          <w:rFonts w:ascii="Times New Roman" w:cs="Times New Roman" w:eastAsia="Times New Roman" w:hAnsi="Times New Roman"/>
          <w:sz w:val="18"/>
          <w:szCs w:val="18"/>
          <w:color w:val="auto"/>
        </w:rPr>
        <w:t>1:24-cv-00041 (D. Del.). The consolidated action is currently stayed.</w:t>
      </w:r>
    </w:p>
    <w:p>
      <w:pPr>
        <w:spacing w:after="0" w:line="165"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The Company is also cooperating with a formal investigation of the Company and certain of its officers and directors by the SEC, relating to the Company’s public disclosures, including about product sales and the receipt of a Form 483 by an investigator at one of the Company’s clinical trial sites in the TRANQUILITY II study, and trading in the securities of the Company. The Company has produced documents, and current and former officers and employees of the Company have testified before the SEC. The above-captioned proceedings, as well as any investigation or proceeding that may be instituted by the SEC may result in substantial costs or liabilities, as well as a diversion of management’s attention and resources, which could harm our business, result in a decline in the market price of our common stock and impact our financing efforts.</w:t>
      </w:r>
    </w:p>
    <w:p>
      <w:pPr>
        <w:spacing w:after="0" w:line="151" w:lineRule="exact"/>
        <w:rPr>
          <w:sz w:val="20"/>
          <w:szCs w:val="20"/>
          <w:color w:val="auto"/>
        </w:rPr>
      </w:pPr>
    </w:p>
    <w:p>
      <w:pPr>
        <w:ind w:left="60" w:right="199" w:firstLine="324"/>
        <w:spacing w:after="0" w:line="252" w:lineRule="auto"/>
        <w:rPr>
          <w:sz w:val="20"/>
          <w:szCs w:val="20"/>
          <w:color w:val="auto"/>
        </w:rPr>
      </w:pPr>
      <w:r>
        <w:rPr>
          <w:rFonts w:ascii="Times New Roman" w:cs="Times New Roman" w:eastAsia="Times New Roman" w:hAnsi="Times New Roman"/>
          <w:sz w:val="18"/>
          <w:szCs w:val="18"/>
          <w:color w:val="auto"/>
        </w:rPr>
        <w:t>The potential costs and liabilities associated with legal proceedings, claims and investigations involving us or members of our leadership team is uncertain, and the results of such legal proceedings, claims and investigations cannot be predicted with certainty. Lawsuits and other administrative or legal proceedings that may arise can involve substantial costs, including the costs associated with investigation, litigation and possible settlement, judgment, penalty or fine. In addition, lawsuits and other legal proceedings may be time consuming to defend or prosecute and may require a commitment of management and personnel resources that will be diverted from our normal business operations. Also, our insurance coverage may be insufficient, our assets may be insufficient to cover any amounts that exceed our insurance coverage, and we may have to pay damage awards or otherwise may enter into settlement arrangements in connection with such claims. Moreover, we may be unable to continue to maintain our existing insurance at a reasonable cost, if at all, or to secure additional coverage, which may result in costs associated with lawsuits and other legal proceedings being uninsured. Any such payments or settlement arrangements in current or future litigation could have a material adverse effect on our business, operating results or financial condition. Even if the plaintiffs’ claims are not successful, current or future litigation could result in substantial costs and significantly and adversely impact our reputation and divert management’s attention and resources, which could have a material adverse effect on our business, operating results and financial condition, and negatively affect the price of our common stock. In addition, such lawsuits may make it more difficult to finance our operations.</w:t>
      </w:r>
    </w:p>
    <w:p>
      <w:pPr>
        <w:spacing w:after="0" w:line="154" w:lineRule="exact"/>
        <w:rPr>
          <w:sz w:val="20"/>
          <w:szCs w:val="20"/>
          <w:color w:val="auto"/>
        </w:rPr>
      </w:pPr>
    </w:p>
    <w:p>
      <w:pPr>
        <w:ind w:left="60" w:right="379" w:firstLine="324"/>
        <w:spacing w:after="0" w:line="258" w:lineRule="auto"/>
        <w:rPr>
          <w:sz w:val="20"/>
          <w:szCs w:val="20"/>
          <w:color w:val="auto"/>
        </w:rPr>
      </w:pPr>
      <w:r>
        <w:rPr>
          <w:rFonts w:ascii="Times New Roman" w:cs="Times New Roman" w:eastAsia="Times New Roman" w:hAnsi="Times New Roman"/>
          <w:sz w:val="18"/>
          <w:szCs w:val="18"/>
          <w:color w:val="auto"/>
        </w:rPr>
        <w:t>Biotechnology and pharmaceutical companies with publicly traded stock or who obtain funding through the stock market often experience significant stock price volatility, based on events beyond their control, including outcomes of clinical trials, actions of regulators and product approvals. Such further litigation, may result in substantial costs and a diversion of management’s attention and resources, which could harm our business and result in a decline in the market price of our common stock.</w:t>
      </w:r>
    </w:p>
    <w:p>
      <w:pPr>
        <w:spacing w:after="0" w:line="152"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our bylaws, and Delaware law may have anti-takeover effects that could discourage, delay, or prevent a change in control, which may cause our stock price to decline.</w:t>
      </w:r>
    </w:p>
    <w:p>
      <w:pPr>
        <w:spacing w:after="0" w:line="118"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our amended and restated bylaws and Delaware law could make it more difficult for a third party to acquire us, even if closing such a transaction would be beneficial to our stockholders. We are authorized to issue up to 10 million shares of preferred stock. This preferred stock may be issued in one or more series, the terms of which may be determined at the time of issuance by our board of directors without further action by stockholders. The terms of any series of preferred stock may include voting rights (including the right to vote as a series on particular matters), preferences as to dividend, liquidation, conversion and redemption rights and sinking fund provisions. No preferred stock is currently outstanding. The issuance of any preferred stock could materially adversely affect the rights of the holders of our common stock, and therefore, reduce the value of our common stock. In particular, specific rights granted to future holders of preferred stock could be used to restrict our ability to merge with, or sell our assets to, a third party and thereby preserve control by the present management.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3" w:name="page134"/>
    <w:bookmarkEnd w:id="1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firstLine="324"/>
        <w:spacing w:after="0" w:line="258" w:lineRule="auto"/>
        <w:rPr>
          <w:sz w:val="20"/>
          <w:szCs w:val="20"/>
          <w:color w:val="auto"/>
        </w:rPr>
      </w:pPr>
      <w:r>
        <w:rPr>
          <w:rFonts w:ascii="Times New Roman" w:cs="Times New Roman" w:eastAsia="Times New Roman" w:hAnsi="Times New Roman"/>
          <w:sz w:val="18"/>
          <w:szCs w:val="18"/>
          <w:color w:val="auto"/>
        </w:rPr>
        <w:t>Provisions of our amended and restated certificate of incorporation and our amended and restated bylaws and Delaware law also could have the effect of discouraging potential acquisition proposals or making a tender offer or delaying or preventing a change in control, including changes a stockholder might consider favorable. Such provisions may also prevent or frustrate attempts by our stockholders to replace or remove our management. In particular, the certificate of incorporation and bylaws and Delaware law, as applicable, among other things:</w:t>
      </w:r>
    </w:p>
    <w:p>
      <w:pPr>
        <w:spacing w:after="0" w:line="156" w:lineRule="exact"/>
        <w:rPr>
          <w:sz w:val="20"/>
          <w:szCs w:val="20"/>
          <w:color w:val="auto"/>
        </w:rPr>
      </w:pPr>
    </w:p>
    <w:p>
      <w:pPr>
        <w:ind w:left="720" w:hanging="319"/>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board of directors with the ability to alter the bylaws without stockholder approval;</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limitations on the removal of directors;</w:t>
      </w:r>
    </w:p>
    <w:p>
      <w:pPr>
        <w:spacing w:after="0" w:line="184"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for election to the board of directors or for proposing matters that can be acted upon at stockholder meetings; and</w:t>
      </w:r>
    </w:p>
    <w:p>
      <w:pPr>
        <w:spacing w:after="0" w:line="134"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the board of directors may be filled by a majority of directors in office, although less than a quorum.</w:t>
      </w:r>
    </w:p>
    <w:p>
      <w:pPr>
        <w:spacing w:after="0" w:line="117"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Financial reporting obligations of being a public company in the U.S. are expensive and time-consuming, and our management is required to devote substantial time to compliance matters.</w:t>
      </w:r>
    </w:p>
    <w:p>
      <w:pPr>
        <w:spacing w:after="0" w:line="118" w:lineRule="exact"/>
        <w:rPr>
          <w:sz w:val="20"/>
          <w:szCs w:val="20"/>
          <w:color w:val="auto"/>
        </w:rPr>
      </w:pPr>
    </w:p>
    <w:p>
      <w:pPr>
        <w:ind w:left="60" w:right="199" w:firstLine="324"/>
        <w:spacing w:after="0" w:line="252" w:lineRule="auto"/>
        <w:rPr>
          <w:sz w:val="20"/>
          <w:szCs w:val="20"/>
          <w:color w:val="auto"/>
        </w:rPr>
      </w:pPr>
      <w:r>
        <w:rPr>
          <w:rFonts w:ascii="Times New Roman" w:cs="Times New Roman" w:eastAsia="Times New Roman" w:hAnsi="Times New Roman"/>
          <w:sz w:val="18"/>
          <w:szCs w:val="18"/>
          <w:color w:val="auto"/>
        </w:rPr>
        <w:t>As a publicly traded company we have incurred and will continue to incur significant legal, accounting and other expenses. The obligations of being a public company in the U.S. require significant expenditures and place significant demands on our management and other personnel, including costs resulting from public company reporting obligations under the Exchange Act and the rules and regulations regarding corporate governance practices, including those under the Sarbanes-Oxley Act, the Dodd-Frank Wall Street Reform and Consumer Protection Act, and the listing requirements of the stock exchange on which our securities are listed. These rules require the establishment and maintenance of effective disclosure and financial controls and procedures, internal control over financial reporting and changes in corporate governance practices, among many other complex rules that are often difficult to implement, monitor and maintain compliance with. Moreover, despite reforms made possible by the JOBS Act, the reporting requirements, rules, and regulations will make some activities more time-consuming and costly, particularly as we are no longer an “emerging growth company.” In addition, we expect these and similar rules and regulations to make it more difficult and more expensive for us to obtain director and officer liability insurance and we may be required to incur substantial costs to maintain such insurance. Our continued compliance with applicable requirements and to keep pace with new regulations requires management and other personnel to devote a substantial amount of their time, otherwise we may fall out of compliance and risk becoming subject to litigation or being delisted, among other potential problems.</w:t>
      </w:r>
    </w:p>
    <w:p>
      <w:pPr>
        <w:spacing w:after="0" w:line="1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85"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or publish unfavorable research or reports about our business, our stock price and trading volume may decline.</w:t>
      </w:r>
    </w:p>
    <w:p>
      <w:pPr>
        <w:spacing w:after="0" w:line="118"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The trading market for our common stock will rely in part on the research and reports that industry or financial analysts publish about us, our business, our markets and our competitors. We do not control these analysts. If securities analysts do not cover our common stock, the lack of research coverage may adversely affect the market price of our common stock. Furthermore, if one or more of the analysts who do cover us downgrade our stock or if those analysts issue other unfavorable commentary about us or our business, which has occurred in the past,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4" w:name="page135"/>
    <w:bookmarkEnd w:id="1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rules under the Sarbanes-Oxley Act related to accounting controls and procedures in the future, or, if we discover material weaknesses and other deficiencies in our internal control and accounting procedures, our stock price could decline significantly and raising capital could be more difficult.</w:t>
      </w:r>
    </w:p>
    <w:p>
      <w:pPr>
        <w:spacing w:after="0" w:line="148"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Section 404 of the Sarbanes-Oxley Act requires annual management assessments of the effectiveness of our internal control over financial reporting. If we fail to comply with the rules under the Sarbanes-Oxley Act related to disclosure controls and procedures in the future, or, if we discover material weaknesses and other deficiencies in our internal control and accounting procedures, our stock price could decline significantly and raising capital could be more difficult. We have discovered material weaknesses in the past. If future material weaknesses or significant deficiencies are discovered or if we otherwise fail to achieve and maintain the adequacy of our internal control, we may not be able to ensure that we can conclude on an ongoing basis that we have effective internal controls over financial reporting in accordance with Section 404 of the Sarbanes-Oxley Act. Moreover, effective internal controls are necessary for us to produce reliable financial reports and are important to helping prevent financial fraud. If we cannot provide reliable financial reports or prevent fraud, our business and operating results could be harmed, investors could lose confidence in our reported financial information, and the trading price of our common stock could drop significantly.</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tax reform bills could adversely affect our business and financial condition.</w:t>
      </w:r>
    </w:p>
    <w:p>
      <w:pPr>
        <w:spacing w:after="0" w:line="189"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In 2017, the U.S. government enacted comprehensive federal income tax legislation that includes significant changes to the taxation of business entities. These changes include, among others, a permanent reduction to the corporate income tax rate. Notwithstanding the reduction in the corporate income tax rate, the overall impact of this tax reform is uncertain, and our business and financial condition could be adversely affected. Future changes in corporate tax rates, the realization of net deferred tax assets relating to our operations, the taxation of any foreign earnings, and the deductibility of expenses under future reform legislation could have a material impact on the value of our deferred tax assets, could result in significant one-time charges, and could increase our future U.S. tax expense.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and Issuer Purchases of Equity Securities</w:t>
      </w:r>
    </w:p>
    <w:p>
      <w:pPr>
        <w:spacing w:after="0" w:line="2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ind w:left="620" w:hanging="246"/>
        <w:spacing w:after="0"/>
        <w:tabs>
          <w:tab w:leader="none" w:pos="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84" w:lineRule="exact"/>
        <w:rPr>
          <w:rFonts w:ascii="Times New Roman" w:cs="Times New Roman" w:eastAsia="Times New Roman" w:hAnsi="Times New Roman"/>
          <w:sz w:val="18"/>
          <w:szCs w:val="18"/>
          <w:color w:val="auto"/>
        </w:rPr>
      </w:pPr>
    </w:p>
    <w:p>
      <w:pPr>
        <w:ind w:left="620" w:hanging="246"/>
        <w:spacing w:after="0"/>
        <w:tabs>
          <w:tab w:leader="none" w:pos="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11" w:lineRule="exact"/>
        <w:rPr>
          <w:rFonts w:ascii="Times New Roman" w:cs="Times New Roman" w:eastAsia="Times New Roman" w:hAnsi="Times New Roman"/>
          <w:sz w:val="18"/>
          <w:szCs w:val="18"/>
          <w:color w:val="auto"/>
        </w:rPr>
      </w:pPr>
    </w:p>
    <w:p>
      <w:pPr>
        <w:ind w:left="60" w:right="399" w:firstLine="314"/>
        <w:spacing w:after="0" w:line="266" w:lineRule="auto"/>
        <w:tabs>
          <w:tab w:leader="none" w:pos="63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September 30, 2024, none of our directors or “officers” (as defined under as defined in Rule 16a-1(f) under the Exchange Act)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5" w:name="page136"/>
    <w:bookmarkEnd w:id="1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80" w:type="dxa"/>
            <w:vAlign w:val="bottom"/>
          </w:tcPr>
          <w:p>
            <w:pPr>
              <w:jc w:val="center"/>
              <w:ind w:left="752"/>
              <w:spacing w:after="0"/>
              <w:rPr>
                <w:sz w:val="20"/>
                <w:szCs w:val="20"/>
                <w:color w:val="auto"/>
              </w:rPr>
            </w:pPr>
            <w:r>
              <w:rPr>
                <w:rFonts w:ascii="Times New Roman" w:cs="Times New Roman" w:eastAsia="Times New Roman" w:hAnsi="Times New Roman"/>
                <w:sz w:val="14"/>
                <w:szCs w:val="14"/>
                <w:b w:val="1"/>
                <w:bCs w:val="1"/>
                <w:color w:val="auto"/>
                <w:w w:val="99"/>
              </w:rPr>
              <w:t>Filed/</w:t>
            </w:r>
          </w:p>
        </w:tc>
        <w:tc>
          <w:tcPr>
            <w:tcW w:w="0" w:type="dxa"/>
            <w:vAlign w:val="bottom"/>
          </w:tcPr>
          <w:p>
            <w:pPr>
              <w:spacing w:after="0"/>
              <w:rPr>
                <w:sz w:val="1"/>
                <w:szCs w:val="1"/>
                <w:color w:val="auto"/>
              </w:rPr>
            </w:pPr>
          </w:p>
        </w:tc>
      </w:tr>
      <w:tr>
        <w:trPr>
          <w:trHeight w:val="148"/>
        </w:trPr>
        <w:tc>
          <w:tcPr>
            <w:tcW w:w="82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40" w:type="dxa"/>
            <w:vAlign w:val="bottom"/>
            <w:gridSpan w:val="2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96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80" w:type="dxa"/>
            <w:vAlign w:val="bottom"/>
          </w:tcPr>
          <w:p>
            <w:pPr>
              <w:jc w:val="center"/>
              <w:ind w:left="752"/>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73"/>
        </w:trPr>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740" w:type="dxa"/>
            <w:vAlign w:val="bottom"/>
            <w:gridSpan w:val="23"/>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5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Filing Date  Herewith</w:t>
            </w:r>
          </w:p>
        </w:tc>
        <w:tc>
          <w:tcPr>
            <w:tcW w:w="0" w:type="dxa"/>
            <w:vAlign w:val="bottom"/>
          </w:tcPr>
          <w:p>
            <w:pPr>
              <w:spacing w:after="0"/>
              <w:rPr>
                <w:sz w:val="1"/>
                <w:szCs w:val="1"/>
                <w:color w:val="auto"/>
              </w:rPr>
            </w:pPr>
          </w:p>
        </w:tc>
      </w:tr>
      <w:tr>
        <w:trPr>
          <w:trHeight w:val="236"/>
        </w:trPr>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0"/>
                <w:szCs w:val="20"/>
                <w:color w:val="auto"/>
              </w:rPr>
            </w:pPr>
          </w:p>
        </w:tc>
        <w:tc>
          <w:tcPr>
            <w:tcW w:w="3940" w:type="dxa"/>
            <w:vAlign w:val="bottom"/>
            <w:tcBorders>
              <w:top w:val="single" w:sz="8" w:color="auto"/>
              <w:bottom w:val="single" w:sz="8" w:color="0000EE"/>
            </w:tcBorders>
            <w:gridSpan w:val="15"/>
          </w:tcPr>
          <w:p>
            <w:pPr>
              <w:spacing w:after="0"/>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Amended and Restated Certificate of Incorporation, as</w:t>
              </w:r>
            </w:hyperlink>
          </w:p>
        </w:tc>
        <w:tc>
          <w:tcPr>
            <w:tcW w:w="420" w:type="dxa"/>
            <w:vAlign w:val="bottom"/>
            <w:tcBorders>
              <w:top w:val="single" w:sz="8" w:color="auto"/>
            </w:tcBorders>
            <w:gridSpan w:val="10"/>
          </w:tcPr>
          <w:p>
            <w:pPr>
              <w:spacing w:after="0"/>
              <w:rPr>
                <w:sz w:val="20"/>
                <w:szCs w:val="20"/>
                <w:color w:val="auto"/>
              </w:rPr>
            </w:pPr>
          </w:p>
        </w:tc>
        <w:tc>
          <w:tcPr>
            <w:tcW w:w="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9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001-38410</w:t>
            </w: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580" w:type="dxa"/>
            <w:vAlign w:val="bottom"/>
            <w:tcBorders>
              <w:top w:val="single" w:sz="8" w:color="auto"/>
            </w:tcBorders>
          </w:tcPr>
          <w:p>
            <w:pPr>
              <w:jc w:val="center"/>
              <w:ind w:right="632"/>
              <w:spacing w:after="0"/>
              <w:rPr>
                <w:sz w:val="20"/>
                <w:szCs w:val="20"/>
                <w:color w:val="auto"/>
              </w:rPr>
            </w:pPr>
            <w:r>
              <w:rPr>
                <w:rFonts w:ascii="Times New Roman" w:cs="Times New Roman" w:eastAsia="Times New Roman" w:hAnsi="Times New Roman"/>
                <w:sz w:val="18"/>
                <w:szCs w:val="18"/>
                <w:color w:val="auto"/>
              </w:rPr>
              <w:t>8/10/2021</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150">
              <w:r>
                <w:rPr>
                  <w:rFonts w:ascii="Times New Roman" w:cs="Times New Roman" w:eastAsia="Times New Roman" w:hAnsi="Times New Roman"/>
                  <w:sz w:val="18"/>
                  <w:szCs w:val="18"/>
                  <w:color w:val="0000EE"/>
                  <w:w w:val="97"/>
                </w:rPr>
                <w:t>amended.</w:t>
              </w:r>
            </w:hyperlink>
          </w:p>
        </w:tc>
        <w:tc>
          <w:tcPr>
            <w:tcW w:w="3660" w:type="dxa"/>
            <w:vAlign w:val="bottom"/>
            <w:gridSpan w:val="24"/>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2"/>
                <w:szCs w:val="22"/>
                <w:color w:val="auto"/>
              </w:rPr>
            </w:pPr>
          </w:p>
        </w:tc>
        <w:tc>
          <w:tcPr>
            <w:tcW w:w="4360" w:type="dxa"/>
            <w:vAlign w:val="bottom"/>
            <w:gridSpan w:val="25"/>
          </w:tcPr>
          <w:p>
            <w:pPr>
              <w:spacing w:after="0"/>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Certificate of Amendment to Amended and Restated</w:t>
              </w:r>
            </w:hyperlink>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001-38410</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580" w:type="dxa"/>
            <w:vAlign w:val="bottom"/>
          </w:tcPr>
          <w:p>
            <w:pPr>
              <w:jc w:val="center"/>
              <w:ind w:right="652"/>
              <w:spacing w:after="0"/>
              <w:rPr>
                <w:sz w:val="20"/>
                <w:szCs w:val="20"/>
                <w:color w:val="auto"/>
              </w:rPr>
            </w:pPr>
            <w:r>
              <w:rPr>
                <w:rFonts w:ascii="Times New Roman" w:cs="Times New Roman" w:eastAsia="Times New Roman" w:hAnsi="Times New Roman"/>
                <w:sz w:val="18"/>
                <w:szCs w:val="18"/>
                <w:color w:val="auto"/>
                <w:w w:val="98"/>
              </w:rPr>
              <w:t>6/11/2024</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60" w:type="dxa"/>
            <w:vAlign w:val="bottom"/>
            <w:gridSpan w:val="25"/>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Certificate of Incorporation of BioXcel Therapeutics, Inc.,</w:t>
              </w:r>
            </w:hyperlink>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as amended, dated June 10, 2024.</w:t>
              </w:r>
            </w:hyperlink>
          </w:p>
        </w:tc>
        <w:tc>
          <w:tcPr>
            <w:tcW w:w="1780" w:type="dxa"/>
            <w:vAlign w:val="bottom"/>
            <w:tcBorders>
              <w:top w:val="single" w:sz="8" w:color="0000EE"/>
            </w:tcBorders>
            <w:gridSpan w:val="13"/>
          </w:tcPr>
          <w:p>
            <w:pPr>
              <w:spacing w:after="0"/>
              <w:rPr>
                <w:sz w:val="17"/>
                <w:szCs w:val="17"/>
                <w:color w:val="auto"/>
              </w:rPr>
            </w:pPr>
          </w:p>
        </w:tc>
        <w:tc>
          <w:tcPr>
            <w:tcW w:w="16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tcPr>
          <w:p>
            <w:pPr>
              <w:spacing w:after="0"/>
              <w:rPr>
                <w:sz w:val="22"/>
                <w:szCs w:val="22"/>
                <w:color w:val="auto"/>
              </w:rPr>
            </w:pPr>
          </w:p>
        </w:tc>
        <w:tc>
          <w:tcPr>
            <w:tcW w:w="23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Amended and Restated Bylaws.</w:t>
              </w:r>
            </w:hyperlink>
          </w:p>
        </w:tc>
        <w:tc>
          <w:tcPr>
            <w:tcW w:w="2060" w:type="dxa"/>
            <w:vAlign w:val="bottom"/>
            <w:gridSpan w:val="21"/>
          </w:tcPr>
          <w:p>
            <w:pPr>
              <w:spacing w:after="0"/>
              <w:rPr>
                <w:sz w:val="22"/>
                <w:szCs w:val="22"/>
                <w:color w:val="auto"/>
              </w:rPr>
            </w:pPr>
          </w:p>
        </w:tc>
        <w:tc>
          <w:tcPr>
            <w:tcW w:w="14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8-K   001-38410</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3.2</w:t>
            </w:r>
          </w:p>
        </w:tc>
        <w:tc>
          <w:tcPr>
            <w:tcW w:w="1580" w:type="dxa"/>
            <w:vAlign w:val="bottom"/>
          </w:tcPr>
          <w:p>
            <w:pPr>
              <w:jc w:val="center"/>
              <w:ind w:right="632"/>
              <w:spacing w:after="0"/>
              <w:rPr>
                <w:sz w:val="20"/>
                <w:szCs w:val="20"/>
                <w:color w:val="auto"/>
              </w:rPr>
            </w:pPr>
            <w:r>
              <w:rPr>
                <w:rFonts w:ascii="Times New Roman" w:cs="Times New Roman" w:eastAsia="Times New Roman" w:hAnsi="Times New Roman"/>
                <w:sz w:val="18"/>
                <w:szCs w:val="18"/>
                <w:color w:val="auto"/>
              </w:rPr>
              <w:t>3/13/2018</w:t>
            </w:r>
          </w:p>
        </w:tc>
        <w:tc>
          <w:tcPr>
            <w:tcW w:w="0" w:type="dxa"/>
            <w:vAlign w:val="bottom"/>
          </w:tcPr>
          <w:p>
            <w:pPr>
              <w:spacing w:after="0"/>
              <w:rPr>
                <w:sz w:val="1"/>
                <w:szCs w:val="1"/>
                <w:color w:val="auto"/>
              </w:rPr>
            </w:pPr>
          </w:p>
        </w:tc>
      </w:tr>
      <w:tr>
        <w:trPr>
          <w:trHeight w:val="263"/>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2"/>
                <w:szCs w:val="22"/>
                <w:color w:val="auto"/>
              </w:rPr>
            </w:pPr>
          </w:p>
        </w:tc>
        <w:tc>
          <w:tcPr>
            <w:tcW w:w="37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Form of Warrant Agreement, dated March 20, 2024</w:t>
              </w:r>
            </w:hyperlink>
          </w:p>
        </w:tc>
        <w:tc>
          <w:tcPr>
            <w:tcW w:w="580" w:type="dxa"/>
            <w:vAlign w:val="bottom"/>
            <w:gridSpan w:val="13"/>
          </w:tcPr>
          <w:p>
            <w:pPr>
              <w:spacing w:after="0"/>
              <w:rPr>
                <w:sz w:val="22"/>
                <w:szCs w:val="22"/>
                <w:color w:val="auto"/>
              </w:rPr>
            </w:pPr>
          </w:p>
        </w:tc>
        <w:tc>
          <w:tcPr>
            <w:tcW w:w="14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10-K  001-38410</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580" w:type="dxa"/>
            <w:vAlign w:val="bottom"/>
          </w:tcPr>
          <w:p>
            <w:pPr>
              <w:jc w:val="center"/>
              <w:ind w:right="632"/>
              <w:spacing w:after="0"/>
              <w:rPr>
                <w:sz w:val="20"/>
                <w:szCs w:val="20"/>
                <w:color w:val="auto"/>
              </w:rPr>
            </w:pPr>
            <w:r>
              <w:rPr>
                <w:rFonts w:ascii="Times New Roman" w:cs="Times New Roman" w:eastAsia="Times New Roman" w:hAnsi="Times New Roman"/>
                <w:sz w:val="18"/>
                <w:szCs w:val="18"/>
                <w:color w:val="auto"/>
              </w:rPr>
              <w:t>3/22/2024</w:t>
            </w:r>
          </w:p>
        </w:tc>
        <w:tc>
          <w:tcPr>
            <w:tcW w:w="0" w:type="dxa"/>
            <w:vAlign w:val="bottom"/>
          </w:tcPr>
          <w:p>
            <w:pPr>
              <w:spacing w:after="0"/>
              <w:rPr>
                <w:sz w:val="1"/>
                <w:szCs w:val="1"/>
                <w:color w:val="auto"/>
              </w:rPr>
            </w:pPr>
          </w:p>
        </w:tc>
      </w:tr>
      <w:tr>
        <w:trPr>
          <w:trHeight w:val="264"/>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2"/>
                <w:szCs w:val="22"/>
                <w:color w:val="auto"/>
              </w:rPr>
            </w:pPr>
          </w:p>
        </w:tc>
        <w:tc>
          <w:tcPr>
            <w:tcW w:w="4360" w:type="dxa"/>
            <w:vAlign w:val="bottom"/>
            <w:gridSpan w:val="25"/>
          </w:tcPr>
          <w:p>
            <w:pPr>
              <w:spacing w:after="0"/>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Second Amended and Restated Registration Rights</w:t>
              </w:r>
            </w:hyperlink>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001-38410</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580" w:type="dxa"/>
            <w:vAlign w:val="bottom"/>
          </w:tcPr>
          <w:p>
            <w:pPr>
              <w:jc w:val="center"/>
              <w:ind w:right="632"/>
              <w:spacing w:after="0"/>
              <w:rPr>
                <w:sz w:val="20"/>
                <w:szCs w:val="20"/>
                <w:color w:val="auto"/>
              </w:rPr>
            </w:pPr>
            <w:r>
              <w:rPr>
                <w:rFonts w:ascii="Times New Roman" w:cs="Times New Roman" w:eastAsia="Times New Roman" w:hAnsi="Times New Roman"/>
                <w:sz w:val="18"/>
                <w:szCs w:val="18"/>
                <w:color w:val="auto"/>
              </w:rPr>
              <w:t>3/22/2024</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60" w:type="dxa"/>
            <w:vAlign w:val="bottom"/>
            <w:gridSpan w:val="25"/>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Agreement, between the Company and the parties thereto,</w:t>
              </w:r>
            </w:hyperlink>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8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dated March 20, 2024.</w:t>
              </w:r>
            </w:hyperlink>
          </w:p>
        </w:tc>
        <w:tc>
          <w:tcPr>
            <w:tcW w:w="180" w:type="dxa"/>
            <w:vAlign w:val="bottom"/>
            <w:gridSpan w:val="6"/>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2"/>
                <w:szCs w:val="22"/>
                <w:color w:val="auto"/>
              </w:rPr>
            </w:pPr>
          </w:p>
        </w:tc>
        <w:tc>
          <w:tcPr>
            <w:tcW w:w="4360" w:type="dxa"/>
            <w:vAlign w:val="bottom"/>
            <w:gridSpan w:val="25"/>
          </w:tcPr>
          <w:p>
            <w:pPr>
              <w:spacing w:after="0"/>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Form of Pre-Funded Warrant</w:t>
              </w:r>
            </w:hyperlink>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001-38410</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580" w:type="dxa"/>
            <w:vAlign w:val="bottom"/>
          </w:tcPr>
          <w:p>
            <w:pPr>
              <w:jc w:val="center"/>
              <w:ind w:right="632"/>
              <w:spacing w:after="0"/>
              <w:rPr>
                <w:sz w:val="20"/>
                <w:szCs w:val="20"/>
                <w:color w:val="auto"/>
              </w:rPr>
            </w:pPr>
            <w:r>
              <w:rPr>
                <w:rFonts w:ascii="Times New Roman" w:cs="Times New Roman" w:eastAsia="Times New Roman" w:hAnsi="Times New Roman"/>
                <w:sz w:val="18"/>
                <w:szCs w:val="18"/>
                <w:color w:val="auto"/>
              </w:rPr>
              <w:t>3/25/2024</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2"/>
                <w:szCs w:val="22"/>
                <w:color w:val="auto"/>
              </w:rPr>
            </w:pPr>
          </w:p>
        </w:tc>
        <w:tc>
          <w:tcPr>
            <w:tcW w:w="4360" w:type="dxa"/>
            <w:vAlign w:val="bottom"/>
            <w:gridSpan w:val="25"/>
          </w:tcPr>
          <w:p>
            <w:pPr>
              <w:spacing w:after="0"/>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Form of Accompanying Warrant</w:t>
              </w:r>
            </w:hyperlink>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001-38410</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580" w:type="dxa"/>
            <w:vAlign w:val="bottom"/>
          </w:tcPr>
          <w:p>
            <w:pPr>
              <w:jc w:val="center"/>
              <w:ind w:right="632"/>
              <w:spacing w:after="0"/>
              <w:rPr>
                <w:sz w:val="20"/>
                <w:szCs w:val="20"/>
                <w:color w:val="auto"/>
              </w:rPr>
            </w:pPr>
            <w:r>
              <w:rPr>
                <w:rFonts w:ascii="Times New Roman" w:cs="Times New Roman" w:eastAsia="Times New Roman" w:hAnsi="Times New Roman"/>
                <w:sz w:val="18"/>
                <w:szCs w:val="18"/>
                <w:color w:val="auto"/>
              </w:rPr>
              <w:t>3/25/2024</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2"/>
                <w:szCs w:val="22"/>
                <w:color w:val="auto"/>
              </w:rPr>
            </w:pPr>
          </w:p>
        </w:tc>
        <w:tc>
          <w:tcPr>
            <w:tcW w:w="40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Amendment No. 1, dated July 11, 2024, to Commercial</w:t>
              </w:r>
            </w:hyperlink>
          </w:p>
        </w:tc>
        <w:tc>
          <w:tcPr>
            <w:tcW w:w="360" w:type="dxa"/>
            <w:vAlign w:val="bottom"/>
            <w:gridSpan w:val="8"/>
          </w:tcPr>
          <w:p>
            <w:pPr>
              <w:spacing w:after="0"/>
              <w:rPr>
                <w:sz w:val="22"/>
                <w:szCs w:val="22"/>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001-38410</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580" w:type="dxa"/>
            <w:vAlign w:val="bottom"/>
          </w:tcPr>
          <w:p>
            <w:pPr>
              <w:jc w:val="center"/>
              <w:ind w:right="652"/>
              <w:spacing w:after="0"/>
              <w:rPr>
                <w:sz w:val="20"/>
                <w:szCs w:val="20"/>
                <w:color w:val="auto"/>
              </w:rPr>
            </w:pPr>
            <w:r>
              <w:rPr>
                <w:rFonts w:ascii="Times New Roman" w:cs="Times New Roman" w:eastAsia="Times New Roman" w:hAnsi="Times New Roman"/>
                <w:sz w:val="18"/>
                <w:szCs w:val="18"/>
                <w:color w:val="auto"/>
                <w:w w:val="99"/>
              </w:rPr>
              <w:t>8/6/2024</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60" w:type="dxa"/>
            <w:vAlign w:val="bottom"/>
            <w:gridSpan w:val="25"/>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Supply Agreement, between ARx, LLC and BioXcel</w:t>
              </w:r>
            </w:hyperlink>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Therapeutics, Inc., dated April 1, 2022</w:t>
              </w:r>
            </w:hyperlink>
          </w:p>
        </w:tc>
        <w:tc>
          <w:tcPr>
            <w:tcW w:w="560" w:type="dxa"/>
            <w:vAlign w:val="bottom"/>
            <w:gridSpan w:val="12"/>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gridSpan w:val="6"/>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4360" w:type="dxa"/>
            <w:vAlign w:val="bottom"/>
            <w:gridSpan w:val="25"/>
          </w:tcPr>
          <w:p>
            <w:pPr>
              <w:spacing w:after="0"/>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Separation Agreement between BioXcel Therapeutics, Inc.</w:t>
              </w:r>
            </w:hyperlink>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001-38410</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580" w:type="dxa"/>
            <w:vAlign w:val="bottom"/>
          </w:tcPr>
          <w:p>
            <w:pPr>
              <w:jc w:val="center"/>
              <w:ind w:right="632"/>
              <w:spacing w:after="0"/>
              <w:rPr>
                <w:sz w:val="20"/>
                <w:szCs w:val="20"/>
                <w:color w:val="auto"/>
              </w:rPr>
            </w:pPr>
            <w:r>
              <w:rPr>
                <w:rFonts w:ascii="Times New Roman" w:cs="Times New Roman" w:eastAsia="Times New Roman" w:hAnsi="Times New Roman"/>
                <w:sz w:val="18"/>
                <w:szCs w:val="18"/>
                <w:color w:val="auto"/>
              </w:rPr>
              <w:t>10/9/2024</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and Matthew Wiley, dated October 3, 2024.</w:t>
              </w:r>
            </w:hyperlink>
          </w:p>
        </w:tc>
        <w:tc>
          <w:tcPr>
            <w:tcW w:w="12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gridSpan w:val="6"/>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4360" w:type="dxa"/>
            <w:vAlign w:val="bottom"/>
            <w:gridSpan w:val="25"/>
          </w:tcPr>
          <w:p>
            <w:pPr>
              <w:spacing w:after="0"/>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Consulting Agreement between BioXcel Therapeutics, Inc.</w:t>
              </w:r>
            </w:hyperlink>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001-38410</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580" w:type="dxa"/>
            <w:vAlign w:val="bottom"/>
          </w:tcPr>
          <w:p>
            <w:pPr>
              <w:jc w:val="center"/>
              <w:ind w:right="632"/>
              <w:spacing w:after="0"/>
              <w:rPr>
                <w:sz w:val="20"/>
                <w:szCs w:val="20"/>
                <w:color w:val="auto"/>
              </w:rPr>
            </w:pPr>
            <w:r>
              <w:rPr>
                <w:rFonts w:ascii="Times New Roman" w:cs="Times New Roman" w:eastAsia="Times New Roman" w:hAnsi="Times New Roman"/>
                <w:sz w:val="18"/>
                <w:szCs w:val="18"/>
                <w:color w:val="auto"/>
              </w:rPr>
              <w:t>10/9/2024</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6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and Matthew Wiley, dated October 8, 2024.</w:t>
              </w:r>
            </w:hyperlink>
          </w:p>
        </w:tc>
        <w:tc>
          <w:tcPr>
            <w:tcW w:w="10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gridSpan w:val="6"/>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vMerge w:val="restart"/>
          </w:tcPr>
          <w:p>
            <w:pPr>
              <w:jc w:val="center"/>
              <w:ind w:left="752"/>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90"/>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43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Addendum to Employment Agreement – Vimal Mehta</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gridSpan w:val="6"/>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vMerge w:val="restart"/>
          </w:tcPr>
          <w:p>
            <w:pPr>
              <w:jc w:val="center"/>
              <w:ind w:left="752"/>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90"/>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40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Addendum to Employment Agreement – Vince O’Neill</w:t>
            </w:r>
          </w:p>
        </w:tc>
        <w:tc>
          <w:tcPr>
            <w:tcW w:w="360" w:type="dxa"/>
            <w:vAlign w:val="bottom"/>
            <w:gridSpan w:val="8"/>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4"/>
                <w:szCs w:val="24"/>
                <w:color w:val="auto"/>
              </w:rPr>
            </w:pPr>
          </w:p>
        </w:tc>
        <w:tc>
          <w:tcPr>
            <w:tcW w:w="39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Addendum to Employment Agreement – Frank Yocca</w:t>
            </w:r>
          </w:p>
        </w:tc>
        <w:tc>
          <w:tcPr>
            <w:tcW w:w="440" w:type="dxa"/>
            <w:vAlign w:val="bottom"/>
            <w:gridSpan w:val="11"/>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80" w:type="dxa"/>
            <w:vAlign w:val="bottom"/>
          </w:tcPr>
          <w:p>
            <w:pPr>
              <w:jc w:val="center"/>
              <w:ind w:left="752"/>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63"/>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2"/>
                <w:szCs w:val="22"/>
                <w:color w:val="auto"/>
              </w:rPr>
            </w:pPr>
          </w:p>
        </w:tc>
        <w:tc>
          <w:tcPr>
            <w:tcW w:w="43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Addendum to Employment Agreement – Richard Steinhart</w:t>
            </w: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580" w:type="dxa"/>
            <w:vAlign w:val="bottom"/>
          </w:tcPr>
          <w:p>
            <w:pPr>
              <w:jc w:val="center"/>
              <w:ind w:left="752"/>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64"/>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2"/>
                <w:szCs w:val="22"/>
                <w:color w:val="auto"/>
              </w:rPr>
            </w:pPr>
          </w:p>
        </w:tc>
        <w:tc>
          <w:tcPr>
            <w:tcW w:w="4240" w:type="dxa"/>
            <w:vAlign w:val="bottom"/>
            <w:tcBorders>
              <w:top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w:t>
            </w:r>
          </w:p>
        </w:tc>
        <w:tc>
          <w:tcPr>
            <w:tcW w:w="120" w:type="dxa"/>
            <w:vAlign w:val="bottom"/>
            <w:gridSpan w:val="4"/>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580" w:type="dxa"/>
            <w:vAlign w:val="bottom"/>
          </w:tcPr>
          <w:p>
            <w:pPr>
              <w:jc w:val="center"/>
              <w:ind w:left="752"/>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8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Rules 13a-14(a) and 15d-14(a) under the Securities</w:t>
            </w:r>
          </w:p>
        </w:tc>
        <w:tc>
          <w:tcPr>
            <w:tcW w:w="380" w:type="dxa"/>
            <w:vAlign w:val="bottom"/>
            <w:gridSpan w:val="9"/>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gridSpan w:val="6"/>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of 1934, as Adopted Pursuant to Section 302</w:t>
            </w:r>
          </w:p>
        </w:tc>
        <w:tc>
          <w:tcPr>
            <w:tcW w:w="8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of the Sarbanes-Oxley Act of 2002.</w:t>
            </w:r>
          </w:p>
        </w:tc>
        <w:tc>
          <w:tcPr>
            <w:tcW w:w="1800" w:type="dxa"/>
            <w:vAlign w:val="bottom"/>
            <w:gridSpan w:val="17"/>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2"/>
                <w:szCs w:val="22"/>
                <w:color w:val="auto"/>
              </w:rPr>
            </w:pPr>
          </w:p>
        </w:tc>
        <w:tc>
          <w:tcPr>
            <w:tcW w:w="39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w:t>
            </w:r>
          </w:p>
        </w:tc>
        <w:tc>
          <w:tcPr>
            <w:tcW w:w="420" w:type="dxa"/>
            <w:vAlign w:val="bottom"/>
            <w:gridSpan w:val="10"/>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580" w:type="dxa"/>
            <w:vAlign w:val="bottom"/>
          </w:tcPr>
          <w:p>
            <w:pPr>
              <w:jc w:val="center"/>
              <w:ind w:left="752"/>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Rules 13a-14(a) and 15d-14(a) under the Securities</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gridSpan w:val="6"/>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of 1934, as Adopted Pursuant to Section 302</w:t>
            </w:r>
          </w:p>
        </w:tc>
        <w:tc>
          <w:tcPr>
            <w:tcW w:w="8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of the Sarbanes-Oxley Act of 2002.</w:t>
            </w:r>
          </w:p>
        </w:tc>
        <w:tc>
          <w:tcPr>
            <w:tcW w:w="1800" w:type="dxa"/>
            <w:vAlign w:val="bottom"/>
            <w:gridSpan w:val="17"/>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2"/>
                <w:szCs w:val="22"/>
                <w:color w:val="auto"/>
              </w:rPr>
            </w:pPr>
          </w:p>
        </w:tc>
        <w:tc>
          <w:tcPr>
            <w:tcW w:w="43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18</w:t>
            </w: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580" w:type="dxa"/>
            <w:vAlign w:val="bottom"/>
          </w:tcPr>
          <w:p>
            <w:pPr>
              <w:jc w:val="center"/>
              <w:ind w:left="752"/>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gridSpan w:val="6"/>
            <w:shd w:val="clear" w:color="auto" w:fill="0000EE"/>
          </w:tcPr>
          <w:p>
            <w:pPr>
              <w:spacing w:after="0" w:line="20" w:lineRule="exact"/>
              <w:rPr>
                <w:sz w:val="1"/>
                <w:szCs w:val="1"/>
                <w:color w:val="auto"/>
              </w:rPr>
            </w:pPr>
          </w:p>
        </w:tc>
        <w:tc>
          <w:tcPr>
            <w:tcW w:w="1800" w:type="dxa"/>
            <w:vAlign w:val="bottom"/>
            <w:gridSpan w:val="1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U.S.C. Section 1350, as Adopted Pursuant to Section 906 of</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of 2002.</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gridSpan w:val="6"/>
            <w:shd w:val="clear" w:color="auto" w:fill="0000EE"/>
          </w:tcPr>
          <w:p>
            <w:pPr>
              <w:spacing w:after="0" w:line="20" w:lineRule="exact"/>
              <w:rPr>
                <w:sz w:val="1"/>
                <w:szCs w:val="1"/>
                <w:color w:val="auto"/>
              </w:rPr>
            </w:pPr>
          </w:p>
        </w:tc>
        <w:tc>
          <w:tcPr>
            <w:tcW w:w="1800" w:type="dxa"/>
            <w:vAlign w:val="bottom"/>
            <w:gridSpan w:val="12"/>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vMerge w:val="restart"/>
          </w:tcPr>
          <w:p>
            <w:pPr>
              <w:jc w:val="center"/>
              <w:ind w:left="752"/>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line="20" w:lineRule="exact"/>
              <w:rPr>
                <w:sz w:val="1"/>
                <w:szCs w:val="1"/>
                <w:color w:val="auto"/>
              </w:rPr>
            </w:pPr>
          </w:p>
        </w:tc>
      </w:tr>
      <w:tr>
        <w:trPr>
          <w:trHeight w:val="264"/>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2"/>
                <w:szCs w:val="22"/>
                <w:color w:val="auto"/>
              </w:rPr>
            </w:pPr>
          </w:p>
        </w:tc>
        <w:tc>
          <w:tcPr>
            <w:tcW w:w="41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18</w:t>
            </w:r>
          </w:p>
        </w:tc>
        <w:tc>
          <w:tcPr>
            <w:tcW w:w="200" w:type="dxa"/>
            <w:vAlign w:val="bottom"/>
            <w:gridSpan w:val="7"/>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U.S.C. Section 1350, as Adopted Pursuant to Section 906 of</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of 2002.</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2360" w:type="dxa"/>
            <w:vAlign w:val="bottom"/>
            <w:gridSpan w:val="6"/>
            <w:shd w:val="clear" w:color="auto" w:fill="0000EE"/>
          </w:tcPr>
          <w:p>
            <w:pPr>
              <w:spacing w:after="0" w:line="20" w:lineRule="exact"/>
              <w:rPr>
                <w:sz w:val="1"/>
                <w:szCs w:val="1"/>
                <w:color w:val="auto"/>
              </w:rPr>
            </w:pPr>
          </w:p>
        </w:tc>
        <w:tc>
          <w:tcPr>
            <w:tcW w:w="2000" w:type="dxa"/>
            <w:vAlign w:val="bottom"/>
            <w:gridSpan w:val="1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vMerge w:val="restart"/>
          </w:tcPr>
          <w:p>
            <w:pPr>
              <w:jc w:val="center"/>
              <w:ind w:left="752"/>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304"/>
        </w:trPr>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101.INS</w:t>
            </w:r>
          </w:p>
        </w:tc>
        <w:tc>
          <w:tcPr>
            <w:tcW w:w="43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jc w:val="both"/>
        <w:ind w:left="860" w:right="3979"/>
        <w:spacing w:after="0" w:line="255" w:lineRule="auto"/>
        <w:tabs>
          <w:tab w:leader="none" w:pos="96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instance document does not appear in the Interactive Data File because its XBRL tags are embedded within the Inline XBRL document</w:t>
      </w:r>
    </w:p>
    <w:p>
      <w:pPr>
        <w:spacing w:after="0" w:line="33" w:lineRule="exact"/>
        <w:rPr>
          <w:sz w:val="20"/>
          <w:szCs w:val="20"/>
          <w:color w:val="auto"/>
        </w:rPr>
      </w:pPr>
    </w:p>
    <w:p>
      <w:pPr>
        <w:ind w:left="60"/>
        <w:spacing w:after="0"/>
        <w:tabs>
          <w:tab w:leader="none" w:pos="8440" w:val="left"/>
        </w:tabs>
        <w:rPr>
          <w:sz w:val="20"/>
          <w:szCs w:val="20"/>
          <w:color w:val="auto"/>
        </w:rPr>
      </w:pPr>
      <w:r>
        <w:rPr>
          <w:rFonts w:ascii="Times New Roman" w:cs="Times New Roman" w:eastAsia="Times New Roman" w:hAnsi="Times New Roman"/>
          <w:sz w:val="18"/>
          <w:szCs w:val="18"/>
          <w:color w:val="auto"/>
        </w:rPr>
        <w:t>101.SCH  Inline XBRL Taxonomy Extension Schema Document</w:t>
      </w:r>
      <w:r>
        <w:rPr>
          <w:sz w:val="20"/>
          <w:szCs w:val="20"/>
          <w:color w:val="auto"/>
        </w:rPr>
        <w:tab/>
      </w:r>
      <w:r>
        <w:rPr>
          <w:rFonts w:ascii="Times New Roman" w:cs="Times New Roman" w:eastAsia="Times New Roman" w:hAnsi="Times New Roman"/>
          <w:sz w:val="18"/>
          <w:szCs w:val="18"/>
          <w:b w:val="1"/>
          <w:bCs w:val="1"/>
          <w:color w:val="auto"/>
        </w:rPr>
        <w: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6" w:name="page137"/>
    <w:bookmarkEnd w:id="1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20"/>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6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4"/>
        </w:trPr>
        <w:tc>
          <w:tcPr>
            <w:tcW w:w="740" w:type="dxa"/>
            <w:vAlign w:val="bottom"/>
          </w:tcPr>
          <w:p>
            <w:pPr>
              <w:spacing w:after="0"/>
              <w:rPr>
                <w:sz w:val="20"/>
                <w:szCs w:val="20"/>
                <w:color w:val="auto"/>
              </w:rPr>
            </w:pPr>
          </w:p>
        </w:tc>
        <w:tc>
          <w:tcPr>
            <w:tcW w:w="6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Document</w:t>
            </w:r>
          </w:p>
        </w:tc>
        <w:tc>
          <w:tcPr>
            <w:tcW w:w="1720" w:type="dxa"/>
            <w:vAlign w:val="bottom"/>
          </w:tcPr>
          <w:p>
            <w:pPr>
              <w:spacing w:after="0"/>
              <w:rPr>
                <w:sz w:val="20"/>
                <w:szCs w:val="20"/>
                <w:color w:val="auto"/>
              </w:rPr>
            </w:pPr>
          </w:p>
        </w:tc>
      </w:tr>
      <w:tr>
        <w:trPr>
          <w:trHeight w:val="265"/>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101.DEF</w:t>
            </w:r>
          </w:p>
        </w:tc>
        <w:tc>
          <w:tcPr>
            <w:tcW w:w="6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4"/>
        </w:trPr>
        <w:tc>
          <w:tcPr>
            <w:tcW w:w="740" w:type="dxa"/>
            <w:vAlign w:val="bottom"/>
          </w:tcPr>
          <w:p>
            <w:pPr>
              <w:spacing w:after="0"/>
              <w:rPr>
                <w:sz w:val="20"/>
                <w:szCs w:val="20"/>
                <w:color w:val="auto"/>
              </w:rPr>
            </w:pPr>
          </w:p>
        </w:tc>
        <w:tc>
          <w:tcPr>
            <w:tcW w:w="6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Document</w:t>
            </w:r>
          </w:p>
        </w:tc>
        <w:tc>
          <w:tcPr>
            <w:tcW w:w="1720" w:type="dxa"/>
            <w:vAlign w:val="bottom"/>
          </w:tcPr>
          <w:p>
            <w:pPr>
              <w:spacing w:after="0"/>
              <w:rPr>
                <w:sz w:val="20"/>
                <w:szCs w:val="20"/>
                <w:color w:val="auto"/>
              </w:rPr>
            </w:pPr>
          </w:p>
        </w:tc>
      </w:tr>
      <w:tr>
        <w:trPr>
          <w:trHeight w:val="265"/>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6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4"/>
        </w:trPr>
        <w:tc>
          <w:tcPr>
            <w:tcW w:w="740" w:type="dxa"/>
            <w:vAlign w:val="bottom"/>
          </w:tcPr>
          <w:p>
            <w:pPr>
              <w:spacing w:after="0"/>
              <w:rPr>
                <w:sz w:val="20"/>
                <w:szCs w:val="20"/>
                <w:color w:val="auto"/>
              </w:rPr>
            </w:pPr>
          </w:p>
        </w:tc>
        <w:tc>
          <w:tcPr>
            <w:tcW w:w="6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Document</w:t>
            </w:r>
          </w:p>
        </w:tc>
        <w:tc>
          <w:tcPr>
            <w:tcW w:w="1720" w:type="dxa"/>
            <w:vAlign w:val="bottom"/>
          </w:tcPr>
          <w:p>
            <w:pPr>
              <w:spacing w:after="0"/>
              <w:rPr>
                <w:sz w:val="20"/>
                <w:szCs w:val="20"/>
                <w:color w:val="auto"/>
              </w:rPr>
            </w:pPr>
          </w:p>
        </w:tc>
      </w:tr>
      <w:tr>
        <w:trPr>
          <w:trHeight w:val="265"/>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6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40" w:type="dxa"/>
            <w:vAlign w:val="bottom"/>
          </w:tcPr>
          <w:p>
            <w:pPr>
              <w:spacing w:after="0"/>
              <w:rPr>
                <w:sz w:val="20"/>
                <w:szCs w:val="20"/>
                <w:color w:val="auto"/>
              </w:rPr>
            </w:pPr>
          </w:p>
        </w:tc>
        <w:tc>
          <w:tcPr>
            <w:tcW w:w="6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Document</w:t>
            </w:r>
          </w:p>
        </w:tc>
        <w:tc>
          <w:tcPr>
            <w:tcW w:w="1720" w:type="dxa"/>
            <w:vAlign w:val="bottom"/>
          </w:tcPr>
          <w:p>
            <w:pPr>
              <w:spacing w:after="0"/>
              <w:rPr>
                <w:sz w:val="20"/>
                <w:szCs w:val="20"/>
                <w:color w:val="auto"/>
              </w:rPr>
            </w:pPr>
          </w:p>
        </w:tc>
      </w:tr>
      <w:tr>
        <w:trPr>
          <w:trHeight w:val="265"/>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6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4"/>
        </w:trPr>
        <w:tc>
          <w:tcPr>
            <w:tcW w:w="740" w:type="dxa"/>
            <w:vAlign w:val="bottom"/>
          </w:tcPr>
          <w:p>
            <w:pPr>
              <w:spacing w:after="0"/>
              <w:rPr>
                <w:sz w:val="20"/>
                <w:szCs w:val="20"/>
                <w:color w:val="auto"/>
              </w:rPr>
            </w:pPr>
          </w:p>
        </w:tc>
        <w:tc>
          <w:tcPr>
            <w:tcW w:w="6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and contained in Exhibit 101).</w:t>
            </w:r>
          </w:p>
        </w:tc>
        <w:tc>
          <w:tcPr>
            <w:tcW w:w="17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058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1">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18" w:lineRule="exact"/>
        <w:rPr>
          <w:sz w:val="20"/>
          <w:szCs w:val="20"/>
          <w:color w:val="auto"/>
        </w:rPr>
      </w:pPr>
    </w:p>
    <w:p>
      <w:pPr>
        <w:ind w:left="380" w:hanging="330"/>
        <w:spacing w:after="0"/>
        <w:tabs>
          <w:tab w:leader="none" w:pos="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50"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7" w:lineRule="exact"/>
        <w:rPr>
          <w:sz w:val="20"/>
          <w:szCs w:val="20"/>
          <w:color w:val="auto"/>
        </w:rPr>
      </w:pPr>
    </w:p>
    <w:p>
      <w:pPr>
        <w:ind w:left="4340" w:right="1919" w:hanging="4290"/>
        <w:spacing w:after="0" w:line="761" w:lineRule="auto"/>
        <w:tabs>
          <w:tab w:leader="none" w:pos="38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Item 601(b)(10)(iv) of Regulation S-K. 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57785</wp:posOffset>
            </wp:positionV>
            <wp:extent cx="560641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7" w:name="page138"/>
    <w:bookmarkEnd w:id="1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BioXcel Therapeutics, Inc.</w:t>
            </w:r>
          </w:p>
        </w:tc>
      </w:tr>
      <w:tr>
        <w:trPr>
          <w:trHeight w:val="41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14, 2024</w:t>
            </w: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234"/>
        </w:trPr>
        <w:tc>
          <w:tcPr>
            <w:tcW w:w="4400" w:type="dxa"/>
            <w:vAlign w:val="bottom"/>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Vimal Mehta</w:t>
            </w:r>
          </w:p>
        </w:tc>
      </w:tr>
      <w:tr>
        <w:trPr>
          <w:trHeight w:val="191"/>
        </w:trPr>
        <w:tc>
          <w:tcPr>
            <w:tcW w:w="4400" w:type="dxa"/>
            <w:vAlign w:val="bottom"/>
          </w:tcPr>
          <w:p>
            <w:pPr>
              <w:spacing w:after="0"/>
              <w:rPr>
                <w:sz w:val="16"/>
                <w:szCs w:val="16"/>
                <w:color w:val="auto"/>
              </w:rPr>
            </w:pPr>
          </w:p>
        </w:tc>
        <w:tc>
          <w:tcPr>
            <w:tcW w:w="4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Vimal Mehta</w:t>
            </w:r>
          </w:p>
        </w:tc>
      </w:tr>
      <w:tr>
        <w:trPr>
          <w:trHeight w:val="214"/>
        </w:trPr>
        <w:tc>
          <w:tcPr>
            <w:tcW w:w="440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44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63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14, 2024</w:t>
            </w: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234"/>
        </w:trPr>
        <w:tc>
          <w:tcPr>
            <w:tcW w:w="4400" w:type="dxa"/>
            <w:vAlign w:val="bottom"/>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Steinhart</w:t>
            </w:r>
          </w:p>
        </w:tc>
      </w:tr>
      <w:tr>
        <w:trPr>
          <w:trHeight w:val="191"/>
        </w:trPr>
        <w:tc>
          <w:tcPr>
            <w:tcW w:w="4400" w:type="dxa"/>
            <w:vAlign w:val="bottom"/>
          </w:tcPr>
          <w:p>
            <w:pPr>
              <w:spacing w:after="0"/>
              <w:rPr>
                <w:sz w:val="16"/>
                <w:szCs w:val="16"/>
                <w:color w:val="auto"/>
              </w:rPr>
            </w:pPr>
          </w:p>
        </w:tc>
        <w:tc>
          <w:tcPr>
            <w:tcW w:w="4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Steinhart</w:t>
            </w:r>
          </w:p>
        </w:tc>
      </w:tr>
      <w:tr>
        <w:trPr>
          <w:trHeight w:val="214"/>
        </w:trPr>
        <w:tc>
          <w:tcPr>
            <w:tcW w:w="440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44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3">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8" w:name="page139"/>
    <w:bookmarkEnd w:id="138"/>
    <w:p>
      <w:pPr>
        <w:jc w:val="right"/>
        <w:ind w:right="179"/>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ADDENDUM TO EXECUTIVE EMPLOYMENT AGREEMENT</w:t>
      </w:r>
    </w:p>
    <w:p>
      <w:pPr>
        <w:spacing w:after="0" w:line="206" w:lineRule="exact"/>
        <w:rPr>
          <w:sz w:val="20"/>
          <w:szCs w:val="20"/>
          <w:color w:val="auto"/>
        </w:rPr>
      </w:pPr>
    </w:p>
    <w:p>
      <w:pPr>
        <w:ind w:left="200" w:right="479"/>
        <w:spacing w:after="0" w:line="256" w:lineRule="auto"/>
        <w:rPr>
          <w:sz w:val="20"/>
          <w:szCs w:val="20"/>
          <w:color w:val="auto"/>
        </w:rPr>
      </w:pPr>
      <w:r>
        <w:rPr>
          <w:rFonts w:ascii="Times New Roman" w:cs="Times New Roman" w:eastAsia="Times New Roman" w:hAnsi="Times New Roman"/>
          <w:sz w:val="21"/>
          <w:szCs w:val="21"/>
          <w:color w:val="auto"/>
        </w:rPr>
        <w:t>This Addendum to Executive Employment Agreement (“</w:t>
      </w:r>
      <w:r>
        <w:rPr>
          <w:rFonts w:ascii="Times New Roman" w:cs="Times New Roman" w:eastAsia="Times New Roman" w:hAnsi="Times New Roman"/>
          <w:sz w:val="21"/>
          <w:szCs w:val="21"/>
          <w:b w:val="1"/>
          <w:bCs w:val="1"/>
          <w:color w:val="auto"/>
        </w:rPr>
        <w:t>Addendum</w:t>
      </w:r>
      <w:r>
        <w:rPr>
          <w:rFonts w:ascii="Times New Roman" w:cs="Times New Roman" w:eastAsia="Times New Roman" w:hAnsi="Times New Roman"/>
          <w:sz w:val="21"/>
          <w:szCs w:val="21"/>
          <w:color w:val="auto"/>
        </w:rPr>
        <w:t>”) supplements the attached Executive Employment Agreement, dated March 7, 2018 (“</w:t>
      </w:r>
      <w:r>
        <w:rPr>
          <w:rFonts w:ascii="Times New Roman" w:cs="Times New Roman" w:eastAsia="Times New Roman" w:hAnsi="Times New Roman"/>
          <w:sz w:val="21"/>
          <w:szCs w:val="21"/>
          <w:b w:val="1"/>
          <w:bCs w:val="1"/>
          <w:color w:val="auto"/>
        </w:rPr>
        <w:t>Employment Agreement,</w:t>
      </w:r>
      <w:r>
        <w:rPr>
          <w:rFonts w:ascii="Times New Roman" w:cs="Times New Roman" w:eastAsia="Times New Roman" w:hAnsi="Times New Roman"/>
          <w:sz w:val="21"/>
          <w:szCs w:val="21"/>
          <w:color w:val="auto"/>
        </w:rPr>
        <w:t>” as updated by this Addendum,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by and between the Company and the Executive (both as defined in the Employment Agreement, and collectively referred to as the “</w:t>
      </w:r>
      <w:r>
        <w:rPr>
          <w:rFonts w:ascii="Times New Roman" w:cs="Times New Roman" w:eastAsia="Times New Roman" w:hAnsi="Times New Roman"/>
          <w:sz w:val="21"/>
          <w:szCs w:val="21"/>
          <w:b w:val="1"/>
          <w:bCs w:val="1"/>
          <w:color w:val="auto"/>
        </w:rPr>
        <w:t>Parties</w:t>
      </w:r>
      <w:r>
        <w:rPr>
          <w:rFonts w:ascii="Times New Roman" w:cs="Times New Roman" w:eastAsia="Times New Roman" w:hAnsi="Times New Roman"/>
          <w:sz w:val="21"/>
          <w:szCs w:val="21"/>
          <w:color w:val="auto"/>
        </w:rPr>
        <w:t>”).</w:t>
      </w:r>
    </w:p>
    <w:p>
      <w:pPr>
        <w:spacing w:after="0" w:line="189" w:lineRule="exact"/>
        <w:rPr>
          <w:sz w:val="20"/>
          <w:szCs w:val="20"/>
          <w:color w:val="auto"/>
        </w:rPr>
      </w:pPr>
    </w:p>
    <w:p>
      <w:pPr>
        <w:ind w:left="200" w:right="299"/>
        <w:spacing w:after="0" w:line="258" w:lineRule="auto"/>
        <w:rPr>
          <w:sz w:val="20"/>
          <w:szCs w:val="20"/>
          <w:color w:val="auto"/>
        </w:rPr>
      </w:pPr>
      <w:r>
        <w:rPr>
          <w:rFonts w:ascii="Times New Roman" w:cs="Times New Roman" w:eastAsia="Times New Roman" w:hAnsi="Times New Roman"/>
          <w:sz w:val="22"/>
          <w:szCs w:val="22"/>
          <w:color w:val="auto"/>
        </w:rPr>
        <w:t>Unless otherwise specified, capitalized terms in this Addendum have the same meaning as defined in the Employment Agreement, and those definitions are incorporated by reference.</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NOW, THEREFORE, in consideration of the mutual promises and agreements set forth in this</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Addendum and the Employment Agreement, the Parties agree as follows:</w:t>
      </w:r>
    </w:p>
    <w:p>
      <w:pPr>
        <w:spacing w:after="0" w:line="209" w:lineRule="exact"/>
        <w:rPr>
          <w:sz w:val="20"/>
          <w:szCs w:val="20"/>
          <w:color w:val="auto"/>
        </w:rPr>
      </w:pPr>
    </w:p>
    <w:p>
      <w:pPr>
        <w:ind w:left="200" w:right="499" w:firstLine="655"/>
        <w:spacing w:after="0" w:line="244" w:lineRule="auto"/>
        <w:tabs>
          <w:tab w:leader="none" w:pos="1496"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The terms of the Employment Agreement, which are incorporated by reference into this Addendum as though set forth in full, remain in full force and effect.</w:t>
      </w:r>
    </w:p>
    <w:p>
      <w:pPr>
        <w:spacing w:after="0" w:line="200" w:lineRule="exact"/>
        <w:rPr>
          <w:rFonts w:ascii="Times New Roman" w:cs="Times New Roman" w:eastAsia="Times New Roman" w:hAnsi="Times New Roman"/>
          <w:sz w:val="22"/>
          <w:szCs w:val="22"/>
          <w:color w:val="auto"/>
        </w:rPr>
      </w:pPr>
    </w:p>
    <w:p>
      <w:pPr>
        <w:ind w:left="200" w:right="379" w:firstLine="655"/>
        <w:spacing w:after="0" w:line="246" w:lineRule="auto"/>
        <w:tabs>
          <w:tab w:leader="none" w:pos="1496"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Reporting Potential Misconduct Not Prohibited</w:t>
      </w:r>
      <w:r>
        <w:rPr>
          <w:rFonts w:ascii="Times New Roman" w:cs="Times New Roman" w:eastAsia="Times New Roman" w:hAnsi="Times New Roman"/>
          <w:sz w:val="21"/>
          <w:szCs w:val="21"/>
          <w:color w:val="auto"/>
        </w:rPr>
        <w:t>. Notwithstanding anything to the contrary in the Employment Agreement, nothing in the Agreement is intended to or will be used by the Company in any way to prohibit Executive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in accordance with 18</w:t>
      </w:r>
    </w:p>
    <w:p>
      <w:pPr>
        <w:spacing w:after="0" w:line="1" w:lineRule="exact"/>
        <w:rPr>
          <w:rFonts w:ascii="Times New Roman" w:cs="Times New Roman" w:eastAsia="Times New Roman" w:hAnsi="Times New Roman"/>
          <w:sz w:val="21"/>
          <w:szCs w:val="21"/>
          <w:color w:val="auto"/>
        </w:rPr>
      </w:pPr>
    </w:p>
    <w:p>
      <w:pPr>
        <w:ind w:left="200" w:right="299"/>
        <w:spacing w:after="0" w:line="24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U.S.C. § 1833, notwithstanding anything to the contrary in the Agreement: (A) Executive shall not be in breach of the Agreement and shall not be held criminally or civilly liable under any federal or state trade secret law (x) for the disclosure of a trade secret that is made in confidence to a federal, state, or local government official or to an attorney solely for the purpose of reporting or investigating a suspected violation of law, or (y) for the disclosure of a trade secret that is made in a complaint or other document filed in a lawsuit or other proceeding, if such filing is made under seal; and (B)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w:t>
      </w:r>
    </w:p>
    <w:p>
      <w:pPr>
        <w:spacing w:after="0" w:line="200" w:lineRule="exact"/>
        <w:rPr>
          <w:sz w:val="20"/>
          <w:szCs w:val="20"/>
          <w:color w:val="auto"/>
        </w:rPr>
      </w:pP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US-DOCS\154177982.1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349250</wp:posOffset>
            </wp:positionV>
            <wp:extent cx="553783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9" w:name="page140"/>
    <w:bookmarkEnd w:id="139"/>
    <w:p>
      <w:pPr>
        <w:ind w:left="200"/>
        <w:spacing w:after="0"/>
        <w:rPr>
          <w:sz w:val="20"/>
          <w:szCs w:val="20"/>
          <w:color w:val="auto"/>
        </w:rPr>
      </w:pPr>
      <w:r>
        <w:rPr>
          <w:rFonts w:ascii="Times New Roman" w:cs="Times New Roman" w:eastAsia="Times New Roman" w:hAnsi="Times New Roman"/>
          <w:sz w:val="21"/>
          <w:szCs w:val="21"/>
          <w:color w:val="auto"/>
        </w:rPr>
        <w:t>IN WITNESS WHEREOF, the Parties have executed this Addendum as of the dates shown below.</w:t>
      </w:r>
    </w:p>
    <w:p>
      <w:pPr>
        <w:spacing w:after="0" w:line="32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color w:val="auto"/>
        </w:rPr>
        <w:t>BIOXCEL THERAPEUTICS, INC.</w:t>
      </w:r>
    </w:p>
    <w:p>
      <w:pPr>
        <w:spacing w:after="0" w:line="35" w:lineRule="exact"/>
        <w:rPr>
          <w:sz w:val="20"/>
          <w:szCs w:val="20"/>
          <w:color w:val="auto"/>
        </w:rPr>
      </w:pPr>
    </w:p>
    <w:p>
      <w:pPr>
        <w:ind w:left="4460"/>
        <w:spacing w:after="0"/>
        <w:tabs>
          <w:tab w:leader="none" w:pos="5020" w:val="left"/>
        </w:tabs>
        <w:rPr>
          <w:sz w:val="20"/>
          <w:szCs w:val="20"/>
          <w:color w:val="auto"/>
        </w:rPr>
      </w:pPr>
      <w:r>
        <w:rPr>
          <w:rFonts w:ascii="Times New Roman" w:cs="Times New Roman" w:eastAsia="Times New Roman" w:hAnsi="Times New Roman"/>
          <w:sz w:val="22"/>
          <w:szCs w:val="22"/>
          <w:color w:val="auto"/>
        </w:rPr>
        <w:t>By</w:t>
        <w:tab/>
        <w:t>/s/ Javier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10795</wp:posOffset>
            </wp:positionV>
            <wp:extent cx="24085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5">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ind w:left="4460"/>
        <w:spacing w:after="0"/>
        <w:rPr>
          <w:sz w:val="20"/>
          <w:szCs w:val="20"/>
          <w:color w:val="auto"/>
        </w:rPr>
      </w:pPr>
      <w:r>
        <w:rPr>
          <w:rFonts w:ascii="Times New Roman" w:cs="Times New Roman" w:eastAsia="Times New Roman" w:hAnsi="Times New Roman"/>
          <w:sz w:val="22"/>
          <w:szCs w:val="22"/>
          <w:color w:val="auto"/>
        </w:rPr>
        <w:t>Name:Javier Rodriguez</w:t>
      </w:r>
    </w:p>
    <w:p>
      <w:pPr>
        <w:ind w:left="4460"/>
        <w:spacing w:after="0" w:line="230" w:lineRule="auto"/>
        <w:rPr>
          <w:sz w:val="20"/>
          <w:szCs w:val="20"/>
          <w:color w:val="auto"/>
        </w:rPr>
      </w:pPr>
      <w:r>
        <w:rPr>
          <w:rFonts w:ascii="Times New Roman" w:cs="Times New Roman" w:eastAsia="Times New Roman" w:hAnsi="Times New Roman"/>
          <w:sz w:val="22"/>
          <w:szCs w:val="22"/>
          <w:color w:val="auto"/>
        </w:rPr>
        <w:t>Title: Chief Legal Officer</w:t>
      </w:r>
    </w:p>
    <w:p>
      <w:pPr>
        <w:spacing w:after="0" w:line="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Date: 9/25/2024</w:t>
      </w:r>
    </w:p>
    <w:p>
      <w:pPr>
        <w:spacing w:after="0" w:line="19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35" w:lineRule="exact"/>
        <w:rPr>
          <w:sz w:val="20"/>
          <w:szCs w:val="20"/>
          <w:color w:val="auto"/>
        </w:rPr>
      </w:pPr>
    </w:p>
    <w:p>
      <w:pPr>
        <w:ind w:left="4460"/>
        <w:spacing w:after="0"/>
        <w:tabs>
          <w:tab w:leader="none" w:pos="5020" w:val="left"/>
        </w:tabs>
        <w:rPr>
          <w:sz w:val="20"/>
          <w:szCs w:val="20"/>
          <w:color w:val="auto"/>
        </w:rPr>
      </w:pPr>
      <w:r>
        <w:rPr>
          <w:rFonts w:ascii="Times New Roman" w:cs="Times New Roman" w:eastAsia="Times New Roman" w:hAnsi="Times New Roman"/>
          <w:sz w:val="22"/>
          <w:szCs w:val="22"/>
          <w:color w:val="auto"/>
        </w:rPr>
        <w:t>By</w:t>
        <w:tab/>
        <w:t>/s/ Vimal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10795</wp:posOffset>
            </wp:positionV>
            <wp:extent cx="24085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6">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ind w:left="4460"/>
        <w:spacing w:after="0"/>
        <w:rPr>
          <w:sz w:val="20"/>
          <w:szCs w:val="20"/>
          <w:color w:val="auto"/>
        </w:rPr>
      </w:pPr>
      <w:r>
        <w:rPr>
          <w:rFonts w:ascii="Times New Roman" w:cs="Times New Roman" w:eastAsia="Times New Roman" w:hAnsi="Times New Roman"/>
          <w:sz w:val="22"/>
          <w:szCs w:val="22"/>
          <w:color w:val="auto"/>
        </w:rPr>
        <w:t>Name:Vimal Mehta</w:t>
      </w:r>
    </w:p>
    <w:p>
      <w:pPr>
        <w:ind w:left="4460"/>
        <w:spacing w:after="0"/>
        <w:rPr>
          <w:sz w:val="20"/>
          <w:szCs w:val="20"/>
          <w:color w:val="auto"/>
        </w:rPr>
      </w:pPr>
      <w:r>
        <w:rPr>
          <w:rFonts w:ascii="Times New Roman" w:cs="Times New Roman" w:eastAsia="Times New Roman" w:hAnsi="Times New Roman"/>
          <w:sz w:val="22"/>
          <w:szCs w:val="22"/>
          <w:color w:val="auto"/>
        </w:rPr>
        <w:t>Date: 11/12/2024</w:t>
      </w: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w:t>
      </w:r>
    </w:p>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US-DOCS\154177982.1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349250</wp:posOffset>
            </wp:positionV>
            <wp:extent cx="553783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7">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395" w:right="1440" w:bottom="1440" w:gutter="0" w:footer="0" w:header="0"/>
        </w:sectPr>
      </w:pPr>
    </w:p>
    <w:bookmarkStart w:id="140" w:name="page141"/>
    <w:bookmarkEnd w:id="140"/>
    <w:p>
      <w:pPr>
        <w:jc w:val="right"/>
        <w:ind w:right="159"/>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ADDENDUM TO EXECUTIVE EMPLOYMENT AGREEMENT</w:t>
      </w:r>
    </w:p>
    <w:p>
      <w:pPr>
        <w:spacing w:after="0" w:line="206" w:lineRule="exact"/>
        <w:rPr>
          <w:sz w:val="20"/>
          <w:szCs w:val="20"/>
          <w:color w:val="auto"/>
        </w:rPr>
      </w:pPr>
    </w:p>
    <w:p>
      <w:pPr>
        <w:jc w:val="both"/>
        <w:ind w:left="200" w:right="259"/>
        <w:spacing w:after="0" w:line="241" w:lineRule="auto"/>
        <w:rPr>
          <w:sz w:val="20"/>
          <w:szCs w:val="20"/>
          <w:color w:val="auto"/>
        </w:rPr>
      </w:pPr>
      <w:r>
        <w:rPr>
          <w:rFonts w:ascii="Times New Roman" w:cs="Times New Roman" w:eastAsia="Times New Roman" w:hAnsi="Times New Roman"/>
          <w:sz w:val="22"/>
          <w:szCs w:val="22"/>
          <w:color w:val="auto"/>
        </w:rPr>
        <w:t>This Addendum to Executive Employment Agreement (“</w:t>
      </w:r>
      <w:r>
        <w:rPr>
          <w:rFonts w:ascii="Times New Roman" w:cs="Times New Roman" w:eastAsia="Times New Roman" w:hAnsi="Times New Roman"/>
          <w:sz w:val="22"/>
          <w:szCs w:val="22"/>
          <w:b w:val="1"/>
          <w:bCs w:val="1"/>
          <w:color w:val="auto"/>
        </w:rPr>
        <w:t>Addendum</w:t>
      </w:r>
      <w:r>
        <w:rPr>
          <w:rFonts w:ascii="Times New Roman" w:cs="Times New Roman" w:eastAsia="Times New Roman" w:hAnsi="Times New Roman"/>
          <w:sz w:val="22"/>
          <w:szCs w:val="22"/>
          <w:color w:val="auto"/>
        </w:rPr>
        <w:t>”) supplements the attached Executive Employment Agreement, dated June 1, 2018 (“</w:t>
      </w:r>
      <w:r>
        <w:rPr>
          <w:rFonts w:ascii="Times New Roman" w:cs="Times New Roman" w:eastAsia="Times New Roman" w:hAnsi="Times New Roman"/>
          <w:sz w:val="22"/>
          <w:szCs w:val="22"/>
          <w:b w:val="1"/>
          <w:bCs w:val="1"/>
          <w:color w:val="auto"/>
        </w:rPr>
        <w:t>Employment Agreement,</w:t>
      </w:r>
      <w:r>
        <w:rPr>
          <w:rFonts w:ascii="Times New Roman" w:cs="Times New Roman" w:eastAsia="Times New Roman" w:hAnsi="Times New Roman"/>
          <w:sz w:val="22"/>
          <w:szCs w:val="22"/>
          <w:color w:val="auto"/>
        </w:rPr>
        <w:t>” as updated by this Addendum,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by and between the Company and the Executive (both as defined in the Employment Agreement, and collectively referred to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ind w:left="200" w:right="299"/>
        <w:spacing w:after="0" w:line="258" w:lineRule="auto"/>
        <w:rPr>
          <w:sz w:val="20"/>
          <w:szCs w:val="20"/>
          <w:color w:val="auto"/>
        </w:rPr>
      </w:pPr>
      <w:r>
        <w:rPr>
          <w:rFonts w:ascii="Times New Roman" w:cs="Times New Roman" w:eastAsia="Times New Roman" w:hAnsi="Times New Roman"/>
          <w:sz w:val="22"/>
          <w:szCs w:val="22"/>
          <w:color w:val="auto"/>
        </w:rPr>
        <w:t>Unless otherwise specified, capitalized terms in this Addendum have the same meaning as defined in the Employment Agreement, and those definitions are incorporated by reference.</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NOW, THEREFORE, in consideration of the mutual promises and agreements set forth in this</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Addendum and the Employment Agreement, the Parties agree as follows:</w:t>
      </w:r>
    </w:p>
    <w:p>
      <w:pPr>
        <w:spacing w:after="0" w:line="209" w:lineRule="exact"/>
        <w:rPr>
          <w:sz w:val="20"/>
          <w:szCs w:val="20"/>
          <w:color w:val="auto"/>
        </w:rPr>
      </w:pPr>
    </w:p>
    <w:p>
      <w:pPr>
        <w:ind w:left="200" w:right="499" w:firstLine="655"/>
        <w:spacing w:after="0" w:line="244" w:lineRule="auto"/>
        <w:tabs>
          <w:tab w:leader="none" w:pos="149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The terms of the Employment Agreement, which are incorporated by reference into this Addendum as though set forth in full, remain in full force and effect.</w:t>
      </w:r>
    </w:p>
    <w:p>
      <w:pPr>
        <w:spacing w:after="0" w:line="200" w:lineRule="exact"/>
        <w:rPr>
          <w:rFonts w:ascii="Times New Roman" w:cs="Times New Roman" w:eastAsia="Times New Roman" w:hAnsi="Times New Roman"/>
          <w:sz w:val="22"/>
          <w:szCs w:val="22"/>
          <w:color w:val="auto"/>
        </w:rPr>
      </w:pPr>
    </w:p>
    <w:p>
      <w:pPr>
        <w:ind w:left="200" w:right="379" w:firstLine="655"/>
        <w:spacing w:after="0" w:line="246" w:lineRule="auto"/>
        <w:tabs>
          <w:tab w:leader="none" w:pos="1496"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Reporting Potential Misconduct Not Prohibited</w:t>
      </w:r>
      <w:r>
        <w:rPr>
          <w:rFonts w:ascii="Times New Roman" w:cs="Times New Roman" w:eastAsia="Times New Roman" w:hAnsi="Times New Roman"/>
          <w:sz w:val="21"/>
          <w:szCs w:val="21"/>
          <w:color w:val="auto"/>
        </w:rPr>
        <w:t>. Notwithstanding anything to the contrary in the Employment Agreement, nothing in the Agreement is intended to or will be used by the Company in any way to prohibit Executive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in accordance with 18</w:t>
      </w:r>
    </w:p>
    <w:p>
      <w:pPr>
        <w:spacing w:after="0" w:line="1" w:lineRule="exact"/>
        <w:rPr>
          <w:rFonts w:ascii="Times New Roman" w:cs="Times New Roman" w:eastAsia="Times New Roman" w:hAnsi="Times New Roman"/>
          <w:sz w:val="21"/>
          <w:szCs w:val="21"/>
          <w:color w:val="auto"/>
        </w:rPr>
      </w:pPr>
    </w:p>
    <w:p>
      <w:pPr>
        <w:ind w:left="200" w:right="299"/>
        <w:spacing w:after="0" w:line="24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U.S.C. § 1833, notwithstanding anything to the contrary in the Agreement: (A) Executive shall not be in breach of the Agreement and shall not be held criminally or civilly liable under any federal or state trade secret law (x) for the disclosure of a trade secret that is made in confidence to a federal, state, or local government official or to an attorney solely for the purpose of reporting or investigating a suspected violation of law, or (y) for the disclosure of a trade secret that is made in a complaint or other document filed in a lawsuit or other proceeding, if such filing is made under seal; and (B)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w:t>
      </w:r>
    </w:p>
    <w:p>
      <w:pPr>
        <w:spacing w:after="0" w:line="200" w:lineRule="exact"/>
        <w:rPr>
          <w:sz w:val="20"/>
          <w:szCs w:val="20"/>
          <w:color w:val="auto"/>
        </w:rPr>
      </w:pPr>
    </w:p>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US-DOCS\154177982.1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349250</wp:posOffset>
            </wp:positionV>
            <wp:extent cx="554609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8">
                      <a:extLst>
                        <a:ext uri="{28A0092B-C50C-407E-A947-70E740481C1C}"/>
                      </a:extLst>
                    </a:blip>
                    <a:srcRect/>
                    <a:stretch>
                      <a:fillRect/>
                    </a:stretch>
                  </pic:blipFill>
                  <pic:spPr bwMode="auto">
                    <a:xfrm>
                      <a:off x="0" y="0"/>
                      <a:ext cx="554609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1" w:name="page142"/>
    <w:bookmarkEnd w:id="141"/>
    <w:p>
      <w:pPr>
        <w:ind w:left="200"/>
        <w:spacing w:after="0"/>
        <w:rPr>
          <w:sz w:val="20"/>
          <w:szCs w:val="20"/>
          <w:color w:val="auto"/>
        </w:rPr>
      </w:pPr>
      <w:r>
        <w:rPr>
          <w:rFonts w:ascii="Times New Roman" w:cs="Times New Roman" w:eastAsia="Times New Roman" w:hAnsi="Times New Roman"/>
          <w:sz w:val="21"/>
          <w:szCs w:val="21"/>
          <w:color w:val="auto"/>
        </w:rPr>
        <w:t>IN WITNESS WHEREOF, the Parties have executed this Addendum as of the dates shown below.</w:t>
      </w:r>
    </w:p>
    <w:p>
      <w:pPr>
        <w:spacing w:after="0" w:line="24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BIOXCEL THERAPEUTICS, INC.</w:t>
      </w:r>
    </w:p>
    <w:p>
      <w:pPr>
        <w:spacing w:after="0" w:line="35" w:lineRule="exact"/>
        <w:rPr>
          <w:sz w:val="20"/>
          <w:szCs w:val="20"/>
          <w:color w:val="auto"/>
        </w:rPr>
      </w:pPr>
    </w:p>
    <w:p>
      <w:pPr>
        <w:ind w:left="4480"/>
        <w:spacing w:after="0"/>
        <w:tabs>
          <w:tab w:leader="none" w:pos="5020" w:val="left"/>
        </w:tabs>
        <w:rPr>
          <w:sz w:val="20"/>
          <w:szCs w:val="20"/>
          <w:color w:val="auto"/>
        </w:rPr>
      </w:pPr>
      <w:r>
        <w:rPr>
          <w:rFonts w:ascii="Times New Roman" w:cs="Times New Roman" w:eastAsia="Times New Roman" w:hAnsi="Times New Roman"/>
          <w:sz w:val="22"/>
          <w:szCs w:val="22"/>
          <w:color w:val="auto"/>
        </w:rPr>
        <w:t>By</w:t>
        <w:tab/>
        <w:t>/s/ Javier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10795</wp:posOffset>
            </wp:positionV>
            <wp:extent cx="241744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9">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ind w:left="4480"/>
        <w:spacing w:after="0"/>
        <w:rPr>
          <w:sz w:val="20"/>
          <w:szCs w:val="20"/>
          <w:color w:val="auto"/>
        </w:rPr>
      </w:pPr>
      <w:r>
        <w:rPr>
          <w:rFonts w:ascii="Times New Roman" w:cs="Times New Roman" w:eastAsia="Times New Roman" w:hAnsi="Times New Roman"/>
          <w:sz w:val="22"/>
          <w:szCs w:val="22"/>
          <w:color w:val="auto"/>
        </w:rPr>
        <w:t>Name:Javier Rodriguez</w:t>
      </w:r>
    </w:p>
    <w:p>
      <w:pPr>
        <w:ind w:left="4480"/>
        <w:spacing w:after="0" w:line="230" w:lineRule="auto"/>
        <w:rPr>
          <w:sz w:val="20"/>
          <w:szCs w:val="20"/>
          <w:color w:val="auto"/>
        </w:rPr>
      </w:pPr>
      <w:r>
        <w:rPr>
          <w:rFonts w:ascii="Times New Roman" w:cs="Times New Roman" w:eastAsia="Times New Roman" w:hAnsi="Times New Roman"/>
          <w:sz w:val="22"/>
          <w:szCs w:val="22"/>
          <w:color w:val="auto"/>
        </w:rPr>
        <w:t>Title: Chief Legal Officer</w:t>
      </w:r>
    </w:p>
    <w:p>
      <w:pPr>
        <w:spacing w:after="0" w:line="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Date: 9/25/2024</w:t>
      </w:r>
    </w:p>
    <w:p>
      <w:pPr>
        <w:spacing w:after="0" w:line="19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35" w:lineRule="exact"/>
        <w:rPr>
          <w:sz w:val="20"/>
          <w:szCs w:val="20"/>
          <w:color w:val="auto"/>
        </w:rPr>
      </w:pPr>
    </w:p>
    <w:p>
      <w:pPr>
        <w:ind w:left="4480"/>
        <w:spacing w:after="0"/>
        <w:tabs>
          <w:tab w:leader="none" w:pos="5020" w:val="left"/>
        </w:tabs>
        <w:rPr>
          <w:sz w:val="20"/>
          <w:szCs w:val="20"/>
          <w:color w:val="auto"/>
        </w:rPr>
      </w:pPr>
      <w:r>
        <w:rPr>
          <w:rFonts w:ascii="Times New Roman" w:cs="Times New Roman" w:eastAsia="Times New Roman" w:hAnsi="Times New Roman"/>
          <w:sz w:val="22"/>
          <w:szCs w:val="22"/>
          <w:color w:val="auto"/>
        </w:rPr>
        <w:t>By</w:t>
        <w:tab/>
        <w:t>/s/ Vincent O’ 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10795</wp:posOffset>
            </wp:positionV>
            <wp:extent cx="241744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0">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ind w:left="4480"/>
        <w:spacing w:after="0"/>
        <w:rPr>
          <w:sz w:val="20"/>
          <w:szCs w:val="20"/>
          <w:color w:val="auto"/>
        </w:rPr>
      </w:pPr>
      <w:r>
        <w:rPr>
          <w:rFonts w:ascii="Times New Roman" w:cs="Times New Roman" w:eastAsia="Times New Roman" w:hAnsi="Times New Roman"/>
          <w:sz w:val="22"/>
          <w:szCs w:val="22"/>
          <w:color w:val="auto"/>
        </w:rPr>
        <w:t>Name:Vincent O’ Neill</w:t>
      </w:r>
    </w:p>
    <w:p>
      <w:pPr>
        <w:ind w:left="4480"/>
        <w:spacing w:after="0"/>
        <w:rPr>
          <w:sz w:val="20"/>
          <w:szCs w:val="20"/>
          <w:color w:val="auto"/>
        </w:rPr>
      </w:pPr>
      <w:r>
        <w:rPr>
          <w:rFonts w:ascii="Times New Roman" w:cs="Times New Roman" w:eastAsia="Times New Roman" w:hAnsi="Times New Roman"/>
          <w:sz w:val="22"/>
          <w:szCs w:val="22"/>
          <w:color w:val="auto"/>
        </w:rPr>
        <w:t>Date: 10/8/2024</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w:t>
      </w:r>
    </w:p>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US-DOCS\154177982.1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349250</wp:posOffset>
            </wp:positionV>
            <wp:extent cx="554609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1">
                      <a:extLst>
                        <a:ext uri="{28A0092B-C50C-407E-A947-70E740481C1C}"/>
                      </a:extLst>
                    </a:blip>
                    <a:srcRect/>
                    <a:stretch>
                      <a:fillRect/>
                    </a:stretch>
                  </pic:blipFill>
                  <pic:spPr bwMode="auto">
                    <a:xfrm>
                      <a:off x="0" y="0"/>
                      <a:ext cx="5546090" cy="26035"/>
                    </a:xfrm>
                    <a:prstGeom prst="rect">
                      <a:avLst/>
                    </a:prstGeom>
                    <a:noFill/>
                  </pic:spPr>
                </pic:pic>
              </a:graphicData>
            </a:graphic>
          </wp:anchor>
        </w:drawing>
      </w:r>
    </w:p>
    <w:p>
      <w:pPr>
        <w:sectPr>
          <w:pgSz w:w="11900" w:h="16838" w:orient="portrait"/>
          <w:cols w:equalWidth="0" w:num="1">
            <w:col w:w="9019"/>
          </w:cols>
          <w:pgMar w:left="1440" w:top="571" w:right="1440" w:bottom="1440" w:gutter="0" w:footer="0" w:header="0"/>
        </w:sectPr>
      </w:pPr>
    </w:p>
    <w:bookmarkStart w:id="142" w:name="page143"/>
    <w:bookmarkEnd w:id="142"/>
    <w:p>
      <w:pPr>
        <w:jc w:val="right"/>
        <w:ind w:right="179"/>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ADDENDUM TO EXECUTIVE EMPLOYMENT AGREEMENT</w:t>
      </w:r>
    </w:p>
    <w:p>
      <w:pPr>
        <w:spacing w:after="0" w:line="206" w:lineRule="exact"/>
        <w:rPr>
          <w:sz w:val="20"/>
          <w:szCs w:val="20"/>
          <w:color w:val="auto"/>
        </w:rPr>
      </w:pPr>
    </w:p>
    <w:p>
      <w:pPr>
        <w:ind w:left="200" w:right="479"/>
        <w:spacing w:after="0" w:line="256" w:lineRule="auto"/>
        <w:rPr>
          <w:sz w:val="20"/>
          <w:szCs w:val="20"/>
          <w:color w:val="auto"/>
        </w:rPr>
      </w:pPr>
      <w:r>
        <w:rPr>
          <w:rFonts w:ascii="Times New Roman" w:cs="Times New Roman" w:eastAsia="Times New Roman" w:hAnsi="Times New Roman"/>
          <w:sz w:val="21"/>
          <w:szCs w:val="21"/>
          <w:color w:val="auto"/>
        </w:rPr>
        <w:t>This Addendum to Executive Employment Agreement (“</w:t>
      </w:r>
      <w:r>
        <w:rPr>
          <w:rFonts w:ascii="Times New Roman" w:cs="Times New Roman" w:eastAsia="Times New Roman" w:hAnsi="Times New Roman"/>
          <w:sz w:val="21"/>
          <w:szCs w:val="21"/>
          <w:b w:val="1"/>
          <w:bCs w:val="1"/>
          <w:color w:val="auto"/>
        </w:rPr>
        <w:t>Addendum</w:t>
      </w:r>
      <w:r>
        <w:rPr>
          <w:rFonts w:ascii="Times New Roman" w:cs="Times New Roman" w:eastAsia="Times New Roman" w:hAnsi="Times New Roman"/>
          <w:sz w:val="21"/>
          <w:szCs w:val="21"/>
          <w:color w:val="auto"/>
        </w:rPr>
        <w:t>”) supplements the attached Executive Employment Agreement, dated February 12, 2018 (“</w:t>
      </w:r>
      <w:r>
        <w:rPr>
          <w:rFonts w:ascii="Times New Roman" w:cs="Times New Roman" w:eastAsia="Times New Roman" w:hAnsi="Times New Roman"/>
          <w:sz w:val="21"/>
          <w:szCs w:val="21"/>
          <w:b w:val="1"/>
          <w:bCs w:val="1"/>
          <w:color w:val="auto"/>
        </w:rPr>
        <w:t>Employment Agreement,</w:t>
      </w:r>
      <w:r>
        <w:rPr>
          <w:rFonts w:ascii="Times New Roman" w:cs="Times New Roman" w:eastAsia="Times New Roman" w:hAnsi="Times New Roman"/>
          <w:sz w:val="21"/>
          <w:szCs w:val="21"/>
          <w:color w:val="auto"/>
        </w:rPr>
        <w:t>” as updated by this Addendum,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by and between the Company and the Executive (both as defined in the Employment Agreement, and collectively referred to as the “</w:t>
      </w:r>
      <w:r>
        <w:rPr>
          <w:rFonts w:ascii="Times New Roman" w:cs="Times New Roman" w:eastAsia="Times New Roman" w:hAnsi="Times New Roman"/>
          <w:sz w:val="21"/>
          <w:szCs w:val="21"/>
          <w:b w:val="1"/>
          <w:bCs w:val="1"/>
          <w:color w:val="auto"/>
        </w:rPr>
        <w:t>Parties</w:t>
      </w:r>
      <w:r>
        <w:rPr>
          <w:rFonts w:ascii="Times New Roman" w:cs="Times New Roman" w:eastAsia="Times New Roman" w:hAnsi="Times New Roman"/>
          <w:sz w:val="21"/>
          <w:szCs w:val="21"/>
          <w:color w:val="auto"/>
        </w:rPr>
        <w:t>”).</w:t>
      </w:r>
    </w:p>
    <w:p>
      <w:pPr>
        <w:spacing w:after="0" w:line="189" w:lineRule="exact"/>
        <w:rPr>
          <w:sz w:val="20"/>
          <w:szCs w:val="20"/>
          <w:color w:val="auto"/>
        </w:rPr>
      </w:pPr>
    </w:p>
    <w:p>
      <w:pPr>
        <w:ind w:left="200" w:right="299"/>
        <w:spacing w:after="0" w:line="258" w:lineRule="auto"/>
        <w:rPr>
          <w:sz w:val="20"/>
          <w:szCs w:val="20"/>
          <w:color w:val="auto"/>
        </w:rPr>
      </w:pPr>
      <w:r>
        <w:rPr>
          <w:rFonts w:ascii="Times New Roman" w:cs="Times New Roman" w:eastAsia="Times New Roman" w:hAnsi="Times New Roman"/>
          <w:sz w:val="22"/>
          <w:szCs w:val="22"/>
          <w:color w:val="auto"/>
        </w:rPr>
        <w:t>Unless otherwise specified, capitalized terms in this Addendum have the same meaning as defined in the Employment Agreement, and those definitions are incorporated by reference.</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NOW, THEREFORE, in consideration of the mutual promises and agreements set forth in this</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Addendum and the Employment Agreement, the Parties agree as follows:</w:t>
      </w:r>
    </w:p>
    <w:p>
      <w:pPr>
        <w:spacing w:after="0" w:line="209" w:lineRule="exact"/>
        <w:rPr>
          <w:sz w:val="20"/>
          <w:szCs w:val="20"/>
          <w:color w:val="auto"/>
        </w:rPr>
      </w:pPr>
    </w:p>
    <w:p>
      <w:pPr>
        <w:ind w:left="200" w:right="499" w:firstLine="655"/>
        <w:spacing w:after="0" w:line="244" w:lineRule="auto"/>
        <w:tabs>
          <w:tab w:leader="none" w:pos="149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The terms of the Employment Agreement, which are incorporated by reference into this Addendum as though set forth in full, remain in full force and effect.</w:t>
      </w:r>
    </w:p>
    <w:p>
      <w:pPr>
        <w:spacing w:after="0" w:line="200" w:lineRule="exact"/>
        <w:rPr>
          <w:rFonts w:ascii="Times New Roman" w:cs="Times New Roman" w:eastAsia="Times New Roman" w:hAnsi="Times New Roman"/>
          <w:sz w:val="22"/>
          <w:szCs w:val="22"/>
          <w:color w:val="auto"/>
        </w:rPr>
      </w:pPr>
    </w:p>
    <w:p>
      <w:pPr>
        <w:ind w:left="200" w:right="379" w:firstLine="655"/>
        <w:spacing w:after="0" w:line="246" w:lineRule="auto"/>
        <w:tabs>
          <w:tab w:leader="none" w:pos="1496"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Reporting Potential Misconduct Not Prohibited</w:t>
      </w:r>
      <w:r>
        <w:rPr>
          <w:rFonts w:ascii="Times New Roman" w:cs="Times New Roman" w:eastAsia="Times New Roman" w:hAnsi="Times New Roman"/>
          <w:sz w:val="21"/>
          <w:szCs w:val="21"/>
          <w:color w:val="auto"/>
        </w:rPr>
        <w:t>. Notwithstanding anything to the contrary in the Employment Agreement, nothing in the Agreement is intended to or will be used by the Company in any way to prohibit Executive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in accordance with 18</w:t>
      </w:r>
    </w:p>
    <w:p>
      <w:pPr>
        <w:spacing w:after="0" w:line="1" w:lineRule="exact"/>
        <w:rPr>
          <w:rFonts w:ascii="Times New Roman" w:cs="Times New Roman" w:eastAsia="Times New Roman" w:hAnsi="Times New Roman"/>
          <w:sz w:val="21"/>
          <w:szCs w:val="21"/>
          <w:color w:val="auto"/>
        </w:rPr>
      </w:pPr>
    </w:p>
    <w:p>
      <w:pPr>
        <w:ind w:left="200" w:right="299"/>
        <w:spacing w:after="0" w:line="24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U.S.C. § 1833, notwithstanding anything to the contrary in the Agreement: (A) Executive shall not be in breach of the Agreement and shall not be held criminally or civilly liable under any federal or state trade secret law (x) for the disclosure of a trade secret that is made in confidence to a federal, state, or local government official or to an attorney solely for the purpose of reporting or investigating a suspected violation of law, or (y) for the disclosure of a trade secret that is made in a complaint or other document filed in a lawsuit or other proceeding, if such filing is made under seal; and (B)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w:t>
      </w:r>
    </w:p>
    <w:p>
      <w:pPr>
        <w:spacing w:after="0" w:line="200" w:lineRule="exact"/>
        <w:rPr>
          <w:sz w:val="20"/>
          <w:szCs w:val="20"/>
          <w:color w:val="auto"/>
        </w:rPr>
      </w:pPr>
    </w:p>
    <w:p>
      <w:pPr>
        <w:spacing w:after="0" w:line="21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US-DOCS\154177982.1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349250</wp:posOffset>
            </wp:positionV>
            <wp:extent cx="553783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3" w:name="page144"/>
    <w:bookmarkEnd w:id="143"/>
    <w:p>
      <w:pPr>
        <w:ind w:left="200"/>
        <w:spacing w:after="0"/>
        <w:rPr>
          <w:sz w:val="20"/>
          <w:szCs w:val="20"/>
          <w:color w:val="auto"/>
        </w:rPr>
      </w:pPr>
      <w:r>
        <w:rPr>
          <w:rFonts w:ascii="Times New Roman" w:cs="Times New Roman" w:eastAsia="Times New Roman" w:hAnsi="Times New Roman"/>
          <w:sz w:val="21"/>
          <w:szCs w:val="21"/>
          <w:color w:val="auto"/>
        </w:rPr>
        <w:t>IN WITNESS WHEREOF, the Parties have executed this Addendum as of the dates shown below.</w:t>
      </w:r>
    </w:p>
    <w:p>
      <w:pPr>
        <w:spacing w:after="0" w:line="24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color w:val="auto"/>
        </w:rPr>
        <w:t>BIOXCEL THERAPEUTICS, INC.</w:t>
      </w:r>
    </w:p>
    <w:p>
      <w:pPr>
        <w:spacing w:after="0" w:line="35" w:lineRule="exact"/>
        <w:rPr>
          <w:sz w:val="20"/>
          <w:szCs w:val="20"/>
          <w:color w:val="auto"/>
        </w:rPr>
      </w:pPr>
    </w:p>
    <w:p>
      <w:pPr>
        <w:ind w:left="4460"/>
        <w:spacing w:after="0"/>
        <w:tabs>
          <w:tab w:leader="none" w:pos="5020" w:val="left"/>
        </w:tabs>
        <w:rPr>
          <w:sz w:val="20"/>
          <w:szCs w:val="20"/>
          <w:color w:val="auto"/>
        </w:rPr>
      </w:pPr>
      <w:r>
        <w:rPr>
          <w:rFonts w:ascii="Times New Roman" w:cs="Times New Roman" w:eastAsia="Times New Roman" w:hAnsi="Times New Roman"/>
          <w:sz w:val="22"/>
          <w:szCs w:val="22"/>
          <w:color w:val="auto"/>
        </w:rPr>
        <w:t>By</w:t>
        <w:tab/>
        <w:t>/s/ Javier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10795</wp:posOffset>
            </wp:positionV>
            <wp:extent cx="240855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3">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ind w:left="4460"/>
        <w:spacing w:after="0"/>
        <w:rPr>
          <w:sz w:val="20"/>
          <w:szCs w:val="20"/>
          <w:color w:val="auto"/>
        </w:rPr>
      </w:pPr>
      <w:r>
        <w:rPr>
          <w:rFonts w:ascii="Times New Roman" w:cs="Times New Roman" w:eastAsia="Times New Roman" w:hAnsi="Times New Roman"/>
          <w:sz w:val="22"/>
          <w:szCs w:val="22"/>
          <w:color w:val="auto"/>
        </w:rPr>
        <w:t>Name:Javier Rodriguez</w:t>
      </w:r>
    </w:p>
    <w:p>
      <w:pPr>
        <w:ind w:left="4460"/>
        <w:spacing w:after="0" w:line="230" w:lineRule="auto"/>
        <w:rPr>
          <w:sz w:val="20"/>
          <w:szCs w:val="20"/>
          <w:color w:val="auto"/>
        </w:rPr>
      </w:pPr>
      <w:r>
        <w:rPr>
          <w:rFonts w:ascii="Times New Roman" w:cs="Times New Roman" w:eastAsia="Times New Roman" w:hAnsi="Times New Roman"/>
          <w:sz w:val="22"/>
          <w:szCs w:val="22"/>
          <w:color w:val="auto"/>
        </w:rPr>
        <w:t>Title: Chief Legal Officer</w:t>
      </w:r>
    </w:p>
    <w:p>
      <w:pPr>
        <w:spacing w:after="0" w:line="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Date: 9/25/2024</w:t>
      </w:r>
    </w:p>
    <w:p>
      <w:pPr>
        <w:spacing w:after="0" w:line="19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35" w:lineRule="exact"/>
        <w:rPr>
          <w:sz w:val="20"/>
          <w:szCs w:val="20"/>
          <w:color w:val="auto"/>
        </w:rPr>
      </w:pPr>
    </w:p>
    <w:p>
      <w:pPr>
        <w:ind w:left="4460"/>
        <w:spacing w:after="0"/>
        <w:tabs>
          <w:tab w:leader="none" w:pos="5020" w:val="left"/>
        </w:tabs>
        <w:rPr>
          <w:sz w:val="20"/>
          <w:szCs w:val="20"/>
          <w:color w:val="auto"/>
        </w:rPr>
      </w:pPr>
      <w:r>
        <w:rPr>
          <w:rFonts w:ascii="Times New Roman" w:cs="Times New Roman" w:eastAsia="Times New Roman" w:hAnsi="Times New Roman"/>
          <w:sz w:val="22"/>
          <w:szCs w:val="22"/>
          <w:color w:val="auto"/>
        </w:rPr>
        <w:t>By</w:t>
        <w:tab/>
        <w:t>/s/ Frank Yocca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10795</wp:posOffset>
            </wp:positionV>
            <wp:extent cx="240855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4">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ind w:left="4460"/>
        <w:spacing w:after="0"/>
        <w:rPr>
          <w:sz w:val="20"/>
          <w:szCs w:val="20"/>
          <w:color w:val="auto"/>
        </w:rPr>
      </w:pPr>
      <w:r>
        <w:rPr>
          <w:rFonts w:ascii="Times New Roman" w:cs="Times New Roman" w:eastAsia="Times New Roman" w:hAnsi="Times New Roman"/>
          <w:sz w:val="22"/>
          <w:szCs w:val="22"/>
          <w:color w:val="auto"/>
        </w:rPr>
        <w:t>Name:Frank Yocca</w:t>
      </w:r>
    </w:p>
    <w:p>
      <w:pPr>
        <w:ind w:left="4460"/>
        <w:spacing w:after="0"/>
        <w:rPr>
          <w:sz w:val="20"/>
          <w:szCs w:val="20"/>
          <w:color w:val="auto"/>
        </w:rPr>
      </w:pPr>
      <w:r>
        <w:rPr>
          <w:rFonts w:ascii="Times New Roman" w:cs="Times New Roman" w:eastAsia="Times New Roman" w:hAnsi="Times New Roman"/>
          <w:sz w:val="22"/>
          <w:szCs w:val="22"/>
          <w:color w:val="auto"/>
        </w:rPr>
        <w:t>Date: 9/26/2024</w:t>
      </w: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w:t>
      </w:r>
    </w:p>
    <w:p>
      <w:pPr>
        <w:spacing w:after="0" w:line="21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US-DOCS\154177982.1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349250</wp:posOffset>
            </wp:positionV>
            <wp:extent cx="553783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5">
                      <a:extLst>
                        <a:ext uri="{28A0092B-C50C-407E-A947-70E740481C1C}"/>
                      </a:extLst>
                    </a:blip>
                    <a:srcRect/>
                    <a:stretch>
                      <a:fillRect/>
                    </a:stretch>
                  </pic:blipFill>
                  <pic:spPr bwMode="auto">
                    <a:xfrm>
                      <a:off x="0" y="0"/>
                      <a:ext cx="5537835" cy="26035"/>
                    </a:xfrm>
                    <a:prstGeom prst="rect">
                      <a:avLst/>
                    </a:prstGeom>
                    <a:noFill/>
                  </pic:spPr>
                </pic:pic>
              </a:graphicData>
            </a:graphic>
          </wp:anchor>
        </w:drawing>
      </w:r>
    </w:p>
    <w:p>
      <w:pPr>
        <w:sectPr>
          <w:pgSz w:w="11900" w:h="16838" w:orient="portrait"/>
          <w:cols w:equalWidth="0" w:num="1">
            <w:col w:w="9019"/>
          </w:cols>
          <w:pgMar w:left="1440" w:top="571" w:right="1440" w:bottom="1440" w:gutter="0" w:footer="0" w:header="0"/>
        </w:sectPr>
      </w:pPr>
    </w:p>
    <w:bookmarkStart w:id="144" w:name="page145"/>
    <w:bookmarkEnd w:id="144"/>
    <w:p>
      <w:pPr>
        <w:jc w:val="right"/>
        <w:ind w:right="179"/>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ADDENDUM TO EXECUTIVE EMPLOYMENT AGREEMENT</w:t>
      </w:r>
    </w:p>
    <w:p>
      <w:pPr>
        <w:spacing w:after="0" w:line="206" w:lineRule="exact"/>
        <w:rPr>
          <w:sz w:val="20"/>
          <w:szCs w:val="20"/>
          <w:color w:val="auto"/>
        </w:rPr>
      </w:pPr>
    </w:p>
    <w:p>
      <w:pPr>
        <w:ind w:left="200" w:right="479"/>
        <w:spacing w:after="0" w:line="256" w:lineRule="auto"/>
        <w:rPr>
          <w:sz w:val="20"/>
          <w:szCs w:val="20"/>
          <w:color w:val="auto"/>
        </w:rPr>
      </w:pPr>
      <w:r>
        <w:rPr>
          <w:rFonts w:ascii="Times New Roman" w:cs="Times New Roman" w:eastAsia="Times New Roman" w:hAnsi="Times New Roman"/>
          <w:sz w:val="21"/>
          <w:szCs w:val="21"/>
          <w:color w:val="auto"/>
        </w:rPr>
        <w:t>This Addendum to Executive Employment Agreement (“</w:t>
      </w:r>
      <w:r>
        <w:rPr>
          <w:rFonts w:ascii="Times New Roman" w:cs="Times New Roman" w:eastAsia="Times New Roman" w:hAnsi="Times New Roman"/>
          <w:sz w:val="21"/>
          <w:szCs w:val="21"/>
          <w:b w:val="1"/>
          <w:bCs w:val="1"/>
          <w:color w:val="auto"/>
        </w:rPr>
        <w:t>Addendum</w:t>
      </w:r>
      <w:r>
        <w:rPr>
          <w:rFonts w:ascii="Times New Roman" w:cs="Times New Roman" w:eastAsia="Times New Roman" w:hAnsi="Times New Roman"/>
          <w:sz w:val="21"/>
          <w:szCs w:val="21"/>
          <w:color w:val="auto"/>
        </w:rPr>
        <w:t>”) supplements the attached Executive Employment Agreement, dated October 2, 2017 (“</w:t>
      </w:r>
      <w:r>
        <w:rPr>
          <w:rFonts w:ascii="Times New Roman" w:cs="Times New Roman" w:eastAsia="Times New Roman" w:hAnsi="Times New Roman"/>
          <w:sz w:val="21"/>
          <w:szCs w:val="21"/>
          <w:b w:val="1"/>
          <w:bCs w:val="1"/>
          <w:color w:val="auto"/>
        </w:rPr>
        <w:t>Employment Agreement,</w:t>
      </w:r>
      <w:r>
        <w:rPr>
          <w:rFonts w:ascii="Times New Roman" w:cs="Times New Roman" w:eastAsia="Times New Roman" w:hAnsi="Times New Roman"/>
          <w:sz w:val="21"/>
          <w:szCs w:val="21"/>
          <w:color w:val="auto"/>
        </w:rPr>
        <w:t>” as updated by this Addendum,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by and between the Company and the Executive (both as defined in the Employment Agreement, and collectively referred to as the “</w:t>
      </w:r>
      <w:r>
        <w:rPr>
          <w:rFonts w:ascii="Times New Roman" w:cs="Times New Roman" w:eastAsia="Times New Roman" w:hAnsi="Times New Roman"/>
          <w:sz w:val="21"/>
          <w:szCs w:val="21"/>
          <w:b w:val="1"/>
          <w:bCs w:val="1"/>
          <w:color w:val="auto"/>
        </w:rPr>
        <w:t>Parties</w:t>
      </w:r>
      <w:r>
        <w:rPr>
          <w:rFonts w:ascii="Times New Roman" w:cs="Times New Roman" w:eastAsia="Times New Roman" w:hAnsi="Times New Roman"/>
          <w:sz w:val="21"/>
          <w:szCs w:val="21"/>
          <w:color w:val="auto"/>
        </w:rPr>
        <w:t>”).</w:t>
      </w:r>
    </w:p>
    <w:p>
      <w:pPr>
        <w:spacing w:after="0" w:line="189" w:lineRule="exact"/>
        <w:rPr>
          <w:sz w:val="20"/>
          <w:szCs w:val="20"/>
          <w:color w:val="auto"/>
        </w:rPr>
      </w:pPr>
    </w:p>
    <w:p>
      <w:pPr>
        <w:ind w:left="200" w:right="299"/>
        <w:spacing w:after="0" w:line="258" w:lineRule="auto"/>
        <w:rPr>
          <w:sz w:val="20"/>
          <w:szCs w:val="20"/>
          <w:color w:val="auto"/>
        </w:rPr>
      </w:pPr>
      <w:r>
        <w:rPr>
          <w:rFonts w:ascii="Times New Roman" w:cs="Times New Roman" w:eastAsia="Times New Roman" w:hAnsi="Times New Roman"/>
          <w:sz w:val="22"/>
          <w:szCs w:val="22"/>
          <w:color w:val="auto"/>
        </w:rPr>
        <w:t>Unless otherwise specified, capitalized terms in this Addendum have the same meaning as defined in the Employment Agreement, and those definitions are incorporated by reference.</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NOW, THEREFORE, in consideration of the mutual promises and agreements set forth in this</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Addendum and the Employment Agreement, the Parties agree as follows:</w:t>
      </w:r>
    </w:p>
    <w:p>
      <w:pPr>
        <w:spacing w:after="0" w:line="209" w:lineRule="exact"/>
        <w:rPr>
          <w:sz w:val="20"/>
          <w:szCs w:val="20"/>
          <w:color w:val="auto"/>
        </w:rPr>
      </w:pPr>
    </w:p>
    <w:p>
      <w:pPr>
        <w:ind w:left="200" w:right="499" w:firstLine="655"/>
        <w:spacing w:after="0" w:line="244" w:lineRule="auto"/>
        <w:tabs>
          <w:tab w:leader="none" w:pos="149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The terms of the Employment Agreement, which are incorporated by reference into this Addendum as though set forth in full, remain in full force and effect.</w:t>
      </w:r>
    </w:p>
    <w:p>
      <w:pPr>
        <w:spacing w:after="0" w:line="200" w:lineRule="exact"/>
        <w:rPr>
          <w:rFonts w:ascii="Times New Roman" w:cs="Times New Roman" w:eastAsia="Times New Roman" w:hAnsi="Times New Roman"/>
          <w:sz w:val="22"/>
          <w:szCs w:val="22"/>
          <w:color w:val="auto"/>
        </w:rPr>
      </w:pPr>
    </w:p>
    <w:p>
      <w:pPr>
        <w:ind w:left="200" w:right="379" w:firstLine="655"/>
        <w:spacing w:after="0" w:line="246" w:lineRule="auto"/>
        <w:tabs>
          <w:tab w:leader="none" w:pos="1496"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Reporting Potential Misconduct Not Prohibited</w:t>
      </w:r>
      <w:r>
        <w:rPr>
          <w:rFonts w:ascii="Times New Roman" w:cs="Times New Roman" w:eastAsia="Times New Roman" w:hAnsi="Times New Roman"/>
          <w:sz w:val="21"/>
          <w:szCs w:val="21"/>
          <w:color w:val="auto"/>
        </w:rPr>
        <w:t>. Notwithstanding anything to the contrary in the Employment Agreement, nothing in the Agreement is intended to or will be used by the Company in any way to prohibit Executive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in accordance with 18</w:t>
      </w:r>
    </w:p>
    <w:p>
      <w:pPr>
        <w:spacing w:after="0" w:line="1" w:lineRule="exact"/>
        <w:rPr>
          <w:rFonts w:ascii="Times New Roman" w:cs="Times New Roman" w:eastAsia="Times New Roman" w:hAnsi="Times New Roman"/>
          <w:sz w:val="21"/>
          <w:szCs w:val="21"/>
          <w:color w:val="auto"/>
        </w:rPr>
      </w:pPr>
    </w:p>
    <w:p>
      <w:pPr>
        <w:ind w:left="200" w:right="299"/>
        <w:spacing w:after="0" w:line="24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U.S.C. § 1833, notwithstanding anything to the contrary in the Agreement: (A) Executive shall not be in breach of the Agreement and shall not be held criminally or civilly liable under any federal or state trade secret law (x) for the disclosure of a trade secret that is made in confidence to a federal, state, or local government official or to an attorney solely for the purpose of reporting or investigating a suspected violation of law, or (y) for the disclosure of a trade secret that is made in a complaint or other document filed in a lawsuit or other proceeding, if such filing is made under seal; and (B)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w:t>
      </w:r>
    </w:p>
    <w:p>
      <w:pPr>
        <w:spacing w:after="0" w:line="200" w:lineRule="exact"/>
        <w:rPr>
          <w:sz w:val="20"/>
          <w:szCs w:val="20"/>
          <w:color w:val="auto"/>
        </w:rPr>
      </w:pPr>
    </w:p>
    <w:p>
      <w:pPr>
        <w:spacing w:after="0" w:line="21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US-DOCS\154177982.1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349250</wp:posOffset>
            </wp:positionV>
            <wp:extent cx="553783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6">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5" w:name="page146"/>
    <w:bookmarkEnd w:id="145"/>
    <w:p>
      <w:pPr>
        <w:ind w:left="200"/>
        <w:spacing w:after="0"/>
        <w:rPr>
          <w:sz w:val="20"/>
          <w:szCs w:val="20"/>
          <w:color w:val="auto"/>
        </w:rPr>
      </w:pPr>
      <w:r>
        <w:rPr>
          <w:rFonts w:ascii="Times New Roman" w:cs="Times New Roman" w:eastAsia="Times New Roman" w:hAnsi="Times New Roman"/>
          <w:sz w:val="21"/>
          <w:szCs w:val="21"/>
          <w:color w:val="auto"/>
        </w:rPr>
        <w:t>IN WITNESS WHEREOF, the Parties have executed this Addendum as of the dates shown below.</w:t>
      </w:r>
    </w:p>
    <w:p>
      <w:pPr>
        <w:spacing w:after="0" w:line="24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color w:val="auto"/>
        </w:rPr>
        <w:t>BIOXCEL THERAPEUTICS, INC.</w:t>
      </w:r>
    </w:p>
    <w:p>
      <w:pPr>
        <w:spacing w:after="0" w:line="35" w:lineRule="exact"/>
        <w:rPr>
          <w:sz w:val="20"/>
          <w:szCs w:val="20"/>
          <w:color w:val="auto"/>
        </w:rPr>
      </w:pPr>
    </w:p>
    <w:p>
      <w:pPr>
        <w:ind w:left="4460"/>
        <w:spacing w:after="0"/>
        <w:tabs>
          <w:tab w:leader="none" w:pos="5020" w:val="left"/>
        </w:tabs>
        <w:rPr>
          <w:sz w:val="20"/>
          <w:szCs w:val="20"/>
          <w:color w:val="auto"/>
        </w:rPr>
      </w:pPr>
      <w:r>
        <w:rPr>
          <w:rFonts w:ascii="Times New Roman" w:cs="Times New Roman" w:eastAsia="Times New Roman" w:hAnsi="Times New Roman"/>
          <w:sz w:val="22"/>
          <w:szCs w:val="22"/>
          <w:color w:val="auto"/>
        </w:rPr>
        <w:t>By</w:t>
        <w:tab/>
        <w:t>/s/ Javier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10795</wp:posOffset>
            </wp:positionV>
            <wp:extent cx="24085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7">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ind w:left="4460"/>
        <w:spacing w:after="0"/>
        <w:rPr>
          <w:sz w:val="20"/>
          <w:szCs w:val="20"/>
          <w:color w:val="auto"/>
        </w:rPr>
      </w:pPr>
      <w:r>
        <w:rPr>
          <w:rFonts w:ascii="Times New Roman" w:cs="Times New Roman" w:eastAsia="Times New Roman" w:hAnsi="Times New Roman"/>
          <w:sz w:val="22"/>
          <w:szCs w:val="22"/>
          <w:color w:val="auto"/>
        </w:rPr>
        <w:t>Name:Javier Rodriguez</w:t>
      </w:r>
    </w:p>
    <w:p>
      <w:pPr>
        <w:ind w:left="4460"/>
        <w:spacing w:after="0" w:line="230" w:lineRule="auto"/>
        <w:rPr>
          <w:sz w:val="20"/>
          <w:szCs w:val="20"/>
          <w:color w:val="auto"/>
        </w:rPr>
      </w:pPr>
      <w:r>
        <w:rPr>
          <w:rFonts w:ascii="Times New Roman" w:cs="Times New Roman" w:eastAsia="Times New Roman" w:hAnsi="Times New Roman"/>
          <w:sz w:val="22"/>
          <w:szCs w:val="22"/>
          <w:color w:val="auto"/>
        </w:rPr>
        <w:t>Title: Chief Legal Officer</w:t>
      </w:r>
    </w:p>
    <w:p>
      <w:pPr>
        <w:spacing w:after="0" w:line="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Date: 9/25/2024</w:t>
      </w:r>
    </w:p>
    <w:p>
      <w:pPr>
        <w:spacing w:after="0" w:line="20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35" w:lineRule="exact"/>
        <w:rPr>
          <w:sz w:val="20"/>
          <w:szCs w:val="20"/>
          <w:color w:val="auto"/>
        </w:rPr>
      </w:pPr>
    </w:p>
    <w:p>
      <w:pPr>
        <w:ind w:left="4460"/>
        <w:spacing w:after="0"/>
        <w:tabs>
          <w:tab w:leader="none" w:pos="5020" w:val="left"/>
        </w:tabs>
        <w:rPr>
          <w:sz w:val="20"/>
          <w:szCs w:val="20"/>
          <w:color w:val="auto"/>
        </w:rPr>
      </w:pPr>
      <w:r>
        <w:rPr>
          <w:rFonts w:ascii="Times New Roman" w:cs="Times New Roman" w:eastAsia="Times New Roman" w:hAnsi="Times New Roman"/>
          <w:sz w:val="22"/>
          <w:szCs w:val="22"/>
          <w:color w:val="auto"/>
        </w:rPr>
        <w:t>By</w:t>
        <w:tab/>
        <w:t>/s/ Richard Steinhart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10795</wp:posOffset>
            </wp:positionV>
            <wp:extent cx="24085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8">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ind w:left="4460"/>
        <w:spacing w:after="0"/>
        <w:rPr>
          <w:sz w:val="20"/>
          <w:szCs w:val="20"/>
          <w:color w:val="auto"/>
        </w:rPr>
      </w:pPr>
      <w:r>
        <w:rPr>
          <w:rFonts w:ascii="Times New Roman" w:cs="Times New Roman" w:eastAsia="Times New Roman" w:hAnsi="Times New Roman"/>
          <w:sz w:val="22"/>
          <w:szCs w:val="22"/>
          <w:color w:val="auto"/>
        </w:rPr>
        <w:t>Name:Richard Steinhart</w:t>
      </w:r>
    </w:p>
    <w:p>
      <w:pPr>
        <w:ind w:left="4460"/>
        <w:spacing w:after="0"/>
        <w:rPr>
          <w:sz w:val="20"/>
          <w:szCs w:val="20"/>
          <w:color w:val="auto"/>
        </w:rPr>
      </w:pPr>
      <w:r>
        <w:rPr>
          <w:rFonts w:ascii="Times New Roman" w:cs="Times New Roman" w:eastAsia="Times New Roman" w:hAnsi="Times New Roman"/>
          <w:sz w:val="22"/>
          <w:szCs w:val="22"/>
          <w:color w:val="auto"/>
        </w:rPr>
        <w:t>Date: 9/25/2024</w:t>
      </w: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US-DOCS\154177982.1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339090</wp:posOffset>
            </wp:positionV>
            <wp:extent cx="553783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9">
                      <a:extLst>
                        <a:ext uri="{28A0092B-C50C-407E-A947-70E740481C1C}"/>
                      </a:extLst>
                    </a:blip>
                    <a:srcRect/>
                    <a:stretch>
                      <a:fillRect/>
                    </a:stretch>
                  </pic:blipFill>
                  <pic:spPr bwMode="auto">
                    <a:xfrm>
                      <a:off x="0" y="0"/>
                      <a:ext cx="5537835" cy="26035"/>
                    </a:xfrm>
                    <a:prstGeom prst="rect">
                      <a:avLst/>
                    </a:prstGeom>
                    <a:noFill/>
                  </pic:spPr>
                </pic:pic>
              </a:graphicData>
            </a:graphic>
          </wp:anchor>
        </w:drawing>
      </w:r>
    </w:p>
    <w:p>
      <w:pPr>
        <w:sectPr>
          <w:pgSz w:w="11900" w:h="16838" w:orient="portrait"/>
          <w:cols w:equalWidth="0" w:num="1">
            <w:col w:w="9019"/>
          </w:cols>
          <w:pgMar w:left="1440" w:top="395" w:right="1440" w:bottom="1440" w:gutter="0" w:footer="0" w:header="0"/>
        </w:sectPr>
      </w:pPr>
    </w:p>
    <w:bookmarkStart w:id="146" w:name="page147"/>
    <w:bookmarkEnd w:id="146"/>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Vimal Mehta, Ph.D., certify that:</w:t>
      </w:r>
    </w:p>
    <w:p>
      <w:pPr>
        <w:spacing w:after="0" w:line="360" w:lineRule="exact"/>
        <w:rPr>
          <w:sz w:val="20"/>
          <w:szCs w:val="20"/>
          <w:color w:val="auto"/>
        </w:rPr>
      </w:pPr>
    </w:p>
    <w:p>
      <w:pPr>
        <w:ind w:left="540" w:right="819" w:hanging="331"/>
        <w:spacing w:after="0" w:line="282"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2024 of BioXcel Therapeutics, Inc.;</w:t>
      </w:r>
    </w:p>
    <w:p>
      <w:pPr>
        <w:spacing w:after="0" w:line="134" w:lineRule="exact"/>
        <w:rPr>
          <w:rFonts w:ascii="Times New Roman" w:cs="Times New Roman" w:eastAsia="Times New Roman" w:hAnsi="Times New Roman"/>
          <w:sz w:val="18"/>
          <w:szCs w:val="18"/>
          <w:color w:val="auto"/>
        </w:rPr>
      </w:pPr>
    </w:p>
    <w:p>
      <w:pPr>
        <w:ind w:left="540" w:right="459" w:hanging="331"/>
        <w:spacing w:after="0" w:line="266"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40" w:right="359" w:hanging="331"/>
        <w:spacing w:after="0" w:line="266"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ind w:left="540" w:right="379" w:hanging="331"/>
        <w:spacing w:after="0" w:line="266"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8"/>
          <w:szCs w:val="18"/>
          <w:color w:val="auto"/>
        </w:rPr>
      </w:pPr>
    </w:p>
    <w:p>
      <w:pPr>
        <w:ind w:left="1180" w:right="239" w:hanging="323"/>
        <w:spacing w:after="0" w:line="261" w:lineRule="auto"/>
        <w:tabs>
          <w:tab w:leader="none" w:pos="11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180" w:right="239" w:hanging="323"/>
        <w:spacing w:after="0" w:line="261" w:lineRule="auto"/>
        <w:tabs>
          <w:tab w:leader="none" w:pos="11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2" w:lineRule="exact"/>
        <w:rPr>
          <w:rFonts w:ascii="Times New Roman" w:cs="Times New Roman" w:eastAsia="Times New Roman" w:hAnsi="Times New Roman"/>
          <w:sz w:val="18"/>
          <w:szCs w:val="18"/>
          <w:color w:val="auto"/>
        </w:rPr>
      </w:pPr>
    </w:p>
    <w:p>
      <w:pPr>
        <w:ind w:left="1180" w:right="339" w:hanging="323"/>
        <w:spacing w:after="0" w:line="266" w:lineRule="auto"/>
        <w:tabs>
          <w:tab w:leader="none" w:pos="11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180" w:right="279" w:hanging="323"/>
        <w:spacing w:after="0" w:line="261" w:lineRule="auto"/>
        <w:tabs>
          <w:tab w:leader="none" w:pos="11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ind w:left="540" w:right="539" w:hanging="331"/>
        <w:spacing w:after="0" w:line="266"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1180" w:right="479" w:hanging="323"/>
        <w:spacing w:after="0" w:line="266" w:lineRule="auto"/>
        <w:tabs>
          <w:tab w:leader="none" w:pos="11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180" w:right="259" w:hanging="323"/>
        <w:spacing w:after="0" w:line="282" w:lineRule="auto"/>
        <w:tabs>
          <w:tab w:leader="none" w:pos="11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November 14, 2024</w:t>
            </w:r>
          </w:p>
        </w:tc>
        <w:tc>
          <w:tcPr>
            <w:tcW w:w="5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By:   /s/ Vimal Mehta</w:t>
            </w:r>
          </w:p>
        </w:tc>
      </w:tr>
      <w:tr>
        <w:trPr>
          <w:trHeight w:val="191"/>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7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Vimal Mehta, Ph.D.</w:t>
            </w: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6"/>
        </w:trPr>
        <w:tc>
          <w:tcPr>
            <w:tcW w:w="20" w:type="dxa"/>
            <w:vAlign w:val="bottom"/>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47" w:name="page148"/>
    <w:bookmarkEnd w:id="147"/>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Richard Steinhart, certify that:</w:t>
      </w:r>
    </w:p>
    <w:p>
      <w:pPr>
        <w:spacing w:after="0" w:line="360" w:lineRule="exact"/>
        <w:rPr>
          <w:sz w:val="20"/>
          <w:szCs w:val="20"/>
          <w:color w:val="auto"/>
        </w:rPr>
      </w:pPr>
    </w:p>
    <w:p>
      <w:pPr>
        <w:ind w:left="540" w:right="819" w:hanging="331"/>
        <w:spacing w:after="0" w:line="282"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2024 of BioXcel Therapeutics, Inc.;</w:t>
      </w:r>
    </w:p>
    <w:p>
      <w:pPr>
        <w:spacing w:after="0" w:line="134" w:lineRule="exact"/>
        <w:rPr>
          <w:rFonts w:ascii="Times New Roman" w:cs="Times New Roman" w:eastAsia="Times New Roman" w:hAnsi="Times New Roman"/>
          <w:sz w:val="18"/>
          <w:szCs w:val="18"/>
          <w:color w:val="auto"/>
        </w:rPr>
      </w:pPr>
    </w:p>
    <w:p>
      <w:pPr>
        <w:ind w:left="540" w:right="459" w:hanging="331"/>
        <w:spacing w:after="0" w:line="266"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40" w:right="359" w:hanging="331"/>
        <w:spacing w:after="0" w:line="266"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ind w:left="540" w:right="379" w:hanging="331"/>
        <w:spacing w:after="0" w:line="266"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8"/>
          <w:szCs w:val="18"/>
          <w:color w:val="auto"/>
        </w:rPr>
      </w:pPr>
    </w:p>
    <w:p>
      <w:pPr>
        <w:ind w:left="1180" w:right="239" w:hanging="323"/>
        <w:spacing w:after="0" w:line="261" w:lineRule="auto"/>
        <w:tabs>
          <w:tab w:leader="none" w:pos="11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180" w:right="239" w:hanging="323"/>
        <w:spacing w:after="0" w:line="261" w:lineRule="auto"/>
        <w:tabs>
          <w:tab w:leader="none" w:pos="11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2" w:lineRule="exact"/>
        <w:rPr>
          <w:rFonts w:ascii="Times New Roman" w:cs="Times New Roman" w:eastAsia="Times New Roman" w:hAnsi="Times New Roman"/>
          <w:sz w:val="18"/>
          <w:szCs w:val="18"/>
          <w:color w:val="auto"/>
        </w:rPr>
      </w:pPr>
    </w:p>
    <w:p>
      <w:pPr>
        <w:ind w:left="1180" w:right="339" w:hanging="323"/>
        <w:spacing w:after="0" w:line="266" w:lineRule="auto"/>
        <w:tabs>
          <w:tab w:leader="none" w:pos="11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180" w:right="279" w:hanging="323"/>
        <w:spacing w:after="0" w:line="261" w:lineRule="auto"/>
        <w:tabs>
          <w:tab w:leader="none" w:pos="11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ind w:left="540" w:right="539" w:hanging="331"/>
        <w:spacing w:after="0" w:line="266"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1180" w:right="479" w:hanging="323"/>
        <w:spacing w:after="0" w:line="266" w:lineRule="auto"/>
        <w:tabs>
          <w:tab w:leader="none" w:pos="11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180" w:right="259" w:hanging="323"/>
        <w:spacing w:after="0" w:line="282" w:lineRule="auto"/>
        <w:tabs>
          <w:tab w:leader="none" w:pos="11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November 14, 2024</w:t>
            </w:r>
          </w:p>
        </w:tc>
        <w:tc>
          <w:tcPr>
            <w:tcW w:w="5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By: /s/ Richard Steinhart</w:t>
            </w:r>
          </w:p>
        </w:tc>
      </w:tr>
      <w:tr>
        <w:trPr>
          <w:trHeight w:val="191"/>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Richard Steinhart</w:t>
            </w: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992"/>
        </w:trPr>
        <w:tc>
          <w:tcPr>
            <w:tcW w:w="20" w:type="dxa"/>
            <w:vAlign w:val="bottom"/>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3" w:right="1440" w:bottom="1440" w:gutter="0" w:footer="0" w:header="0"/>
        </w:sectPr>
      </w:pPr>
    </w:p>
    <w:bookmarkStart w:id="148" w:name="page149"/>
    <w:bookmarkEnd w:id="148"/>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0" w:right="479"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BioXcel Therapeutics, Inc. (the “Company”) for the quarterly period ended September 30, 2024,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80" w:lineRule="exact"/>
        <w:rPr>
          <w:sz w:val="20"/>
          <w:szCs w:val="20"/>
          <w:color w:val="auto"/>
        </w:rPr>
      </w:pPr>
    </w:p>
    <w:p>
      <w:pPr>
        <w:ind w:left="1180" w:right="759" w:hanging="323"/>
        <w:spacing w:after="0" w:line="282" w:lineRule="auto"/>
        <w:tabs>
          <w:tab w:leader="none" w:pos="1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180" w:right="499" w:hanging="323"/>
        <w:spacing w:after="0" w:line="282" w:lineRule="auto"/>
        <w:tabs>
          <w:tab w:leader="none" w:pos="1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November 14, 2024</w:t>
            </w:r>
          </w:p>
        </w:tc>
        <w:tc>
          <w:tcPr>
            <w:tcW w:w="56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By:  /s/ Vimal Mehta</w:t>
            </w:r>
          </w:p>
        </w:tc>
      </w:tr>
      <w:tr>
        <w:trPr>
          <w:trHeight w:val="191"/>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0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Vimal Mehta, Ph.D.</w:t>
            </w: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63"/>
        </w:trPr>
        <w:tc>
          <w:tcPr>
            <w:tcW w:w="20" w:type="dxa"/>
            <w:vAlign w:val="bottom"/>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49" w:name="page150"/>
    <w:bookmarkEnd w:id="149"/>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0" w:right="479"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BioXcel Therapeutics, Inc. (the “Company”) for the quarterly period ended September 30, 2024,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80" w:lineRule="exact"/>
        <w:rPr>
          <w:sz w:val="20"/>
          <w:szCs w:val="20"/>
          <w:color w:val="auto"/>
        </w:rPr>
      </w:pPr>
    </w:p>
    <w:p>
      <w:pPr>
        <w:ind w:left="1180" w:right="759" w:hanging="323"/>
        <w:spacing w:after="0" w:line="282" w:lineRule="auto"/>
        <w:tabs>
          <w:tab w:leader="none" w:pos="11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180" w:right="499" w:hanging="323"/>
        <w:spacing w:after="0" w:line="282" w:lineRule="auto"/>
        <w:tabs>
          <w:tab w:leader="none" w:pos="11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November 14, 2024</w:t>
            </w:r>
          </w:p>
        </w:tc>
        <w:tc>
          <w:tcPr>
            <w:tcW w:w="5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By: /s/ Richard Steinhart</w:t>
            </w:r>
          </w:p>
        </w:tc>
      </w:tr>
      <w:tr>
        <w:trPr>
          <w:trHeight w:val="191"/>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Richard Steinhart</w:t>
            </w: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63"/>
        </w:trPr>
        <w:tc>
          <w:tcPr>
            <w:tcW w:w="20" w:type="dxa"/>
            <w:vAlign w:val="bottom"/>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1)"/>
      <w:numFmt w:val="lowerRoman"/>
      <w:start w:val="2"/>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
      <w:numFmt w:val="bullet"/>
      <w:start w:val="1"/>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
      <w:numFmt w:val="bullet"/>
      <w:start w:val="1"/>
    </w:lvl>
  </w:abstractNum>
  <w:abstractNum w:abstractNumId="44">
    <w:nsid w:val="275AC794"/>
    <w:multiLevelType w:val="hybridMultilevel"/>
    <w:lvl w:ilvl="0">
      <w:lvlJc w:val="left"/>
      <w:lvlText w:val="●"/>
      <w:numFmt w:val="bullet"/>
      <w:start w:val="1"/>
    </w:lvl>
  </w:abstractNum>
  <w:abstractNum w:abstractNumId="45">
    <w:nsid w:val="39386575"/>
    <w:multiLevelType w:val="hybridMultilevel"/>
    <w:lvl w:ilvl="0">
      <w:lvlJc w:val="left"/>
      <w:lvlText w:val="●"/>
      <w:numFmt w:val="bullet"/>
      <w:start w:val="1"/>
    </w:lvl>
  </w:abstractNum>
  <w:abstractNum w:abstractNumId="46">
    <w:nsid w:val="1CF10FD8"/>
    <w:multiLevelType w:val="hybridMultilevel"/>
    <w:lvl w:ilvl="0">
      <w:lvlJc w:val="left"/>
      <w:lvlText w:val="●"/>
      <w:numFmt w:val="bullet"/>
      <w:start w:val="1"/>
    </w:lvl>
  </w:abstractNum>
  <w:abstractNum w:abstractNumId="47">
    <w:nsid w:val="180115BE"/>
    <w:multiLevelType w:val="hybridMultilevel"/>
    <w:lvl w:ilvl="0">
      <w:lvlJc w:val="left"/>
      <w:lvlText w:val="●"/>
      <w:numFmt w:val="bullet"/>
      <w:start w:val="1"/>
    </w:lvl>
  </w:abstractNum>
  <w:abstractNum w:abstractNumId="48">
    <w:nsid w:val="235BA861"/>
    <w:multiLevelType w:val="hybridMultilevel"/>
    <w:lvl w:ilvl="0">
      <w:lvlJc w:val="left"/>
      <w:lvlText w:val="●"/>
      <w:numFmt w:val="bullet"/>
      <w:start w:val="1"/>
    </w:lvl>
  </w:abstractNum>
  <w:abstractNum w:abstractNumId="49">
    <w:nsid w:val="47398C89"/>
    <w:multiLevelType w:val="hybridMultilevel"/>
    <w:lvl w:ilvl="0">
      <w:lvlJc w:val="left"/>
      <w:lvlText w:val="●"/>
      <w:numFmt w:val="bullet"/>
      <w:start w:val="1"/>
    </w:lvl>
  </w:abstractNum>
  <w:abstractNum w:abstractNumId="50">
    <w:nsid w:val="354FE9F9"/>
    <w:multiLevelType w:val="hybridMultilevel"/>
    <w:lvl w:ilvl="0">
      <w:lvlJc w:val="left"/>
      <w:lvlText w:val="●"/>
      <w:numFmt w:val="bullet"/>
      <w:start w:val="1"/>
    </w:lvl>
  </w:abstractNum>
  <w:abstractNum w:abstractNumId="51">
    <w:nsid w:val="15B5AF5C"/>
    <w:multiLevelType w:val="hybridMultilevel"/>
    <w:lvl w:ilvl="0">
      <w:lvlJc w:val="left"/>
      <w:lvlText w:val="●"/>
      <w:numFmt w:val="bullet"/>
      <w:start w:val="1"/>
    </w:lvl>
  </w:abstractNum>
  <w:abstractNum w:abstractNumId="52">
    <w:nsid w:val="741226BB"/>
    <w:multiLevelType w:val="hybridMultilevel"/>
    <w:lvl w:ilvl="0">
      <w:lvlJc w:val="left"/>
      <w:lvlText w:val="●"/>
      <w:numFmt w:val="bullet"/>
      <w:start w:val="1"/>
    </w:lvl>
  </w:abstractNum>
  <w:abstractNum w:abstractNumId="53">
    <w:nsid w:val="D34B6A8"/>
    <w:multiLevelType w:val="hybridMultilevel"/>
    <w:lvl w:ilvl="0">
      <w:lvlJc w:val="left"/>
      <w:lvlText w:val="(%1)"/>
      <w:numFmt w:val="decimal"/>
      <w:start w:val="1"/>
    </w:lvl>
  </w:abstractNum>
  <w:abstractNum w:abstractNumId="54">
    <w:nsid w:val="10233C99"/>
    <w:multiLevelType w:val="hybridMultilevel"/>
    <w:lvl w:ilvl="0">
      <w:lvlJc w:val="left"/>
      <w:lvlText w:val="●"/>
      <w:numFmt w:val="bullet"/>
      <w:start w:val="1"/>
    </w:lvl>
  </w:abstractNum>
  <w:abstractNum w:abstractNumId="55">
    <w:nsid w:val="3F6AB60F"/>
    <w:multiLevelType w:val="hybridMultilevel"/>
    <w:lvl w:ilvl="0">
      <w:lvlJc w:val="left"/>
      <w:lvlText w:val="(%1)"/>
      <w:numFmt w:val="lowerLetter"/>
      <w:start w:val="1"/>
    </w:lvl>
  </w:abstractNum>
  <w:abstractNum w:abstractNumId="56">
    <w:nsid w:val="61574095"/>
    <w:multiLevelType w:val="hybridMultilevel"/>
    <w:lvl w:ilvl="0">
      <w:lvlJc w:val="left"/>
      <w:lvlText w:val="-"/>
      <w:numFmt w:val="bullet"/>
      <w:start w:val="1"/>
    </w:lvl>
  </w:abstractNum>
  <w:abstractNum w:abstractNumId="57">
    <w:nsid w:val="7E0C57B1"/>
    <w:multiLevelType w:val="hybridMultilevel"/>
    <w:lvl w:ilvl="0">
      <w:lvlJc w:val="left"/>
      <w:lvlText w:val="*"/>
      <w:numFmt w:val="bullet"/>
      <w:start w:val="1"/>
    </w:lvl>
  </w:abstractNum>
  <w:abstractNum w:abstractNumId="58">
    <w:nsid w:val="77AE35EB"/>
    <w:multiLevelType w:val="hybridMultilevel"/>
    <w:lvl w:ilvl="0">
      <w:lvlJc w:val="left"/>
      <w:lvlText w:val="+"/>
      <w:numFmt w:val="bullet"/>
      <w:start w:val="1"/>
    </w:lvl>
  </w:abstractNum>
  <w:abstractNum w:abstractNumId="59">
    <w:nsid w:val="579BE4F1"/>
    <w:multiLevelType w:val="hybridMultilevel"/>
    <w:lvl w:ilvl="0">
      <w:lvlJc w:val="left"/>
      <w:lvlText w:val="%1."/>
      <w:numFmt w:val="decimal"/>
      <w:start w:val="1"/>
    </w:lvl>
  </w:abstractNum>
  <w:abstractNum w:abstractNumId="60">
    <w:nsid w:val="310C50B3"/>
    <w:multiLevelType w:val="hybridMultilevel"/>
    <w:lvl w:ilvl="0">
      <w:lvlJc w:val="left"/>
      <w:lvlText w:val="%1."/>
      <w:numFmt w:val="decimal"/>
      <w:start w:val="1"/>
    </w:lvl>
  </w:abstractNum>
  <w:abstractNum w:abstractNumId="61">
    <w:nsid w:val="5FF87E05"/>
    <w:multiLevelType w:val="hybridMultilevel"/>
    <w:lvl w:ilvl="0">
      <w:lvlJc w:val="left"/>
      <w:lvlText w:val="%1."/>
      <w:numFmt w:val="decimal"/>
      <w:start w:val="1"/>
    </w:lvl>
  </w:abstractNum>
  <w:abstractNum w:abstractNumId="62">
    <w:nsid w:val="2F305DEF"/>
    <w:multiLevelType w:val="hybridMultilevel"/>
    <w:lvl w:ilvl="0">
      <w:lvlJc w:val="left"/>
      <w:lvlText w:val="%1."/>
      <w:numFmt w:val="decimal"/>
      <w:start w:val="1"/>
    </w:lvl>
  </w:abstractNum>
  <w:abstractNum w:abstractNumId="63">
    <w:nsid w:val="25A70BF7"/>
    <w:multiLevelType w:val="hybridMultilevel"/>
    <w:lvl w:ilvl="0">
      <w:lvlJc w:val="left"/>
      <w:lvlText w:val="%1."/>
      <w:numFmt w:val="decimal"/>
      <w:start w:val="1"/>
    </w:lvl>
    <w:lvl w:ilvl="1">
      <w:lvlJc w:val="left"/>
      <w:lvlText w:val="%2."/>
      <w:numFmt w:val="lowerLetter"/>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60" Type="http://schemas.openxmlformats.org/officeDocument/2006/relationships/image" Target="media/image143.png"/><Relationship Id="rId161" Type="http://schemas.openxmlformats.org/officeDocument/2006/relationships/image" Target="media/image144.png"/><Relationship Id="rId162" Type="http://schemas.openxmlformats.org/officeDocument/2006/relationships/image" Target="media/image145.png"/><Relationship Id="rId163" Type="http://schemas.openxmlformats.org/officeDocument/2006/relationships/image" Target="media/image146.png"/><Relationship Id="rId164" Type="http://schemas.openxmlformats.org/officeDocument/2006/relationships/image" Target="media/image147.png"/><Relationship Id="rId165" Type="http://schemas.openxmlformats.org/officeDocument/2006/relationships/image" Target="media/image148.png"/><Relationship Id="rId166" Type="http://schemas.openxmlformats.org/officeDocument/2006/relationships/image" Target="media/image149.png"/><Relationship Id="rId167" Type="http://schemas.openxmlformats.org/officeDocument/2006/relationships/image" Target="media/image150.png"/><Relationship Id="rId168" Type="http://schemas.openxmlformats.org/officeDocument/2006/relationships/image" Target="media/image151.png"/><Relationship Id="rId169" Type="http://schemas.openxmlformats.org/officeDocument/2006/relationships/image" Target="media/image152.png"/><Relationship Id="rId170" Type="http://schemas.openxmlformats.org/officeDocument/2006/relationships/image" Target="media/image153.png"/><Relationship Id="rId171" Type="http://schemas.openxmlformats.org/officeDocument/2006/relationships/image" Target="media/image154.png"/><Relationship Id="rId172" Type="http://schemas.openxmlformats.org/officeDocument/2006/relationships/image" Target="media/image155.png"/><Relationship Id="rId173" Type="http://schemas.openxmlformats.org/officeDocument/2006/relationships/image" Target="media/image156.png"/><Relationship Id="rId174" Type="http://schemas.openxmlformats.org/officeDocument/2006/relationships/image" Target="media/image157.png"/><Relationship Id="rId175" Type="http://schemas.openxmlformats.org/officeDocument/2006/relationships/image" Target="media/image158.png"/><Relationship Id="rId176" Type="http://schemas.openxmlformats.org/officeDocument/2006/relationships/image" Target="media/image159.png"/><Relationship Id="rId177" Type="http://schemas.openxmlformats.org/officeDocument/2006/relationships/image" Target="media/image160.png"/><Relationship Id="rId178" Type="http://schemas.openxmlformats.org/officeDocument/2006/relationships/image" Target="media/image161.png"/><Relationship Id="rId179" Type="http://schemas.openxmlformats.org/officeDocument/2006/relationships/image" Target="media/image162.png"/><Relationship Id="rId150" Type="http://schemas.openxmlformats.org/officeDocument/2006/relationships/hyperlink" Target="https://www.sec.gov/Archives/edgar/data/1720893/000155837021011074/btai-20210630xex3d1.htm" TargetMode="External"/><Relationship Id="rId151" Type="http://schemas.openxmlformats.org/officeDocument/2006/relationships/hyperlink" Target="https://www.sec.gov/Archives/edgar/data/1720893/000110465924070503/tm249625d6_ex3-1.htm" TargetMode="External"/><Relationship Id="rId152" Type="http://schemas.openxmlformats.org/officeDocument/2006/relationships/hyperlink" Target="https://www.sec.gov/Archives/edgar/data/1720893/000110465918016770/a18-8090_1ex3d2.htm#Exhibit3_2_110959" TargetMode="External"/><Relationship Id="rId153" Type="http://schemas.openxmlformats.org/officeDocument/2006/relationships/hyperlink" Target="https://www.sec.gov/Archives/edgar/data/1720893/000155837024003784/btai-20231231xex4d5.htm" TargetMode="External"/><Relationship Id="rId154" Type="http://schemas.openxmlformats.org/officeDocument/2006/relationships/hyperlink" Target="https://www.sec.gov/Archives/edgar/data/1720893/000155837024003784/btai-20231231xex4d6.htm" TargetMode="External"/><Relationship Id="rId155" Type="http://schemas.openxmlformats.org/officeDocument/2006/relationships/hyperlink" Target="https://www.sec.gov/Archives/edgar/data/1720893/000110465924038441/tm249625d2_ex4-1.htm" TargetMode="External"/><Relationship Id="rId156" Type="http://schemas.openxmlformats.org/officeDocument/2006/relationships/hyperlink" Target="https://www.sec.gov/Archives/edgar/data/1720893/000110465924038441/tm249625d2_ex4-2.htm" TargetMode="External"/><Relationship Id="rId157" Type="http://schemas.openxmlformats.org/officeDocument/2006/relationships/hyperlink" Target="https://www.sec.gov/Archives/edgar/data/1720893/000155837024010967/btai-20240630xex10d1.htm" TargetMode="External"/><Relationship Id="rId158" Type="http://schemas.openxmlformats.org/officeDocument/2006/relationships/hyperlink" Target="https://www.sec.gov/Archives/edgar/data/1720893/000110465924107327/tm2425903d1_ex10-1.htm" TargetMode="External"/><Relationship Id="rId159" Type="http://schemas.openxmlformats.org/officeDocument/2006/relationships/hyperlink" Target="https://www.sec.gov/Archives/edgar/data/1720893/000110465924107327/tm2425903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2024-11-14T08:24:07Z</dcterms:created>
  <dcterms:modified xsi:type="dcterms:W3CDTF">2024-11-14T08:24:07Z</dcterms:modified>
</cp:coreProperties>
</file>