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400685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72390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93"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88900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04" w:lineRule="exact"/>
        <w:rPr>
          <w:sz w:val="24"/>
          <w:szCs w:val="24"/>
          <w:color w:val="auto"/>
        </w:rPr>
      </w:pPr>
    </w:p>
    <w:p>
      <w:pPr>
        <w:ind w:left="3320" w:right="260" w:hanging="3022"/>
        <w:spacing w:after="0" w:line="375" w:lineRule="auto"/>
        <w:tabs>
          <w:tab w:leader="none" w:pos="75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199390</wp:posOffset>
            </wp:positionH>
            <wp:positionV relativeFrom="paragraph">
              <wp:posOffset>-383540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760" w:hanging="462"/>
        <w:spacing w:after="0"/>
        <w:tabs>
          <w:tab w:leader="none" w:pos="7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199390</wp:posOffset>
            </wp:positionH>
            <wp:positionV relativeFrom="paragraph">
              <wp:posOffset>-97155</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1" w:lineRule="exact"/>
        <w:rPr>
          <w:sz w:val="24"/>
          <w:szCs w:val="24"/>
          <w:color w:val="auto"/>
        </w:rPr>
      </w:pPr>
    </w:p>
    <w:tbl>
      <w:tblPr>
        <w:tblLayout w:type="fixed"/>
        <w:tblInd w:w="1480" w:type="dxa"/>
        <w:tblCellMar>
          <w:top w:w="0" w:type="dxa"/>
          <w:left w:w="0" w:type="dxa"/>
          <w:bottom w:w="0" w:type="dxa"/>
          <w:right w:w="0" w:type="dxa"/>
        </w:tblCellMar>
      </w:tblPr>
      <w:tr>
        <w:trPr>
          <w:trHeight w:val="234"/>
        </w:trPr>
        <w:tc>
          <w:tcPr>
            <w:tcW w:w="5440" w:type="dxa"/>
            <w:vAlign w:val="bottom"/>
            <w:gridSpan w:val="3"/>
          </w:tcPr>
          <w:p>
            <w:pPr>
              <w:ind w:left="1960"/>
              <w:spacing w:after="0"/>
              <w:rPr>
                <w:sz w:val="20"/>
                <w:szCs w:val="20"/>
                <w:color w:val="auto"/>
              </w:rPr>
            </w:pPr>
            <w:r>
              <w:rPr>
                <w:rFonts w:ascii="Arial" w:cs="Arial" w:eastAsia="Arial" w:hAnsi="Arial"/>
                <w:sz w:val="18"/>
                <w:szCs w:val="18"/>
                <w:b w:val="1"/>
                <w:bCs w:val="1"/>
                <w:color w:val="auto"/>
              </w:rPr>
              <w:t>For the transition period from</w:t>
            </w:r>
          </w:p>
        </w:tc>
        <w:tc>
          <w:tcPr>
            <w:tcW w:w="1360" w:type="dxa"/>
            <w:vAlign w:val="bottom"/>
          </w:tcPr>
          <w:p>
            <w:pPr>
              <w:ind w:left="480"/>
              <w:spacing w:after="0"/>
              <w:rPr>
                <w:sz w:val="20"/>
                <w:szCs w:val="20"/>
                <w:color w:val="auto"/>
              </w:rPr>
            </w:pPr>
            <w:r>
              <w:rPr>
                <w:rFonts w:ascii="Arial" w:cs="Arial" w:eastAsia="Arial" w:hAnsi="Arial"/>
                <w:sz w:val="18"/>
                <w:szCs w:val="18"/>
                <w:b w:val="1"/>
                <w:bCs w:val="1"/>
                <w:color w:val="auto"/>
              </w:rPr>
              <w:t>to</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3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Commission File Number: 001-38410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3"/>
        </w:trPr>
        <w:tc>
          <w:tcPr>
            <w:tcW w:w="2360" w:type="dxa"/>
            <w:vAlign w:val="bottom"/>
          </w:tcPr>
          <w:p>
            <w:pPr>
              <w:spacing w:after="0"/>
              <w:rPr>
                <w:sz w:val="8"/>
                <w:szCs w:val="8"/>
                <w:color w:val="auto"/>
              </w:rPr>
            </w:pPr>
          </w:p>
        </w:tc>
        <w:tc>
          <w:tcPr>
            <w:tcW w:w="2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0"/>
        </w:trPr>
        <w:tc>
          <w:tcPr>
            <w:tcW w:w="5440" w:type="dxa"/>
            <w:vAlign w:val="bottom"/>
            <w:gridSpan w:val="3"/>
          </w:tcPr>
          <w:p>
            <w:pPr>
              <w:jc w:val="center"/>
              <w:ind w:left="1781"/>
              <w:spacing w:after="0"/>
              <w:rPr>
                <w:sz w:val="20"/>
                <w:szCs w:val="20"/>
                <w:color w:val="auto"/>
              </w:rPr>
            </w:pPr>
            <w:r>
              <w:rPr>
                <w:rFonts w:ascii="Arial" w:cs="Arial" w:eastAsia="Arial" w:hAnsi="Arial"/>
                <w:sz w:val="25"/>
                <w:szCs w:val="25"/>
                <w:b w:val="1"/>
                <w:bCs w:val="1"/>
                <w:color w:val="auto"/>
                <w:w w:val="91"/>
              </w:rPr>
              <w:t>BioXcel Therapeutics, Inc.</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440" w:type="dxa"/>
            <w:vAlign w:val="bottom"/>
            <w:gridSpan w:val="3"/>
          </w:tcPr>
          <w:p>
            <w:pPr>
              <w:jc w:val="center"/>
              <w:ind w:left="1781"/>
              <w:spacing w:after="0"/>
              <w:rPr>
                <w:sz w:val="20"/>
                <w:szCs w:val="20"/>
                <w:color w:val="auto"/>
              </w:rPr>
            </w:pPr>
            <w:r>
              <w:rPr>
                <w:rFonts w:ascii="Arial" w:cs="Arial" w:eastAsia="Arial" w:hAnsi="Arial"/>
                <w:sz w:val="14"/>
                <w:szCs w:val="14"/>
                <w:color w:val="auto"/>
                <w:w w:val="93"/>
              </w:rPr>
              <w:t>(Exact name of registrant as specified in its charter)</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360" w:type="dxa"/>
            <w:vAlign w:val="bottom"/>
          </w:tcPr>
          <w:p>
            <w:pPr>
              <w:spacing w:after="0"/>
              <w:rPr>
                <w:sz w:val="8"/>
                <w:szCs w:val="8"/>
                <w:color w:val="auto"/>
              </w:rPr>
            </w:pPr>
          </w:p>
        </w:tc>
        <w:tc>
          <w:tcPr>
            <w:tcW w:w="2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8"/>
        </w:trPr>
        <w:tc>
          <w:tcPr>
            <w:tcW w:w="5440" w:type="dxa"/>
            <w:vAlign w:val="bottom"/>
            <w:gridSpan w:val="3"/>
          </w:tcPr>
          <w:p>
            <w:pPr>
              <w:jc w:val="center"/>
              <w:ind w:right="3160"/>
              <w:spacing w:after="0"/>
              <w:rPr>
                <w:sz w:val="20"/>
                <w:szCs w:val="20"/>
                <w:color w:val="auto"/>
              </w:rPr>
            </w:pPr>
            <w:r>
              <w:rPr>
                <w:rFonts w:ascii="Arial" w:cs="Arial" w:eastAsia="Arial" w:hAnsi="Arial"/>
                <w:sz w:val="14"/>
                <w:szCs w:val="14"/>
                <w:b w:val="1"/>
                <w:bCs w:val="1"/>
                <w:color w:val="auto"/>
                <w:w w:val="97"/>
              </w:rPr>
              <w:t>Delaware</w:t>
            </w:r>
          </w:p>
        </w:tc>
        <w:tc>
          <w:tcPr>
            <w:tcW w:w="1360" w:type="dxa"/>
            <w:vAlign w:val="bottom"/>
          </w:tcPr>
          <w:p>
            <w:pPr>
              <w:jc w:val="center"/>
              <w:ind w:left="185"/>
              <w:spacing w:after="0" w:line="161" w:lineRule="exact"/>
              <w:rPr>
                <w:sz w:val="20"/>
                <w:szCs w:val="20"/>
                <w:color w:val="auto"/>
              </w:rPr>
            </w:pPr>
            <w:r>
              <w:rPr>
                <w:rFonts w:ascii="Arial" w:cs="Arial" w:eastAsia="Arial" w:hAnsi="Arial"/>
                <w:sz w:val="14"/>
                <w:szCs w:val="14"/>
                <w:b w:val="1"/>
                <w:bCs w:val="1"/>
                <w:color w:val="auto"/>
                <w:w w:val="94"/>
              </w:rPr>
              <w:t>82</w:t>
            </w:r>
            <w:r>
              <w:rPr>
                <w:rFonts w:ascii="MS PGothic" w:cs="MS PGothic" w:eastAsia="MS PGothic" w:hAnsi="MS PGothic"/>
                <w:sz w:val="14"/>
                <w:szCs w:val="14"/>
                <w:b w:val="1"/>
                <w:bCs w:val="1"/>
                <w:color w:val="auto"/>
                <w:w w:val="94"/>
              </w:rPr>
              <w:t>‑</w:t>
            </w:r>
            <w:r>
              <w:rPr>
                <w:rFonts w:ascii="Arial" w:cs="Arial" w:eastAsia="Arial" w:hAnsi="Arial"/>
                <w:sz w:val="14"/>
                <w:szCs w:val="14"/>
                <w:b w:val="1"/>
                <w:bCs w:val="1"/>
                <w:color w:val="auto"/>
                <w:w w:val="94"/>
              </w:rPr>
              <w:t>1386754</w:t>
            </w:r>
          </w:p>
        </w:tc>
        <w:tc>
          <w:tcPr>
            <w:tcW w:w="0" w:type="dxa"/>
            <w:vAlign w:val="bottom"/>
          </w:tcPr>
          <w:p>
            <w:pPr>
              <w:spacing w:after="0"/>
              <w:rPr>
                <w:sz w:val="1"/>
                <w:szCs w:val="1"/>
                <w:color w:val="auto"/>
              </w:rPr>
            </w:pPr>
          </w:p>
        </w:tc>
      </w:tr>
      <w:tr>
        <w:trPr>
          <w:trHeight w:val="148"/>
        </w:trPr>
        <w:tc>
          <w:tcPr>
            <w:tcW w:w="5440" w:type="dxa"/>
            <w:vAlign w:val="bottom"/>
            <w:gridSpan w:val="3"/>
          </w:tcPr>
          <w:p>
            <w:pPr>
              <w:jc w:val="center"/>
              <w:ind w:right="3160"/>
              <w:spacing w:after="0" w:line="149" w:lineRule="exact"/>
              <w:rPr>
                <w:sz w:val="20"/>
                <w:szCs w:val="20"/>
                <w:color w:val="auto"/>
              </w:rPr>
            </w:pPr>
            <w:r>
              <w:rPr>
                <w:rFonts w:ascii="Arial" w:cs="Arial" w:eastAsia="Arial" w:hAnsi="Arial"/>
                <w:sz w:val="14"/>
                <w:szCs w:val="14"/>
                <w:color w:val="auto"/>
                <w:w w:val="95"/>
              </w:rPr>
              <w:t>(State or other jurisdiction of</w:t>
            </w:r>
          </w:p>
        </w:tc>
        <w:tc>
          <w:tcPr>
            <w:tcW w:w="1360" w:type="dxa"/>
            <w:vAlign w:val="bottom"/>
          </w:tcPr>
          <w:p>
            <w:pPr>
              <w:jc w:val="center"/>
              <w:ind w:left="185"/>
              <w:spacing w:after="0" w:line="149"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5440" w:type="dxa"/>
            <w:vAlign w:val="bottom"/>
            <w:gridSpan w:val="3"/>
          </w:tcPr>
          <w:p>
            <w:pPr>
              <w:ind w:left="340"/>
              <w:spacing w:after="0"/>
              <w:rPr>
                <w:sz w:val="20"/>
                <w:szCs w:val="20"/>
                <w:color w:val="auto"/>
              </w:rPr>
            </w:pPr>
            <w:r>
              <w:rPr>
                <w:rFonts w:ascii="Arial" w:cs="Arial" w:eastAsia="Arial" w:hAnsi="Arial"/>
                <w:sz w:val="14"/>
                <w:szCs w:val="14"/>
                <w:color w:val="auto"/>
              </w:rPr>
              <w:t>incorporation or organization)</w:t>
            </w:r>
          </w:p>
        </w:tc>
        <w:tc>
          <w:tcPr>
            <w:tcW w:w="1360" w:type="dxa"/>
            <w:vAlign w:val="bottom"/>
          </w:tcPr>
          <w:p>
            <w:pPr>
              <w:jc w:val="center"/>
              <w:ind w:left="205"/>
              <w:spacing w:after="0"/>
              <w:rPr>
                <w:sz w:val="20"/>
                <w:szCs w:val="20"/>
                <w:color w:val="auto"/>
              </w:rPr>
            </w:pPr>
            <w:r>
              <w:rPr>
                <w:rFonts w:ascii="Arial" w:cs="Arial" w:eastAsia="Arial" w:hAnsi="Arial"/>
                <w:sz w:val="14"/>
                <w:szCs w:val="14"/>
                <w:color w:val="auto"/>
                <w:w w:val="99"/>
              </w:rPr>
              <w:t>Identification No.)</w:t>
            </w:r>
          </w:p>
        </w:tc>
        <w:tc>
          <w:tcPr>
            <w:tcW w:w="0" w:type="dxa"/>
            <w:vAlign w:val="bottom"/>
          </w:tcPr>
          <w:p>
            <w:pPr>
              <w:spacing w:after="0"/>
              <w:rPr>
                <w:sz w:val="1"/>
                <w:szCs w:val="1"/>
                <w:color w:val="auto"/>
              </w:rPr>
            </w:pPr>
          </w:p>
        </w:tc>
      </w:tr>
      <w:tr>
        <w:trPr>
          <w:trHeight w:val="205"/>
        </w:trPr>
        <w:tc>
          <w:tcPr>
            <w:tcW w:w="5440" w:type="dxa"/>
            <w:vAlign w:val="bottom"/>
            <w:gridSpan w:val="3"/>
          </w:tcPr>
          <w:p>
            <w:pPr>
              <w:jc w:val="center"/>
              <w:ind w:right="3160"/>
              <w:spacing w:after="0"/>
              <w:rPr>
                <w:sz w:val="20"/>
                <w:szCs w:val="20"/>
                <w:color w:val="auto"/>
              </w:rPr>
            </w:pPr>
            <w:r>
              <w:rPr>
                <w:rFonts w:ascii="Arial" w:cs="Arial" w:eastAsia="Arial" w:hAnsi="Arial"/>
                <w:sz w:val="14"/>
                <w:szCs w:val="14"/>
                <w:b w:val="1"/>
                <w:bCs w:val="1"/>
                <w:color w:val="auto"/>
                <w:w w:val="97"/>
              </w:rPr>
              <w:t>555 Long Wharf Drive</w:t>
            </w:r>
          </w:p>
        </w:tc>
        <w:tc>
          <w:tcPr>
            <w:tcW w:w="1360" w:type="dxa"/>
            <w:vAlign w:val="bottom"/>
            <w:vMerge w:val="restart"/>
          </w:tcPr>
          <w:p>
            <w:pPr>
              <w:jc w:val="right"/>
              <w:ind w:right="285"/>
              <w:spacing w:after="0"/>
              <w:rPr>
                <w:sz w:val="20"/>
                <w:szCs w:val="20"/>
                <w:color w:val="auto"/>
              </w:rPr>
            </w:pPr>
            <w:r>
              <w:rPr>
                <w:rFonts w:ascii="Arial" w:cs="Arial" w:eastAsia="Arial" w:hAnsi="Arial"/>
                <w:sz w:val="14"/>
                <w:szCs w:val="14"/>
                <w:b w:val="1"/>
                <w:bCs w:val="1"/>
                <w:color w:val="auto"/>
              </w:rPr>
              <w:t>06511</w:t>
            </w:r>
          </w:p>
        </w:tc>
        <w:tc>
          <w:tcPr>
            <w:tcW w:w="0" w:type="dxa"/>
            <w:vAlign w:val="bottom"/>
          </w:tcPr>
          <w:p>
            <w:pPr>
              <w:spacing w:after="0"/>
              <w:rPr>
                <w:sz w:val="1"/>
                <w:szCs w:val="1"/>
                <w:color w:val="auto"/>
              </w:rPr>
            </w:pPr>
          </w:p>
        </w:tc>
      </w:tr>
      <w:tr>
        <w:trPr>
          <w:trHeight w:val="153"/>
        </w:trPr>
        <w:tc>
          <w:tcPr>
            <w:tcW w:w="5440" w:type="dxa"/>
            <w:vAlign w:val="bottom"/>
            <w:gridSpan w:val="3"/>
          </w:tcPr>
          <w:p>
            <w:pPr>
              <w:jc w:val="center"/>
              <w:ind w:right="3160"/>
              <w:spacing w:after="0" w:line="153" w:lineRule="exact"/>
              <w:rPr>
                <w:sz w:val="20"/>
                <w:szCs w:val="20"/>
                <w:color w:val="auto"/>
              </w:rPr>
            </w:pPr>
            <w:r>
              <w:rPr>
                <w:rFonts w:ascii="Arial" w:cs="Arial" w:eastAsia="Arial" w:hAnsi="Arial"/>
                <w:sz w:val="14"/>
                <w:szCs w:val="14"/>
                <w:b w:val="1"/>
                <w:bCs w:val="1"/>
                <w:color w:val="auto"/>
                <w:w w:val="98"/>
              </w:rPr>
              <w:t>New Haven, CT</w:t>
            </w: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440" w:type="dxa"/>
            <w:vAlign w:val="bottom"/>
            <w:gridSpan w:val="3"/>
          </w:tcPr>
          <w:p>
            <w:pPr>
              <w:jc w:val="center"/>
              <w:ind w:right="3160"/>
              <w:spacing w:after="0"/>
              <w:rPr>
                <w:sz w:val="20"/>
                <w:szCs w:val="20"/>
                <w:color w:val="auto"/>
              </w:rPr>
            </w:pPr>
            <w:r>
              <w:rPr>
                <w:rFonts w:ascii="Arial" w:cs="Arial" w:eastAsia="Arial" w:hAnsi="Arial"/>
                <w:sz w:val="14"/>
                <w:szCs w:val="14"/>
                <w:color w:val="auto"/>
                <w:w w:val="95"/>
              </w:rPr>
              <w:t>(Address of principal executive offices)</w:t>
            </w:r>
          </w:p>
        </w:tc>
        <w:tc>
          <w:tcPr>
            <w:tcW w:w="1360" w:type="dxa"/>
            <w:vAlign w:val="bottom"/>
          </w:tcPr>
          <w:p>
            <w:pPr>
              <w:jc w:val="center"/>
              <w:ind w:left="205"/>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209"/>
        </w:trPr>
        <w:tc>
          <w:tcPr>
            <w:tcW w:w="2360" w:type="dxa"/>
            <w:vAlign w:val="bottom"/>
          </w:tcPr>
          <w:p>
            <w:pPr>
              <w:spacing w:after="0"/>
              <w:rPr>
                <w:sz w:val="18"/>
                <w:szCs w:val="18"/>
                <w:color w:val="auto"/>
              </w:rPr>
            </w:pPr>
          </w:p>
        </w:tc>
        <w:tc>
          <w:tcPr>
            <w:tcW w:w="3080" w:type="dxa"/>
            <w:vAlign w:val="bottom"/>
            <w:gridSpan w:val="2"/>
          </w:tcPr>
          <w:p>
            <w:pPr>
              <w:jc w:val="center"/>
              <w:ind w:right="500"/>
              <w:spacing w:after="0" w:line="161" w:lineRule="exact"/>
              <w:rPr>
                <w:sz w:val="20"/>
                <w:szCs w:val="20"/>
                <w:color w:val="auto"/>
              </w:rPr>
            </w:pPr>
            <w:r>
              <w:rPr>
                <w:rFonts w:ascii="Arial" w:cs="Arial" w:eastAsia="Arial" w:hAnsi="Arial"/>
                <w:sz w:val="14"/>
                <w:szCs w:val="14"/>
                <w:b w:val="1"/>
                <w:bCs w:val="1"/>
                <w:color w:val="auto"/>
                <w:w w:val="94"/>
              </w:rPr>
              <w:t>(475) 238</w:t>
            </w:r>
            <w:r>
              <w:rPr>
                <w:rFonts w:ascii="MS PGothic" w:cs="MS PGothic" w:eastAsia="MS PGothic" w:hAnsi="MS PGothic"/>
                <w:sz w:val="14"/>
                <w:szCs w:val="14"/>
                <w:b w:val="1"/>
                <w:bCs w:val="1"/>
                <w:color w:val="auto"/>
                <w:w w:val="94"/>
              </w:rPr>
              <w:t>‑</w:t>
            </w:r>
            <w:r>
              <w:rPr>
                <w:rFonts w:ascii="Arial" w:cs="Arial" w:eastAsia="Arial" w:hAnsi="Arial"/>
                <w:sz w:val="14"/>
                <w:szCs w:val="14"/>
                <w:b w:val="1"/>
                <w:bCs w:val="1"/>
                <w:color w:val="auto"/>
                <w:w w:val="94"/>
              </w:rPr>
              <w:t>6837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440" w:type="dxa"/>
            <w:vAlign w:val="bottom"/>
            <w:gridSpan w:val="3"/>
          </w:tcPr>
          <w:p>
            <w:pPr>
              <w:jc w:val="center"/>
              <w:ind w:left="1761"/>
              <w:spacing w:after="0"/>
              <w:rPr>
                <w:sz w:val="20"/>
                <w:szCs w:val="20"/>
                <w:color w:val="auto"/>
              </w:rPr>
            </w:pPr>
            <w:r>
              <w:rPr>
                <w:rFonts w:ascii="Arial" w:cs="Arial" w:eastAsia="Arial" w:hAnsi="Arial"/>
                <w:sz w:val="14"/>
                <w:szCs w:val="14"/>
                <w:color w:val="auto"/>
                <w:w w:val="92"/>
              </w:rPr>
              <w:t>(Registrant’s telephone number, including area code)</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125095</wp:posOffset>
            </wp:positionV>
            <wp:extent cx="162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84"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0160"/>
          </w:cols>
          <w:pgMar w:left="820" w:top="233" w:right="919" w:bottom="1440" w:gutter="0" w:footer="0" w:header="0"/>
        </w:sectPr>
      </w:pPr>
    </w:p>
    <w:p>
      <w:pPr>
        <w:spacing w:after="0" w:line="109" w:lineRule="exact"/>
        <w:rPr>
          <w:sz w:val="24"/>
          <w:szCs w:val="24"/>
          <w:color w:val="auto"/>
        </w:rPr>
      </w:pPr>
    </w:p>
    <w:p>
      <w:pPr>
        <w:jc w:val="center"/>
        <w:ind w:right="120"/>
        <w:spacing w:after="0"/>
        <w:rPr>
          <w:sz w:val="20"/>
          <w:szCs w:val="20"/>
          <w:color w:val="auto"/>
        </w:rPr>
      </w:pPr>
      <w:r>
        <w:rPr>
          <w:rFonts w:ascii="Arial" w:cs="Arial" w:eastAsia="Arial" w:hAnsi="Arial"/>
          <w:sz w:val="12"/>
          <w:szCs w:val="12"/>
          <w:b w:val="1"/>
          <w:bCs w:val="1"/>
          <w:color w:val="auto"/>
        </w:rPr>
        <w:t>Title of each class</w:t>
      </w:r>
    </w:p>
    <w:p>
      <w:pPr>
        <w:spacing w:after="0" w:line="27" w:lineRule="exact"/>
        <w:rPr>
          <w:sz w:val="24"/>
          <w:szCs w:val="24"/>
          <w:color w:val="auto"/>
        </w:rPr>
      </w:pPr>
    </w:p>
    <w:p>
      <w:pPr>
        <w:jc w:val="center"/>
        <w:ind w:right="120"/>
        <w:spacing w:after="0"/>
        <w:rPr>
          <w:sz w:val="20"/>
          <w:szCs w:val="20"/>
          <w:color w:val="auto"/>
        </w:rPr>
      </w:pPr>
      <w:r>
        <w:rPr>
          <w:rFonts w:ascii="Arial" w:cs="Arial" w:eastAsia="Arial" w:hAnsi="Arial"/>
          <w:sz w:val="14"/>
          <w:szCs w:val="14"/>
          <w:color w:val="auto"/>
        </w:rPr>
        <w:t>Common Stock,</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780"/>
        <w:spacing w:after="0"/>
        <w:rPr>
          <w:sz w:val="20"/>
          <w:szCs w:val="20"/>
          <w:color w:val="auto"/>
        </w:rPr>
      </w:pPr>
      <w:r>
        <w:rPr>
          <w:rFonts w:ascii="Arial" w:cs="Arial" w:eastAsia="Arial" w:hAnsi="Arial"/>
          <w:sz w:val="12"/>
          <w:szCs w:val="12"/>
          <w:b w:val="1"/>
          <w:bCs w:val="1"/>
          <w:color w:val="auto"/>
        </w:rPr>
        <w:t>Trading Symbol(s)</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4"/>
          <w:szCs w:val="14"/>
          <w:color w:val="auto"/>
        </w:rPr>
        <w:t>BTAI</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580"/>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4"/>
          <w:szCs w:val="14"/>
          <w:color w:val="auto"/>
        </w:rPr>
        <w:t>Nasdaq Capital Market</w:t>
      </w:r>
    </w:p>
    <w:p>
      <w:pPr>
        <w:spacing w:after="0" w:line="9" w:lineRule="exact"/>
        <w:rPr>
          <w:sz w:val="24"/>
          <w:szCs w:val="24"/>
          <w:color w:val="auto"/>
        </w:rPr>
      </w:pPr>
    </w:p>
    <w:p>
      <w:pPr>
        <w:sectPr>
          <w:pgSz w:w="11900" w:h="16838" w:orient="portrait"/>
          <w:cols w:equalWidth="0" w:num="3">
            <w:col w:w="3560" w:space="720"/>
            <w:col w:w="1920" w:space="720"/>
            <w:col w:w="3240"/>
          </w:cols>
          <w:pgMar w:left="820" w:top="233" w:right="919" w:bottom="1440" w:gutter="0" w:footer="0" w:header="0"/>
          <w:type w:val="continuous"/>
        </w:sectPr>
      </w:pPr>
    </w:p>
    <w:p>
      <w:pPr>
        <w:ind w:left="960"/>
        <w:spacing w:after="0"/>
        <w:rPr>
          <w:sz w:val="20"/>
          <w:szCs w:val="20"/>
          <w:color w:val="auto"/>
        </w:rPr>
      </w:pPr>
      <w:r>
        <w:rPr>
          <w:rFonts w:ascii="Arial" w:cs="Arial" w:eastAsia="Arial" w:hAnsi="Arial"/>
          <w:sz w:val="12"/>
          <w:szCs w:val="12"/>
          <w:color w:val="auto"/>
        </w:rPr>
        <w:t>$0.001 par value per share</w:t>
      </w:r>
    </w:p>
    <w:p>
      <w:pPr>
        <w:sectPr>
          <w:pgSz w:w="11900" w:h="16838" w:orient="portrait"/>
          <w:cols w:equalWidth="0" w:num="1">
            <w:col w:w="10160"/>
          </w:cols>
          <w:pgMar w:left="820" w:top="233" w:right="919" w:bottom="1440" w:gutter="0" w:footer="0" w:header="0"/>
          <w:type w:val="continuous"/>
        </w:sectPr>
      </w:pPr>
    </w:p>
    <w:p>
      <w:pPr>
        <w:spacing w:after="0" w:line="125" w:lineRule="exact"/>
        <w:rPr>
          <w:sz w:val="24"/>
          <w:szCs w:val="24"/>
          <w:color w:val="auto"/>
        </w:rPr>
      </w:pPr>
    </w:p>
    <w:p>
      <w:pPr>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8" w:lineRule="exact"/>
        <w:rPr>
          <w:sz w:val="24"/>
          <w:szCs w:val="24"/>
          <w:color w:val="auto"/>
        </w:rPr>
      </w:pPr>
    </w:p>
    <w:p>
      <w:pPr>
        <w:ind w:right="38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8" w:lineRule="exact"/>
        <w:rPr>
          <w:sz w:val="24"/>
          <w:szCs w:val="24"/>
          <w:color w:val="auto"/>
        </w:rPr>
      </w:pPr>
    </w:p>
    <w:p>
      <w:pPr>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60"/>
          </w:cols>
          <w:pgMar w:left="820" w:top="233" w:right="919" w:bottom="1440" w:gutter="0" w:footer="0" w:header="0"/>
          <w:type w:val="continuous"/>
        </w:sectPr>
      </w:pPr>
    </w:p>
    <w:p>
      <w:pPr>
        <w:spacing w:after="0" w:line="16" w:lineRule="exact"/>
        <w:rPr>
          <w:sz w:val="24"/>
          <w:szCs w:val="24"/>
          <w:color w:val="auto"/>
        </w:rPr>
      </w:pPr>
    </w:p>
    <w:p>
      <w:pPr>
        <w:ind w:left="184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46"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21" w:lineRule="exact"/>
        <w:rPr>
          <w:sz w:val="24"/>
          <w:szCs w:val="24"/>
          <w:color w:val="auto"/>
        </w:rPr>
      </w:pPr>
    </w:p>
    <w:p>
      <w:pPr>
        <w:sectPr>
          <w:pgSz w:w="11900" w:h="16838" w:orient="portrait"/>
          <w:cols w:equalWidth="0" w:num="2">
            <w:col w:w="6400" w:space="720"/>
            <w:col w:w="3040"/>
          </w:cols>
          <w:pgMar w:left="820" w:top="233" w:right="919" w:bottom="1440" w:gutter="0" w:footer="0" w:header="0"/>
          <w:type w:val="continuous"/>
        </w:sectPr>
      </w:pPr>
    </w:p>
    <w:p>
      <w:pPr>
        <w:ind w:left="188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75" w:lineRule="exact"/>
        <w:rPr>
          <w:sz w:val="24"/>
          <w:szCs w:val="24"/>
          <w:color w:val="auto"/>
        </w:rPr>
      </w:pPr>
    </w:p>
    <w:p>
      <w:pPr>
        <w:sectPr>
          <w:pgSz w:w="11900" w:h="16838" w:orient="portrait"/>
          <w:cols w:equalWidth="0" w:num="2">
            <w:col w:w="6100" w:space="720"/>
            <w:col w:w="3340"/>
          </w:cols>
          <w:pgMar w:left="820" w:top="233" w:right="919" w:bottom="1440" w:gutter="0" w:footer="0" w:header="0"/>
          <w:type w:val="continuous"/>
        </w:sectPr>
      </w:pPr>
    </w:p>
    <w:p>
      <w:pPr>
        <w:ind w:left="682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0160"/>
          </w:cols>
          <w:pgMar w:left="820" w:top="233" w:right="919" w:bottom="1440" w:gutter="0" w:footer="0" w:header="0"/>
          <w:type w:val="continuous"/>
        </w:sectPr>
      </w:pPr>
    </w:p>
    <w:p>
      <w:pPr>
        <w:spacing w:after="0" w:line="134" w:lineRule="exact"/>
        <w:rPr>
          <w:sz w:val="24"/>
          <w:szCs w:val="24"/>
          <w:color w:val="auto"/>
        </w:rPr>
      </w:pPr>
    </w:p>
    <w:p>
      <w:pPr>
        <w:ind w:right="1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Arial" w:cs="Arial" w:eastAsia="Arial" w:hAnsi="Arial"/>
          <w:sz w:val="14"/>
          <w:szCs w:val="14"/>
          <w:color w:val="auto"/>
        </w:rPr>
        <w:t xml:space="preserve">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7"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the registrant’s common stock, $0.001 par value per share, outstanding at May 4, 2020 was 20,211,296.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6497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81280</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621030</wp:posOffset>
            </wp:positionV>
            <wp:extent cx="649795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160"/>
          </w:cols>
          <w:pgMar w:left="820" w:top="233" w:right="919" w:bottom="1440" w:gutter="0" w:footer="0" w:header="0"/>
          <w:type w:val="continuous"/>
        </w:sectPr>
      </w:pPr>
    </w:p>
    <w:bookmarkStart w:id="1" w:name="page2"/>
    <w:bookmarkEnd w:id="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00" w:type="dxa"/>
            <w:vAlign w:val="bottom"/>
          </w:tcPr>
          <w:p>
            <w:pPr>
              <w:spacing w:after="0"/>
              <w:rPr>
                <w:sz w:val="14"/>
                <w:szCs w:val="14"/>
                <w:color w:val="auto"/>
              </w:rPr>
            </w:pPr>
          </w:p>
        </w:tc>
        <w:tc>
          <w:tcPr>
            <w:tcW w:w="7640" w:type="dxa"/>
            <w:vAlign w:val="bottom"/>
            <w:vMerge w:val="restart"/>
          </w:tcPr>
          <w:p>
            <w:pPr>
              <w:jc w:val="center"/>
              <w:ind w:right="230"/>
              <w:spacing w:after="0"/>
              <w:rPr>
                <w:sz w:val="20"/>
                <w:szCs w:val="20"/>
                <w:color w:val="auto"/>
              </w:rPr>
            </w:pPr>
            <w:r>
              <w:rPr>
                <w:rFonts w:ascii="Arial" w:cs="Arial" w:eastAsia="Arial" w:hAnsi="Arial"/>
                <w:sz w:val="18"/>
                <w:szCs w:val="18"/>
                <w:b w:val="1"/>
                <w:bCs w:val="1"/>
                <w:color w:val="auto"/>
              </w:rPr>
              <w:t>PART I - FINANCIAL INFORMATION</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76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800" w:type="dxa"/>
            <w:vAlign w:val="bottom"/>
          </w:tcPr>
          <w:p>
            <w:pPr>
              <w:spacing w:after="0"/>
              <w:rPr>
                <w:sz w:val="24"/>
                <w:szCs w:val="24"/>
                <w:color w:val="auto"/>
              </w:rPr>
            </w:pPr>
          </w:p>
        </w:tc>
        <w:tc>
          <w:tcPr>
            <w:tcW w:w="7640" w:type="dxa"/>
            <w:vAlign w:val="bottom"/>
          </w:tcPr>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Forward Looking Statements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0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w:t>
              </w:r>
            </w:hyperlink>
          </w:p>
        </w:tc>
        <w:tc>
          <w:tcPr>
            <w:tcW w:w="7640" w:type="dxa"/>
            <w:vAlign w:val="bottom"/>
          </w:tcPr>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 (Unaudited)</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7640" w:type="dxa"/>
            <w:vAlign w:val="bottom"/>
          </w:tcPr>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Balance Sheets as of March 31, 2020 and December 31, 2019</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7640" w:type="dxa"/>
            <w:vAlign w:val="bottom"/>
          </w:tcPr>
          <w:p>
            <w:pPr>
              <w:ind w:left="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Statements of Operations for the three months ended March 31, 2020 and 2019</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7640" w:type="dxa"/>
            <w:vAlign w:val="bottom"/>
          </w:tcPr>
          <w:p>
            <w:pPr>
              <w:ind w:left="40"/>
              <w:spacing w:after="0"/>
              <w:rPr>
                <w:rFonts w:ascii="Arial" w:cs="Arial" w:eastAsia="Arial" w:hAnsi="Arial"/>
                <w:sz w:val="18"/>
                <w:szCs w:val="18"/>
                <w:u w:val="single" w:color="auto"/>
                <w:color w:val="0000EE"/>
                <w:w w:val="93"/>
              </w:rPr>
            </w:pPr>
            <w:hyperlink w:anchor="page6">
              <w:r>
                <w:rPr>
                  <w:rFonts w:ascii="Arial" w:cs="Arial" w:eastAsia="Arial" w:hAnsi="Arial"/>
                  <w:sz w:val="18"/>
                  <w:szCs w:val="18"/>
                  <w:u w:val="single" w:color="auto"/>
                  <w:color w:val="0000EE"/>
                  <w:w w:val="93"/>
                </w:rPr>
                <w:t>Statements of Changes in Stockholders’ Equity for the three months ended March 31, 2020 and 2019</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7640" w:type="dxa"/>
            <w:vAlign w:val="bottom"/>
          </w:tcPr>
          <w:p>
            <w:pPr>
              <w:ind w:left="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Statements of Cash Flows for the three months ended March 31, 2020 and 2019</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7640" w:type="dxa"/>
            <w:vAlign w:val="bottom"/>
          </w:tcPr>
          <w:p>
            <w:pPr>
              <w:ind w:left="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Financial Statements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00" w:type="dxa"/>
            <w:vAlign w:val="bottom"/>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Item 2.</w:t>
              </w:r>
            </w:hyperlink>
          </w:p>
        </w:tc>
        <w:tc>
          <w:tcPr>
            <w:tcW w:w="7640" w:type="dxa"/>
            <w:vAlign w:val="bottom"/>
          </w:tcPr>
          <w:p>
            <w:pPr>
              <w:ind w:left="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800" w:type="dxa"/>
            <w:vAlign w:val="bottom"/>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3.</w:t>
              </w:r>
            </w:hyperlink>
          </w:p>
        </w:tc>
        <w:tc>
          <w:tcPr>
            <w:tcW w:w="7640" w:type="dxa"/>
            <w:vAlign w:val="bottom"/>
          </w:tcPr>
          <w:p>
            <w:pPr>
              <w:ind w:left="4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Quantitative and Qualitative Disclosures About Market Risk</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800" w:type="dxa"/>
            <w:vAlign w:val="bottom"/>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4.</w:t>
              </w:r>
            </w:hyperlink>
          </w:p>
        </w:tc>
        <w:tc>
          <w:tcPr>
            <w:tcW w:w="7640" w:type="dxa"/>
            <w:vAlign w:val="bottom"/>
          </w:tcPr>
          <w:p>
            <w:pPr>
              <w:ind w:left="4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Controls and Procedures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7640" w:type="dxa"/>
            <w:vAlign w:val="bottom"/>
          </w:tcPr>
          <w:p>
            <w:pPr>
              <w:jc w:val="center"/>
              <w:ind w:right="270"/>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PART II OTHER INFORMATION</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0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1.</w:t>
              </w:r>
            </w:hyperlink>
          </w:p>
        </w:tc>
        <w:tc>
          <w:tcPr>
            <w:tcW w:w="7640" w:type="dxa"/>
            <w:vAlign w:val="bottom"/>
          </w:tcPr>
          <w:p>
            <w:pPr>
              <w:ind w:left="4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Legal Proceedings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800" w:type="dxa"/>
            <w:vAlign w:val="bottom"/>
          </w:tcPr>
          <w:p>
            <w:pPr>
              <w:spacing w:after="0"/>
              <w:rPr>
                <w:rFonts w:ascii="Arial" w:cs="Arial" w:eastAsia="Arial" w:hAnsi="Arial"/>
                <w:sz w:val="18"/>
                <w:szCs w:val="18"/>
                <w:color w:val="0000EE"/>
              </w:rPr>
            </w:pPr>
            <w:hyperlink w:anchor="page29">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7640" w:type="dxa"/>
            <w:vAlign w:val="bottom"/>
          </w:tcPr>
          <w:p>
            <w:pPr>
              <w:ind w:left="4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Risk Factors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80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2.</w:t>
              </w:r>
            </w:hyperlink>
          </w:p>
        </w:tc>
        <w:tc>
          <w:tcPr>
            <w:tcW w:w="7640" w:type="dxa"/>
            <w:vAlign w:val="bottom"/>
          </w:tcPr>
          <w:p>
            <w:pPr>
              <w:ind w:left="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Unregistered Sales of Equity Securities and Use of Proceeds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80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3.</w:t>
              </w:r>
            </w:hyperlink>
          </w:p>
        </w:tc>
        <w:tc>
          <w:tcPr>
            <w:tcW w:w="7640" w:type="dxa"/>
            <w:vAlign w:val="bottom"/>
          </w:tcPr>
          <w:p>
            <w:pPr>
              <w:ind w:left="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Defaults Upon Senior Securities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80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4.</w:t>
              </w:r>
            </w:hyperlink>
          </w:p>
        </w:tc>
        <w:tc>
          <w:tcPr>
            <w:tcW w:w="7640" w:type="dxa"/>
            <w:vAlign w:val="bottom"/>
          </w:tcPr>
          <w:p>
            <w:pPr>
              <w:ind w:left="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Mine Safety Disclosures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80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5.</w:t>
              </w:r>
            </w:hyperlink>
          </w:p>
        </w:tc>
        <w:tc>
          <w:tcPr>
            <w:tcW w:w="7640" w:type="dxa"/>
            <w:vAlign w:val="bottom"/>
          </w:tcPr>
          <w:p>
            <w:pPr>
              <w:ind w:left="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Other Information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800" w:type="dxa"/>
            <w:vAlign w:val="bottom"/>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Item 6.</w:t>
              </w:r>
            </w:hyperlink>
          </w:p>
        </w:tc>
        <w:tc>
          <w:tcPr>
            <w:tcW w:w="7640" w:type="dxa"/>
            <w:vAlign w:val="bottom"/>
          </w:tcPr>
          <w:p>
            <w:pPr>
              <w:ind w:left="4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Exhibits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800" w:type="dxa"/>
            <w:vAlign w:val="bottom"/>
          </w:tcPr>
          <w:p>
            <w:pPr>
              <w:spacing w:after="0"/>
              <w:rPr>
                <w:rFonts w:ascii="Arial" w:cs="Arial" w:eastAsia="Arial" w:hAnsi="Arial"/>
                <w:sz w:val="18"/>
                <w:szCs w:val="18"/>
                <w:u w:val="single" w:color="auto"/>
                <w:color w:val="0000EE"/>
                <w:w w:val="90"/>
              </w:rPr>
            </w:pPr>
            <w:hyperlink w:anchor="page71">
              <w:r>
                <w:rPr>
                  <w:rFonts w:ascii="Arial" w:cs="Arial" w:eastAsia="Arial" w:hAnsi="Arial"/>
                  <w:sz w:val="18"/>
                  <w:szCs w:val="18"/>
                  <w:u w:val="single" w:color="auto"/>
                  <w:color w:val="0000EE"/>
                  <w:w w:val="90"/>
                </w:rPr>
                <w:t>Signatures</w:t>
              </w:r>
            </w:hyperlink>
          </w:p>
        </w:tc>
        <w:tc>
          <w:tcPr>
            <w:tcW w:w="76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877"/>
        </w:trPr>
        <w:tc>
          <w:tcPr>
            <w:tcW w:w="800" w:type="dxa"/>
            <w:vAlign w:val="bottom"/>
          </w:tcPr>
          <w:p>
            <w:pPr>
              <w:spacing w:after="0"/>
              <w:rPr>
                <w:sz w:val="24"/>
                <w:szCs w:val="24"/>
                <w:color w:val="auto"/>
              </w:rPr>
            </w:pPr>
          </w:p>
        </w:tc>
        <w:tc>
          <w:tcPr>
            <w:tcW w:w="7640" w:type="dxa"/>
            <w:vAlign w:val="bottom"/>
          </w:tcPr>
          <w:p>
            <w:pPr>
              <w:jc w:val="center"/>
              <w:ind w:right="230"/>
              <w:spacing w:after="0"/>
              <w:rPr>
                <w:sz w:val="20"/>
                <w:szCs w:val="20"/>
                <w:color w:val="auto"/>
              </w:rPr>
            </w:pPr>
            <w:r>
              <w:rPr>
                <w:rFonts w:ascii="Arial" w:cs="Arial" w:eastAsia="Arial" w:hAnsi="Arial"/>
                <w:sz w:val="18"/>
                <w:szCs w:val="18"/>
                <w:color w:val="auto"/>
                <w:w w:val="79"/>
              </w:rPr>
              <w:t>2</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80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2" w:name="page3"/>
    <w:bookmarkEnd w:id="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40" w:right="299" w:firstLine="324"/>
        <w:spacing w:after="0" w:line="218" w:lineRule="exact"/>
        <w:rPr>
          <w:sz w:val="20"/>
          <w:szCs w:val="20"/>
          <w:color w:val="auto"/>
        </w:rPr>
      </w:pPr>
      <w:r>
        <w:rPr>
          <w:rFonts w:ascii="Arial" w:cs="Arial" w:eastAsia="Arial" w:hAnsi="Arial"/>
          <w:sz w:val="17"/>
          <w:szCs w:val="17"/>
          <w:color w:val="auto"/>
        </w:rPr>
        <w:t>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on Form 10-Q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206" w:lineRule="exact"/>
        <w:rPr>
          <w:sz w:val="20"/>
          <w:szCs w:val="20"/>
          <w:color w:val="auto"/>
        </w:rPr>
      </w:pPr>
    </w:p>
    <w:p>
      <w:pPr>
        <w:ind w:left="1020" w:hanging="328"/>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clinical trials for BXCL501, BXCL701 and our other product candidates;</w:t>
      </w:r>
    </w:p>
    <w:p>
      <w:pPr>
        <w:spacing w:after="0" w:line="23" w:lineRule="exact"/>
        <w:rPr>
          <w:rFonts w:ascii="Arial" w:cs="Arial" w:eastAsia="Arial" w:hAnsi="Arial"/>
          <w:sz w:val="18"/>
          <w:szCs w:val="18"/>
          <w:color w:val="auto"/>
        </w:rPr>
      </w:pPr>
    </w:p>
    <w:p>
      <w:pPr>
        <w:ind w:left="1020" w:hanging="328"/>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for 505(b)(2) regulatory path approval;</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current and future product candidates;</w:t>
      </w:r>
    </w:p>
    <w:p>
      <w:pPr>
        <w:spacing w:after="0" w:line="9" w:lineRule="exact"/>
        <w:rPr>
          <w:rFonts w:ascii="Arial" w:cs="Arial" w:eastAsia="Arial" w:hAnsi="Arial"/>
          <w:sz w:val="18"/>
          <w:szCs w:val="18"/>
          <w:color w:val="auto"/>
        </w:rPr>
      </w:pPr>
    </w:p>
    <w:p>
      <w:pPr>
        <w:ind w:left="1020" w:right="299" w:hanging="328"/>
        <w:spacing w:after="0" w:line="250"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seek to enter into collaborations for the development and commercialization of certain product candidates;</w:t>
      </w:r>
    </w:p>
    <w:p>
      <w:pPr>
        <w:ind w:left="1020" w:hanging="328"/>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any future collaboration;</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our product candidates;</w:t>
      </w:r>
    </w:p>
    <w:p>
      <w:pPr>
        <w:spacing w:after="0" w:line="9" w:lineRule="exact"/>
        <w:rPr>
          <w:rFonts w:ascii="Arial" w:cs="Arial" w:eastAsia="Arial" w:hAnsi="Arial"/>
          <w:sz w:val="18"/>
          <w:szCs w:val="18"/>
          <w:color w:val="auto"/>
        </w:rPr>
      </w:pPr>
    </w:p>
    <w:p>
      <w:pPr>
        <w:ind w:left="1020" w:right="219" w:hanging="328"/>
        <w:spacing w:after="0" w:line="250"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products for which we receive marketing approval;</w:t>
      </w:r>
    </w:p>
    <w:p>
      <w:pPr>
        <w:ind w:left="1020" w:hanging="328"/>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and strategy;</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regarding expenses, future revenue, capital requirements and need for additional financing;</w:t>
      </w:r>
    </w:p>
    <w:p>
      <w:pPr>
        <w:spacing w:after="0" w:line="20" w:lineRule="exact"/>
        <w:rPr>
          <w:rFonts w:ascii="Arial" w:cs="Arial" w:eastAsia="Arial" w:hAnsi="Arial"/>
          <w:sz w:val="17"/>
          <w:szCs w:val="17"/>
          <w:color w:val="auto"/>
        </w:rPr>
      </w:pPr>
    </w:p>
    <w:p>
      <w:pPr>
        <w:ind w:left="1020" w:hanging="328"/>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COVID-19 on our business, including our preclinical studies and clinical trials: and</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 with BioXcel Corporation.</w:t>
      </w:r>
    </w:p>
    <w:p>
      <w:pPr>
        <w:spacing w:after="0" w:line="211" w:lineRule="exact"/>
        <w:rPr>
          <w:sz w:val="20"/>
          <w:szCs w:val="20"/>
          <w:color w:val="auto"/>
        </w:rPr>
      </w:pPr>
    </w:p>
    <w:p>
      <w:pPr>
        <w:ind w:left="40" w:right="59" w:firstLine="324"/>
        <w:spacing w:after="0" w:line="289" w:lineRule="auto"/>
        <w:rPr>
          <w:sz w:val="20"/>
          <w:szCs w:val="20"/>
          <w:color w:val="auto"/>
        </w:rPr>
      </w:pPr>
      <w:r>
        <w:rPr>
          <w:rFonts w:ascii="Arial" w:cs="Arial" w:eastAsia="Arial" w:hAnsi="Arial"/>
          <w:sz w:val="16"/>
          <w:szCs w:val="16"/>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Factors that may cause actual results to differ materially from current expectations include, among other things, those listed under Part II, Item 1A. “Risk Factors,” and Part I, Item 2. “Management’s Discussion and Analysis of Financial Condition and Results of Operations” and elsewhere in this Quarterly Report on Form 10-Q. Given these uncertainties, you should not rely on these forward-looking statements as predictions of future events. Except as required by law, we assume no obligation to update or revise these forward-looking statements for any reason, even if new information becomes available in the future.</w:t>
      </w:r>
    </w:p>
    <w:p>
      <w:pPr>
        <w:spacing w:after="0" w:line="166" w:lineRule="exact"/>
        <w:rPr>
          <w:sz w:val="20"/>
          <w:szCs w:val="20"/>
          <w:color w:val="auto"/>
        </w:rPr>
      </w:pPr>
    </w:p>
    <w:p>
      <w:pPr>
        <w:ind w:left="40" w:right="299" w:firstLine="324"/>
        <w:spacing w:after="0" w:line="271" w:lineRule="auto"/>
        <w:rPr>
          <w:sz w:val="20"/>
          <w:szCs w:val="20"/>
          <w:color w:val="auto"/>
        </w:rPr>
      </w:pPr>
      <w:r>
        <w:rPr>
          <w:rFonts w:ascii="Arial" w:cs="Arial" w:eastAsia="Arial" w:hAnsi="Arial"/>
          <w:sz w:val="17"/>
          <w:szCs w:val="17"/>
          <w:color w:val="auto"/>
        </w:rPr>
        <w:t>This Quarterly Report on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78" w:lineRule="exact"/>
        <w:rPr>
          <w:sz w:val="20"/>
          <w:szCs w:val="20"/>
          <w:color w:val="auto"/>
        </w:rPr>
      </w:pPr>
    </w:p>
    <w:p>
      <w:pPr>
        <w:ind w:left="40" w:right="99" w:firstLine="324"/>
        <w:spacing w:after="0" w:line="259" w:lineRule="auto"/>
        <w:rPr>
          <w:sz w:val="20"/>
          <w:szCs w:val="20"/>
          <w:color w:val="auto"/>
        </w:rPr>
      </w:pPr>
      <w:r>
        <w:rPr>
          <w:rFonts w:ascii="Arial" w:cs="Arial" w:eastAsia="Arial" w:hAnsi="Arial"/>
          <w:sz w:val="18"/>
          <w:szCs w:val="18"/>
          <w:color w:val="auto"/>
        </w:rPr>
        <w:t>As used in this Quarterly Report on Form 10-Q, unless otherwise specified or the context otherwise requires, the terms “we,” “our,” “us,” the “Company” or “BTI” refer to BioXcel Therapeutics, Inc. and its subsidiaries, and “BioXcel” or “Parent” refer to BioXcel Corporation, the Company’s parent. All brand names or trademarks appearing in this report are the property of their respective owners.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 w:name="page4"/>
    <w:bookmarkEnd w:id="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1. FINANCIAL INFORMATION</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BIOXCEL THERAPEUTICS, INC.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BALANCE SHEETS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r>
      <w:tr>
        <w:trPr>
          <w:trHeight w:val="142"/>
        </w:trPr>
        <w:tc>
          <w:tcPr>
            <w:tcW w:w="6940" w:type="dxa"/>
            <w:vAlign w:val="bottom"/>
          </w:tcPr>
          <w:p>
            <w:pPr>
              <w:spacing w:after="0"/>
              <w:rPr>
                <w:sz w:val="12"/>
                <w:szCs w:val="12"/>
                <w:color w:val="auto"/>
              </w:rPr>
            </w:pPr>
          </w:p>
        </w:tc>
        <w:tc>
          <w:tcPr>
            <w:tcW w:w="9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80,079</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32,426</w:t>
            </w:r>
          </w:p>
        </w:tc>
      </w:tr>
      <w:tr>
        <w:trPr>
          <w:trHeight w:val="216"/>
        </w:trPr>
        <w:tc>
          <w:tcPr>
            <w:tcW w:w="6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w:t>
            </w:r>
          </w:p>
        </w:tc>
      </w:tr>
      <w:tr>
        <w:trPr>
          <w:trHeight w:val="210"/>
        </w:trPr>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34,107</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1,041</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r>
      <w:tr>
        <w:trPr>
          <w:trHeight w:val="216"/>
        </w:trPr>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17"/>
        </w:trPr>
        <w:tc>
          <w:tcPr>
            <w:tcW w:w="6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85,812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36,392</w:t>
            </w:r>
          </w:p>
        </w:tc>
      </w:tr>
      <w:tr>
        <w:trPr>
          <w:trHeight w:val="216"/>
        </w:trPr>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6,733</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w:t>
            </w:r>
          </w:p>
        </w:tc>
      </w:tr>
      <w:tr>
        <w:trPr>
          <w:trHeight w:val="216"/>
        </w:trPr>
        <w:tc>
          <w:tcPr>
            <w:tcW w:w="694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3,120</w:t>
            </w: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Due to Parent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6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r>
      <w:tr>
        <w:trPr>
          <w:trHeight w:val="209"/>
        </w:trPr>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8,468</w:t>
            </w:r>
          </w:p>
        </w:tc>
      </w:tr>
      <w:tr>
        <w:trPr>
          <w:trHeight w:val="216"/>
        </w:trPr>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r>
      <w:tr>
        <w:trPr>
          <w:trHeight w:val="216"/>
        </w:trPr>
        <w:tc>
          <w:tcPr>
            <w:tcW w:w="69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209"/>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9,497</w:t>
            </w:r>
          </w:p>
        </w:tc>
      </w:tr>
      <w:tr>
        <w:trPr>
          <w:trHeight w:val="216"/>
        </w:trPr>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02"/>
        </w:trPr>
        <w:tc>
          <w:tcPr>
            <w:tcW w:w="6940" w:type="dxa"/>
            <w:vAlign w:val="bottom"/>
          </w:tcPr>
          <w:p>
            <w:pPr>
              <w:spacing w:after="0" w:line="201" w:lineRule="exact"/>
              <w:rPr>
                <w:sz w:val="20"/>
                <w:szCs w:val="20"/>
                <w:color w:val="auto"/>
              </w:rPr>
            </w:pPr>
            <w:r>
              <w:rPr>
                <w:rFonts w:ascii="Arial" w:cs="Arial" w:eastAsia="Arial" w:hAnsi="Arial"/>
                <w:sz w:val="18"/>
                <w:szCs w:val="18"/>
                <w:color w:val="auto"/>
              </w:rPr>
              <w:t>Preferred stock, $0.001 par value, 10,000,000 shares authorized; no shares issued or</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6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$0.001 par value, 50,000,000 shares authorized; 20,182,382 and 18,087,382</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w w:val="95"/>
              </w:rPr>
              <w:t>shares issued and outstanding as of March 31, 2020 and December 31, 2019, respectively</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144,165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83,565</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(56,688)</w:t>
            </w:r>
          </w:p>
        </w:tc>
      </w:tr>
      <w:tr>
        <w:trPr>
          <w:trHeight w:val="210"/>
        </w:trPr>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72,586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26,895</w:t>
            </w:r>
          </w:p>
        </w:tc>
      </w:tr>
      <w:tr>
        <w:trPr>
          <w:trHeight w:val="217"/>
        </w:trPr>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85,812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36,392</w:t>
            </w:r>
          </w:p>
        </w:tc>
      </w:tr>
    </w:tbl>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 w:name="page5"/>
    <w:bookmarkEnd w:id="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1"/>
        </w:trPr>
        <w:tc>
          <w:tcPr>
            <w:tcW w:w="58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12,371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expenses</w:t>
            </w:r>
          </w:p>
        </w:tc>
        <w:tc>
          <w:tcPr>
            <w:tcW w:w="5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14,996</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Other income</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and interest income, net</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5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(14,911)</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w w:val="99"/>
              </w:rPr>
              <w:t>Net loss per share attributable to common stockholders basic and diluted</w:t>
            </w:r>
          </w:p>
        </w:tc>
        <w:tc>
          <w:tcPr>
            <w:tcW w:w="7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(0.79)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18,968,096</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15,663,795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 w:name="page6"/>
    <w:bookmarkEnd w:id="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900" w:type="dxa"/>
            <w:vAlign w:val="bottom"/>
            <w:gridSpan w:val="5"/>
            <w:vMerge w:val="restart"/>
          </w:tcPr>
          <w:p>
            <w:pPr>
              <w:jc w:val="right"/>
              <w:ind w:right="391"/>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9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20" w:type="dxa"/>
            <w:vAlign w:val="bottom"/>
          </w:tcPr>
          <w:p>
            <w:pPr>
              <w:spacing w:after="0"/>
              <w:rPr>
                <w:sz w:val="14"/>
                <w:szCs w:val="14"/>
                <w:color w:val="auto"/>
              </w:rPr>
            </w:pPr>
          </w:p>
        </w:tc>
        <w:tc>
          <w:tcPr>
            <w:tcW w:w="1900" w:type="dxa"/>
            <w:vAlign w:val="bottom"/>
            <w:tcBorders>
              <w:bottom w:val="single" w:sz="8" w:color="auto"/>
            </w:tcBorders>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Paid in</w:t>
            </w:r>
          </w:p>
        </w:tc>
        <w:tc>
          <w:tcPr>
            <w:tcW w:w="9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100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71"/>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2"/>
                <w:szCs w:val="12"/>
                <w:color w:val="auto"/>
              </w:rPr>
            </w:pPr>
          </w:p>
        </w:tc>
        <w:tc>
          <w:tcPr>
            <w:tcW w:w="78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2018</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15,663,221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62,593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38,889</w:t>
            </w:r>
          </w:p>
        </w:tc>
        <w:tc>
          <w:tcPr>
            <w:tcW w:w="0" w:type="dxa"/>
            <w:vAlign w:val="bottom"/>
          </w:tcPr>
          <w:p>
            <w:pPr>
              <w:spacing w:after="0"/>
              <w:rPr>
                <w:sz w:val="1"/>
                <w:szCs w:val="1"/>
                <w:color w:val="auto"/>
              </w:rPr>
            </w:pPr>
          </w:p>
        </w:tc>
      </w:tr>
      <w:tr>
        <w:trPr>
          <w:trHeight w:val="216"/>
        </w:trPr>
        <w:tc>
          <w:tcPr>
            <w:tcW w:w="402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 of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020" w:type="dxa"/>
            <w:vAlign w:val="bottom"/>
          </w:tcPr>
          <w:p>
            <w:pPr>
              <w:ind w:left="220"/>
              <w:spacing w:after="0"/>
              <w:rPr>
                <w:sz w:val="20"/>
                <w:szCs w:val="20"/>
                <w:color w:val="auto"/>
              </w:rPr>
            </w:pPr>
            <w:r>
              <w:rPr>
                <w:rFonts w:ascii="Arial" w:cs="Arial" w:eastAsia="Arial" w:hAnsi="Arial"/>
                <w:sz w:val="18"/>
                <w:szCs w:val="18"/>
                <w:color w:val="auto"/>
              </w:rPr>
              <w:t>Net loss</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(7,204)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(7,204)</w:t>
            </w:r>
          </w:p>
        </w:tc>
        <w:tc>
          <w:tcPr>
            <w:tcW w:w="0" w:type="dxa"/>
            <w:vAlign w:val="bottom"/>
          </w:tcPr>
          <w:p>
            <w:pPr>
              <w:spacing w:after="0"/>
              <w:rPr>
                <w:sz w:val="1"/>
                <w:szCs w:val="1"/>
                <w:color w:val="auto"/>
              </w:rPr>
            </w:pPr>
          </w:p>
        </w:tc>
      </w:tr>
      <w:tr>
        <w:trPr>
          <w:trHeight w:val="217"/>
        </w:trPr>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2019</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15,665,802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63,276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32,368</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18,087,382</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83,565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(56,688)</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26,895</w:t>
            </w:r>
          </w:p>
        </w:tc>
        <w:tc>
          <w:tcPr>
            <w:tcW w:w="0" w:type="dxa"/>
            <w:vAlign w:val="bottom"/>
          </w:tcPr>
          <w:p>
            <w:pPr>
              <w:spacing w:after="0"/>
              <w:rPr>
                <w:sz w:val="1"/>
                <w:szCs w:val="1"/>
                <w:color w:val="auto"/>
              </w:rPr>
            </w:pPr>
          </w:p>
        </w:tc>
      </w:tr>
      <w:tr>
        <w:trPr>
          <w:trHeight w:val="202"/>
        </w:trPr>
        <w:tc>
          <w:tcPr>
            <w:tcW w:w="4020" w:type="dxa"/>
            <w:vAlign w:val="bottom"/>
          </w:tcPr>
          <w:p>
            <w:pPr>
              <w:ind w:left="220"/>
              <w:spacing w:after="0" w:line="201" w:lineRule="exact"/>
              <w:rPr>
                <w:sz w:val="20"/>
                <w:szCs w:val="20"/>
                <w:color w:val="auto"/>
              </w:rPr>
            </w:pPr>
            <w:r>
              <w:rPr>
                <w:rFonts w:ascii="Arial" w:cs="Arial" w:eastAsia="Arial" w:hAnsi="Arial"/>
                <w:sz w:val="18"/>
                <w:szCs w:val="18"/>
                <w:color w:val="auto"/>
                <w:w w:val="96"/>
              </w:rPr>
              <w:t>Issuance of common stock, net of issuance costs</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20"/>
              <w:spacing w:after="0"/>
              <w:rPr>
                <w:sz w:val="20"/>
                <w:szCs w:val="20"/>
                <w:color w:val="auto"/>
              </w:rPr>
            </w:pPr>
            <w:r>
              <w:rPr>
                <w:rFonts w:ascii="Arial" w:cs="Arial" w:eastAsia="Arial" w:hAnsi="Arial"/>
                <w:sz w:val="18"/>
                <w:szCs w:val="18"/>
                <w:color w:val="auto"/>
              </w:rPr>
              <w:t>of $4,789</w:t>
            </w:r>
          </w:p>
        </w:tc>
        <w:tc>
          <w:tcPr>
            <w:tcW w:w="920" w:type="dxa"/>
            <w:vAlign w:val="bottom"/>
          </w:tcPr>
          <w:p>
            <w:pPr>
              <w:jc w:val="right"/>
              <w:spacing w:after="0"/>
              <w:rPr>
                <w:sz w:val="20"/>
                <w:szCs w:val="20"/>
                <w:color w:val="auto"/>
              </w:rPr>
            </w:pPr>
            <w:r>
              <w:rPr>
                <w:rFonts w:ascii="Arial" w:cs="Arial" w:eastAsia="Arial" w:hAnsi="Arial"/>
                <w:sz w:val="18"/>
                <w:szCs w:val="18"/>
                <w:color w:val="auto"/>
              </w:rPr>
              <w:t>2,300,000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68,809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68,811</w:t>
            </w:r>
          </w:p>
        </w:tc>
        <w:tc>
          <w:tcPr>
            <w:tcW w:w="0" w:type="dxa"/>
            <w:vAlign w:val="bottom"/>
          </w:tcPr>
          <w:p>
            <w:pPr>
              <w:spacing w:after="0"/>
              <w:rPr>
                <w:sz w:val="1"/>
                <w:szCs w:val="1"/>
                <w:color w:val="auto"/>
              </w:rPr>
            </w:pPr>
          </w:p>
        </w:tc>
      </w:tr>
      <w:tr>
        <w:trPr>
          <w:trHeight w:val="202"/>
        </w:trPr>
        <w:tc>
          <w:tcPr>
            <w:tcW w:w="40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5"/>
              </w:rPr>
              <w:t>Purchase and cancellation of shares from BioXcel</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Corporation</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(9,024)</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(9,024)</w:t>
            </w:r>
          </w:p>
        </w:tc>
        <w:tc>
          <w:tcPr>
            <w:tcW w:w="0" w:type="dxa"/>
            <w:vAlign w:val="bottom"/>
          </w:tcPr>
          <w:p>
            <w:pPr>
              <w:spacing w:after="0"/>
              <w:rPr>
                <w:sz w:val="1"/>
                <w:szCs w:val="1"/>
                <w:color w:val="auto"/>
              </w:rPr>
            </w:pPr>
          </w:p>
        </w:tc>
      </w:tr>
      <w:tr>
        <w:trPr>
          <w:trHeight w:val="216"/>
        </w:trPr>
        <w:tc>
          <w:tcPr>
            <w:tcW w:w="402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 of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020" w:type="dxa"/>
            <w:vAlign w:val="bottom"/>
          </w:tcPr>
          <w:p>
            <w:pPr>
              <w:ind w:left="220"/>
              <w:spacing w:after="0"/>
              <w:rPr>
                <w:sz w:val="20"/>
                <w:szCs w:val="20"/>
                <w:color w:val="auto"/>
              </w:rPr>
            </w:pPr>
            <w:r>
              <w:rPr>
                <w:rFonts w:ascii="Arial" w:cs="Arial" w:eastAsia="Arial" w:hAnsi="Arial"/>
                <w:sz w:val="18"/>
                <w:szCs w:val="18"/>
                <w:color w:val="auto"/>
              </w:rPr>
              <w:t>Net loss</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(14,911)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(14,911)</w:t>
            </w:r>
          </w:p>
        </w:tc>
        <w:tc>
          <w:tcPr>
            <w:tcW w:w="0" w:type="dxa"/>
            <w:vAlign w:val="bottom"/>
          </w:tcPr>
          <w:p>
            <w:pPr>
              <w:spacing w:after="0"/>
              <w:rPr>
                <w:sz w:val="1"/>
                <w:szCs w:val="1"/>
                <w:color w:val="auto"/>
              </w:rPr>
            </w:pPr>
          </w:p>
        </w:tc>
      </w:tr>
      <w:tr>
        <w:trPr>
          <w:trHeight w:val="217"/>
        </w:trPr>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2020</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20,182,382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144,165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(71,599)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72,586</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 w:name="page7"/>
    <w:bookmarkEnd w:id="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BIOXCEL THERAPEUTICS, INC.</w:t>
      </w:r>
    </w:p>
    <w:p>
      <w:pPr>
        <w:spacing w:after="0" w:line="18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STATEMENTS OF CASH FLOWS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920" w:type="dxa"/>
            <w:vAlign w:val="bottom"/>
          </w:tcPr>
          <w:p>
            <w:pPr>
              <w:spacing w:after="0"/>
              <w:rPr>
                <w:sz w:val="14"/>
                <w:szCs w:val="14"/>
                <w:color w:val="auto"/>
              </w:rPr>
            </w:pPr>
          </w:p>
        </w:tc>
        <w:tc>
          <w:tcPr>
            <w:tcW w:w="2020" w:type="dxa"/>
            <w:vAlign w:val="bottom"/>
            <w:gridSpan w:val="7"/>
          </w:tcPr>
          <w:p>
            <w:pPr>
              <w:ind w:left="2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42"/>
        </w:trPr>
        <w:tc>
          <w:tcPr>
            <w:tcW w:w="69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(14,911)</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loss to net cash used in operating activities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220"/>
              <w:spacing w:after="0"/>
              <w:rPr>
                <w:sz w:val="20"/>
                <w:szCs w:val="20"/>
                <w:color w:val="auto"/>
              </w:rPr>
            </w:pPr>
            <w:r>
              <w:rPr>
                <w:rFonts w:ascii="Arial" w:cs="Arial" w:eastAsia="Arial" w:hAnsi="Arial"/>
                <w:sz w:val="18"/>
                <w:szCs w:val="18"/>
                <w:color w:val="auto"/>
              </w:rPr>
              <w:t>Due to Parent under asset contribution agreement</w:t>
            </w:r>
          </w:p>
        </w:tc>
        <w:tc>
          <w:tcPr>
            <w:tcW w:w="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(1,838)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other</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2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Purchases of equipment and leasehold improvements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net of issuance costs of $4,789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Purchase and cancellation of shares from BioXcel Corporation</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Exercise of options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59,826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47,653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beginning of the period</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32,426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the period</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80,079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220"/>
              <w:spacing w:after="0"/>
              <w:rPr>
                <w:sz w:val="20"/>
                <w:szCs w:val="20"/>
                <w:color w:val="auto"/>
              </w:rPr>
            </w:pPr>
            <w:r>
              <w:rPr>
                <w:rFonts w:ascii="Arial" w:cs="Arial" w:eastAsia="Arial" w:hAnsi="Arial"/>
                <w:sz w:val="18"/>
                <w:szCs w:val="18"/>
                <w:color w:val="auto"/>
              </w:rPr>
              <w:t>Interest paid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 w:name="page8"/>
    <w:bookmarkEnd w:id="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Organization and Principal Activities</w:t>
      </w:r>
    </w:p>
    <w:p>
      <w:pPr>
        <w:spacing w:after="0" w:line="229" w:lineRule="exact"/>
        <w:rPr>
          <w:sz w:val="20"/>
          <w:szCs w:val="20"/>
          <w:color w:val="auto"/>
        </w:rPr>
      </w:pPr>
    </w:p>
    <w:p>
      <w:pPr>
        <w:ind w:left="40" w:right="119" w:firstLine="324"/>
        <w:spacing w:after="0" w:line="290" w:lineRule="auto"/>
        <w:rPr>
          <w:sz w:val="20"/>
          <w:szCs w:val="20"/>
          <w:color w:val="auto"/>
        </w:rPr>
      </w:pPr>
      <w:r>
        <w:rPr>
          <w:rFonts w:ascii="Arial" w:cs="Arial" w:eastAsia="Arial" w:hAnsi="Arial"/>
          <w:sz w:val="16"/>
          <w:szCs w:val="16"/>
          <w:color w:val="auto"/>
        </w:rPr>
        <w:t>BioXcel Therapeutics, Inc. is a clinical stage biopharmaceutical company utilizing artificial intelligence to identify improved therapies in neuroscience and immuno-oncology. BTI's drug re-innovation approach leverages existing approved drugs and/or clinically validated product candidates together with big data and proprietary machine learning algorithms to identify new therapeutic indices. BTI's two most advanced clinical development programs are BXCL501, a sublingual thin film formulation designed for acute treatment of agitation resulting from neuropsychiatric disorders, and BXCL701, an orally administered systemic innate immunity activator designed for treatment of a rare form of prostate cancer, pancreatic cancer and advanced solid cancers in combination with other immuno-oncology agents. The Company’s primary activities have been clinical and pre-clinical research and development for BXCL501 and BXCL701.</w:t>
      </w:r>
    </w:p>
    <w:p>
      <w:pPr>
        <w:spacing w:after="0" w:line="165" w:lineRule="exact"/>
        <w:rPr>
          <w:sz w:val="20"/>
          <w:szCs w:val="20"/>
          <w:color w:val="auto"/>
        </w:rPr>
      </w:pPr>
    </w:p>
    <w:p>
      <w:pPr>
        <w:ind w:left="40" w:right="419" w:firstLine="324"/>
        <w:spacing w:after="0" w:line="263" w:lineRule="auto"/>
        <w:rPr>
          <w:sz w:val="20"/>
          <w:szCs w:val="20"/>
          <w:color w:val="auto"/>
        </w:rPr>
      </w:pPr>
      <w:r>
        <w:rPr>
          <w:rFonts w:ascii="Arial" w:cs="Arial" w:eastAsia="Arial" w:hAnsi="Arial"/>
          <w:sz w:val="18"/>
          <w:szCs w:val="18"/>
          <w:color w:val="auto"/>
        </w:rPr>
        <w:t>As used in these financial statements, unless otherwise specified or the context otherwise requires, the terms the “Company” or “BTI” refer to BioXcel Therapeutics, Inc., and “BioXcel” or “Parent” refer to BioXcel Corporation, the Company’s parent.</w:t>
      </w:r>
    </w:p>
    <w:p>
      <w:pPr>
        <w:spacing w:after="0" w:line="184" w:lineRule="exact"/>
        <w:rPr>
          <w:sz w:val="20"/>
          <w:szCs w:val="20"/>
          <w:color w:val="auto"/>
        </w:rPr>
      </w:pPr>
    </w:p>
    <w:p>
      <w:pPr>
        <w:ind w:left="40" w:right="99" w:firstLine="324"/>
        <w:spacing w:after="0" w:line="263" w:lineRule="auto"/>
        <w:rPr>
          <w:sz w:val="20"/>
          <w:szCs w:val="20"/>
          <w:color w:val="auto"/>
        </w:rPr>
      </w:pPr>
      <w:r>
        <w:rPr>
          <w:rFonts w:ascii="Arial" w:cs="Arial" w:eastAsia="Arial" w:hAnsi="Arial"/>
          <w:sz w:val="18"/>
          <w:szCs w:val="18"/>
          <w:color w:val="auto"/>
        </w:rPr>
        <w:t>The Company is a majority-owned subsidiary of BioXcel Corporation, also referred to as BioXcel or Parent, and was incorporated under the laws of the State of Delaware on March 29, 2017. The Company’s principal office is in New Haven, Connecticut.</w:t>
      </w:r>
    </w:p>
    <w:p>
      <w:pPr>
        <w:spacing w:after="0" w:line="184" w:lineRule="exact"/>
        <w:rPr>
          <w:sz w:val="20"/>
          <w:szCs w:val="20"/>
          <w:color w:val="auto"/>
        </w:rPr>
      </w:pPr>
    </w:p>
    <w:p>
      <w:pPr>
        <w:ind w:left="40" w:right="119" w:firstLine="324"/>
        <w:spacing w:after="0" w:line="257" w:lineRule="auto"/>
        <w:rPr>
          <w:sz w:val="20"/>
          <w:szCs w:val="20"/>
          <w:color w:val="auto"/>
        </w:rPr>
      </w:pPr>
      <w:r>
        <w:rPr>
          <w:rFonts w:ascii="Arial" w:cs="Arial" w:eastAsia="Arial" w:hAnsi="Arial"/>
          <w:sz w:val="18"/>
          <w:szCs w:val="18"/>
          <w:color w:val="auto"/>
        </w:rPr>
        <w:t>The unaudited financial information for the three months ended March 31, 2020 and 2019 is presented on the same basis as the financial statements included in the Company’s Annual Report on Form 10-K for the year ended December 31, 2019. The Company does not have any components of other comprehensive income (loss) recorded within its financial statements, and, therefore, does not separately present a statement of comprehensive income (loss) in its financial statements.</w:t>
      </w:r>
    </w:p>
    <w:p>
      <w:pPr>
        <w:spacing w:after="0" w:line="188" w:lineRule="exact"/>
        <w:rPr>
          <w:sz w:val="20"/>
          <w:szCs w:val="20"/>
          <w:color w:val="auto"/>
        </w:rPr>
      </w:pPr>
    </w:p>
    <w:p>
      <w:pPr>
        <w:ind w:left="40" w:right="599" w:firstLine="324"/>
        <w:spacing w:after="0" w:line="277" w:lineRule="auto"/>
        <w:rPr>
          <w:sz w:val="20"/>
          <w:szCs w:val="20"/>
          <w:color w:val="auto"/>
        </w:rPr>
      </w:pPr>
      <w:r>
        <w:rPr>
          <w:rFonts w:ascii="Arial" w:cs="Arial" w:eastAsia="Arial" w:hAnsi="Arial"/>
          <w:sz w:val="18"/>
          <w:szCs w:val="18"/>
          <w:color w:val="auto"/>
        </w:rPr>
        <w:t>Certain reclassifications have been made to the prior year financial information to conform to the current period presentation. These reclassifications had no effect on the reported results of operations.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ind w:left="40" w:right="99" w:firstLine="324"/>
        <w:spacing w:after="0" w:line="277" w:lineRule="auto"/>
        <w:rPr>
          <w:sz w:val="20"/>
          <w:szCs w:val="20"/>
          <w:color w:val="auto"/>
        </w:rPr>
      </w:pPr>
      <w:r>
        <w:rPr>
          <w:rFonts w:ascii="Arial" w:cs="Arial" w:eastAsia="Arial" w:hAnsi="Arial"/>
          <w:sz w:val="18"/>
          <w:szCs w:val="18"/>
          <w:color w:val="auto"/>
        </w:rPr>
        <w:t>The Company’s financial statements are prepared in accordance with Generally Accepted Accounting Principles in the United States of America (“GAAP”).</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left="40" w:right="79" w:firstLine="324"/>
        <w:spacing w:after="0" w:line="301" w:lineRule="auto"/>
        <w:rPr>
          <w:sz w:val="20"/>
          <w:szCs w:val="20"/>
          <w:color w:val="auto"/>
        </w:rPr>
      </w:pPr>
      <w:r>
        <w:rPr>
          <w:rFonts w:ascii="Arial" w:cs="Arial" w:eastAsia="Arial" w:hAnsi="Arial"/>
          <w:sz w:val="16"/>
          <w:szCs w:val="16"/>
          <w:color w:val="auto"/>
        </w:rPr>
        <w:t>The Company’s financial statements are prepared in accordance with GAAP. The preparation of financial statements requires the Company to make estimates and assumptions that impact the reported amounts of assets, liabilities and expenses in its financial statements and the accompanying notes. The most significant estimates in the financial statements relate to the fair value of equity awards and valuation allowance related to the Company’s deferred tax assets and liabilities.</w:t>
      </w:r>
    </w:p>
    <w:p>
      <w:pPr>
        <w:spacing w:after="0" w:line="157" w:lineRule="exact"/>
        <w:rPr>
          <w:sz w:val="20"/>
          <w:szCs w:val="20"/>
          <w:color w:val="auto"/>
        </w:rPr>
      </w:pPr>
    </w:p>
    <w:p>
      <w:pPr>
        <w:ind w:left="40" w:right="179" w:firstLine="324"/>
        <w:spacing w:after="0" w:line="342" w:lineRule="auto"/>
        <w:rPr>
          <w:sz w:val="20"/>
          <w:szCs w:val="20"/>
          <w:color w:val="auto"/>
        </w:rPr>
      </w:pPr>
      <w:r>
        <w:rPr>
          <w:rFonts w:ascii="Arial" w:cs="Arial" w:eastAsia="Arial" w:hAnsi="Arial"/>
          <w:sz w:val="16"/>
          <w:szCs w:val="16"/>
          <w:color w:val="auto"/>
        </w:rPr>
        <w:t>The preparation of our financial statements requires us to make estimates, judgments and assumptions that may affect the reported amounts of assets, liabilities, equity and expenses. We base our estimates on historical experience and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 w:name="page9"/>
    <w:bookmarkEnd w:id="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459"/>
        <w:spacing w:after="0" w:line="277" w:lineRule="auto"/>
        <w:rPr>
          <w:sz w:val="20"/>
          <w:szCs w:val="20"/>
          <w:color w:val="auto"/>
        </w:rPr>
      </w:pPr>
      <w:r>
        <w:rPr>
          <w:rFonts w:ascii="Arial" w:cs="Arial" w:eastAsia="Arial" w:hAnsi="Arial"/>
          <w:sz w:val="18"/>
          <w:szCs w:val="18"/>
          <w:color w:val="auto"/>
        </w:rPr>
        <w:t>on various other assumptions that we believe are reasonable, the results of which form the basis for making judgments about the carrying values of assets, liabilities and equity and the amount of expenses.</w:t>
      </w:r>
    </w:p>
    <w:p>
      <w:pPr>
        <w:spacing w:after="0" w:line="170" w:lineRule="exact"/>
        <w:rPr>
          <w:sz w:val="20"/>
          <w:szCs w:val="20"/>
          <w:color w:val="auto"/>
        </w:rPr>
      </w:pPr>
    </w:p>
    <w:p>
      <w:pPr>
        <w:ind w:left="40" w:right="79" w:firstLine="324"/>
        <w:spacing w:after="0" w:line="288" w:lineRule="auto"/>
        <w:rPr>
          <w:sz w:val="20"/>
          <w:szCs w:val="20"/>
          <w:color w:val="auto"/>
        </w:rPr>
      </w:pPr>
      <w:r>
        <w:rPr>
          <w:rFonts w:ascii="Arial" w:cs="Arial" w:eastAsia="Arial" w:hAnsi="Arial"/>
          <w:sz w:val="16"/>
          <w:szCs w:val="16"/>
          <w:color w:val="auto"/>
        </w:rPr>
        <w:t>During the quarter ended March 31, 2020, the novel coronavirus disease, or COVID-19, was declared a pandemic and spread to multiple regions across the globe, including the United States and Europe.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full extent to which the COVID-19 pandemic will directly or indirectly impact our business, results of operations and financial condition, including expenses, reserves and allowances, clinical trials, research and development costs and employee-related amounts, will depend on future developments that are highly uncertain, including as a result of new information that may emerge concerning COVID-19 and the actions taken to contain or treat COVID-19, as well as the economic impact on local, regional, national and international customers and markets.</w:t>
      </w:r>
    </w:p>
    <w:p>
      <w:pPr>
        <w:spacing w:after="0" w:line="168" w:lineRule="exact"/>
        <w:rPr>
          <w:sz w:val="20"/>
          <w:szCs w:val="20"/>
          <w:color w:val="auto"/>
        </w:rPr>
      </w:pPr>
    </w:p>
    <w:p>
      <w:pPr>
        <w:ind w:left="40" w:right="299" w:firstLine="324"/>
        <w:spacing w:after="0" w:line="301" w:lineRule="auto"/>
        <w:rPr>
          <w:sz w:val="20"/>
          <w:szCs w:val="20"/>
          <w:color w:val="auto"/>
        </w:rPr>
      </w:pPr>
      <w:r>
        <w:rPr>
          <w:rFonts w:ascii="Arial" w:cs="Arial" w:eastAsia="Arial" w:hAnsi="Arial"/>
          <w:sz w:val="16"/>
          <w:szCs w:val="16"/>
          <w:color w:val="auto"/>
        </w:rPr>
        <w:t>We have evaluated the impact of COVID-19 within our financial statements and given the daily evolution of the COVID-19 outbreak and the global responses to curb its spread, we are not able to estimate the effects of the COVID-19 outbreak on our results of operations, financial condition, or liquidity. The financial statements do not reflect any adjustments as a result of the pandemic but there may be changes to the current estimates in future periods.</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29" w:lineRule="exact"/>
        <w:rPr>
          <w:sz w:val="20"/>
          <w:szCs w:val="20"/>
          <w:color w:val="auto"/>
        </w:rPr>
      </w:pPr>
    </w:p>
    <w:p>
      <w:pPr>
        <w:ind w:left="40" w:right="119" w:firstLine="324"/>
        <w:spacing w:after="0" w:line="253" w:lineRule="auto"/>
        <w:rPr>
          <w:sz w:val="20"/>
          <w:szCs w:val="20"/>
          <w:color w:val="auto"/>
        </w:rPr>
      </w:pPr>
      <w:r>
        <w:rPr>
          <w:rFonts w:ascii="Arial" w:cs="Arial" w:eastAsia="Arial" w:hAnsi="Arial"/>
          <w:sz w:val="18"/>
          <w:szCs w:val="18"/>
          <w:color w:val="auto"/>
        </w:rPr>
        <w:t>The accompanying unaudited financial statements do not include all of the information and footnotes required by GAAP. The accompanying year-end balance sheet was derived from audited financial statements but does not include all disclosures required by GAAP. The unaudited interim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March 31, 2020, the results of its operations for the three months ended March 31, 2020 and 2019 and its cash flows for the three months ended March 31, 2020 and 2019, respectively. The results for the three months ended March 31, 2020 are not necessarily indicative of results to be expected for the year ending December 31, 2020, any other interim periods or any future year or period.</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40" w:right="99" w:firstLine="324"/>
        <w:spacing w:after="0" w:line="259"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at the date of purchase to be cash equivalents. As of March 31, 2020, cash equivalents were comprised of money market funds. Cash and cash equivalents held at financial institutions may at times exceed federally insured amounts. We believe we mitigate such risk by investing in or through major financial institutions.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Offering Costs</w:t>
      </w:r>
    </w:p>
    <w:p>
      <w:pPr>
        <w:spacing w:after="0" w:line="229" w:lineRule="exact"/>
        <w:rPr>
          <w:sz w:val="20"/>
          <w:szCs w:val="20"/>
          <w:color w:val="auto"/>
        </w:rPr>
      </w:pPr>
    </w:p>
    <w:p>
      <w:pPr>
        <w:ind w:left="40" w:right="259" w:firstLine="324"/>
        <w:spacing w:after="0" w:line="259" w:lineRule="auto"/>
        <w:rPr>
          <w:sz w:val="20"/>
          <w:szCs w:val="20"/>
          <w:color w:val="auto"/>
        </w:rPr>
      </w:pPr>
      <w:r>
        <w:rPr>
          <w:rFonts w:ascii="Arial" w:cs="Arial" w:eastAsia="Arial" w:hAnsi="Arial"/>
          <w:sz w:val="18"/>
          <w:szCs w:val="18"/>
          <w:color w:val="auto"/>
        </w:rPr>
        <w:t>The Company capitalizes certain legal, professional accounting and other third-party fees that are directly associated with in-process equity financings as deferred offering costs until the equity financing was consummated. After consummation of an equity financing, these costs were recorded in stockholders’ equity as a reduction of proceeds generated as a result of the offering.</w:t>
      </w:r>
    </w:p>
    <w:p>
      <w:pPr>
        <w:spacing w:after="0" w:line="187" w:lineRule="exact"/>
        <w:rPr>
          <w:sz w:val="20"/>
          <w:szCs w:val="20"/>
          <w:color w:val="auto"/>
        </w:rPr>
      </w:pPr>
    </w:p>
    <w:p>
      <w:pPr>
        <w:ind w:left="40" w:right="419" w:firstLine="324"/>
        <w:spacing w:after="0" w:line="277" w:lineRule="auto"/>
        <w:rPr>
          <w:sz w:val="20"/>
          <w:szCs w:val="20"/>
          <w:color w:val="auto"/>
        </w:rPr>
      </w:pPr>
      <w:r>
        <w:rPr>
          <w:rFonts w:ascii="Arial" w:cs="Arial" w:eastAsia="Arial" w:hAnsi="Arial"/>
          <w:sz w:val="18"/>
          <w:szCs w:val="18"/>
          <w:color w:val="auto"/>
        </w:rPr>
        <w:t>Effective September 22, 2019, the Company terminated its At-The-Market (“ATM”) program. All costs associated with this program have been amortized and charged to Additional paid-in-capital.</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40" w:right="259" w:firstLine="324"/>
        <w:spacing w:after="0" w:line="311" w:lineRule="auto"/>
        <w:rPr>
          <w:sz w:val="20"/>
          <w:szCs w:val="20"/>
          <w:color w:val="auto"/>
        </w:rPr>
      </w:pPr>
      <w:r>
        <w:rPr>
          <w:rFonts w:ascii="Arial" w:cs="Arial" w:eastAsia="Arial" w:hAnsi="Arial"/>
          <w:sz w:val="16"/>
          <w:szCs w:val="16"/>
          <w:color w:val="auto"/>
        </w:rPr>
        <w:t>Equipment consists of computers and related equipment that are stated at cost and depreciated using the straight-line method over estimated useful life of 5 years. Furniture is being depreciated using the straight-line method over approximately 7 years. Leasehold improvements are being amortized over the shorter of the life of the lease or the asset.</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 w:name="page10"/>
    <w:bookmarkEnd w:id="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39" w:firstLine="324"/>
        <w:spacing w:after="0" w:line="218" w:lineRule="exact"/>
        <w:rPr>
          <w:sz w:val="20"/>
          <w:szCs w:val="20"/>
          <w:color w:val="auto"/>
        </w:rPr>
      </w:pPr>
      <w:r>
        <w:rPr>
          <w:rFonts w:ascii="Arial" w:cs="Arial" w:eastAsia="Arial" w:hAnsi="Arial"/>
          <w:sz w:val="18"/>
          <w:szCs w:val="18"/>
          <w:color w:val="auto"/>
        </w:rPr>
        <w:t>The Company follows the guidance provided by the Financial Accounting Standards Board (“FASB”) ASC Topic 360</w:t>
      </w:r>
      <w:r>
        <w:rPr>
          <w:rFonts w:ascii="MS PGothic" w:cs="MS PGothic" w:eastAsia="MS PGothic" w:hAnsi="MS PGothic"/>
          <w:sz w:val="18"/>
          <w:szCs w:val="18"/>
          <w:color w:val="auto"/>
        </w:rPr>
        <w:t>‑</w:t>
      </w:r>
      <w:r>
        <w:rPr>
          <w:rFonts w:ascii="Arial" w:cs="Arial" w:eastAsia="Arial" w:hAnsi="Arial"/>
          <w:sz w:val="18"/>
          <w:szCs w:val="18"/>
          <w:color w:val="auto"/>
        </w:rPr>
        <w:t xml:space="preserve">10,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Long-lived assets are reviewed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Impairment charges are recognized at the amount by which the carrying amount of an asset exceeds the fair value of the asset. Assets to be disposed of are reported at the lower of the carrying amount or the fair value less costs to sell.</w:t>
      </w:r>
    </w:p>
    <w:p>
      <w:pPr>
        <w:spacing w:after="0" w:line="20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Since its inception, the Company has not recognized any impairment or disposition of long lived assets.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40" w:right="339" w:firstLine="324"/>
        <w:spacing w:after="0" w:line="277" w:lineRule="auto"/>
        <w:rPr>
          <w:sz w:val="20"/>
          <w:szCs w:val="20"/>
          <w:color w:val="auto"/>
        </w:rPr>
      </w:pPr>
      <w:r>
        <w:rPr>
          <w:rFonts w:ascii="Arial" w:cs="Arial" w:eastAsia="Arial" w:hAnsi="Arial"/>
          <w:sz w:val="18"/>
          <w:szCs w:val="18"/>
          <w:color w:val="auto"/>
        </w:rPr>
        <w:t>We determine if an arrangement is a lease at inception. Operating leases are included in operating lease right-of-use (“ROU”) assets, other current liabilities, and operating lease liabilities in our balance sheet.</w:t>
      </w:r>
    </w:p>
    <w:p>
      <w:pPr>
        <w:spacing w:after="0" w:line="170" w:lineRule="exact"/>
        <w:rPr>
          <w:sz w:val="20"/>
          <w:szCs w:val="20"/>
          <w:color w:val="auto"/>
        </w:rPr>
      </w:pPr>
    </w:p>
    <w:p>
      <w:pPr>
        <w:ind w:left="40" w:right="239" w:firstLine="324"/>
        <w:spacing w:after="0" w:line="270" w:lineRule="auto"/>
        <w:rPr>
          <w:sz w:val="20"/>
          <w:szCs w:val="20"/>
          <w:color w:val="auto"/>
        </w:rPr>
      </w:pPr>
      <w:r>
        <w:rPr>
          <w:rFonts w:ascii="Arial" w:cs="Arial" w:eastAsia="Arial" w:hAnsi="Arial"/>
          <w:sz w:val="17"/>
          <w:szCs w:val="17"/>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our lease did not provide an implicit rate, we used an incremental borrowing rate based on the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Renewal options were not included in our calculation of the related asset and liability. Lease expense for lease payments is recognized on a straight-line basis over the lease term.</w:t>
      </w:r>
    </w:p>
    <w:p>
      <w:pPr>
        <w:spacing w:after="0" w:line="181" w:lineRule="exact"/>
        <w:rPr>
          <w:sz w:val="20"/>
          <w:szCs w:val="20"/>
          <w:color w:val="auto"/>
        </w:rPr>
      </w:pPr>
    </w:p>
    <w:p>
      <w:pPr>
        <w:ind w:left="40" w:right="479" w:firstLine="324"/>
        <w:spacing w:after="0" w:line="223" w:lineRule="exact"/>
        <w:rPr>
          <w:sz w:val="20"/>
          <w:szCs w:val="20"/>
          <w:color w:val="auto"/>
        </w:rPr>
      </w:pPr>
      <w:r>
        <w:rPr>
          <w:rFonts w:ascii="Arial" w:cs="Arial" w:eastAsia="Arial" w:hAnsi="Arial"/>
          <w:sz w:val="18"/>
          <w:szCs w:val="18"/>
          <w:color w:val="auto"/>
        </w:rPr>
        <w:t xml:space="preserve">The Company adopted </w:t>
      </w:r>
      <w:r>
        <w:rPr>
          <w:rFonts w:ascii="Arial" w:cs="Arial" w:eastAsia="Arial" w:hAnsi="Arial"/>
          <w:sz w:val="18"/>
          <w:szCs w:val="18"/>
          <w:i w:val="1"/>
          <w:iCs w:val="1"/>
          <w:color w:val="auto"/>
        </w:rPr>
        <w:t>ASU 2016</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02 Lease Accounting Topic 842</w:t>
      </w:r>
      <w:r>
        <w:rPr>
          <w:rFonts w:ascii="Arial" w:cs="Arial" w:eastAsia="Arial" w:hAnsi="Arial"/>
          <w:sz w:val="18"/>
          <w:szCs w:val="18"/>
          <w:color w:val="auto"/>
        </w:rPr>
        <w:t xml:space="preserve"> in January 2019 and recorded a ROU asset and related liability in the amount of $1,308 on commencement of a new office lease.</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40" w:right="139" w:firstLine="324"/>
        <w:spacing w:after="0" w:line="259" w:lineRule="auto"/>
        <w:rPr>
          <w:sz w:val="20"/>
          <w:szCs w:val="20"/>
          <w:color w:val="auto"/>
        </w:rPr>
      </w:pPr>
      <w:r>
        <w:rPr>
          <w:rFonts w:ascii="Arial" w:cs="Arial" w:eastAsia="Arial" w:hAnsi="Arial"/>
          <w:sz w:val="18"/>
          <w:szCs w:val="18"/>
          <w:color w:val="auto"/>
        </w:rPr>
        <w:t>The Company accounts for stock-based compensation in accordance with ASC 718, “</w:t>
      </w:r>
      <w:r>
        <w:rPr>
          <w:rFonts w:ascii="Arial" w:cs="Arial" w:eastAsia="Arial" w:hAnsi="Arial"/>
          <w:sz w:val="18"/>
          <w:szCs w:val="18"/>
          <w:i w:val="1"/>
          <w:iCs w:val="1"/>
          <w:color w:val="auto"/>
        </w:rPr>
        <w:t>Compensation—Stock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which requires the measurement and recognition of compensation expense based on estimated fair market</w:t>
      </w:r>
      <w:r>
        <w:rPr>
          <w:rFonts w:ascii="Arial" w:cs="Arial" w:eastAsia="Arial" w:hAnsi="Arial"/>
          <w:sz w:val="18"/>
          <w:szCs w:val="18"/>
          <w:i w:val="1"/>
          <w:iCs w:val="1"/>
          <w:color w:val="auto"/>
        </w:rPr>
        <w:t xml:space="preserve"> </w:t>
      </w:r>
      <w:r>
        <w:rPr>
          <w:rFonts w:ascii="Arial" w:cs="Arial" w:eastAsia="Arial" w:hAnsi="Arial"/>
          <w:sz w:val="18"/>
          <w:szCs w:val="18"/>
          <w:color w:val="auto"/>
        </w:rPr>
        <w:t>values for all share-based awards made to employees and directors, including stock options. The Company’s stock-based compensation plan was adopted and became effective in August 2017.</w:t>
      </w:r>
    </w:p>
    <w:p>
      <w:pPr>
        <w:spacing w:after="0" w:line="187" w:lineRule="exact"/>
        <w:rPr>
          <w:sz w:val="20"/>
          <w:szCs w:val="20"/>
          <w:color w:val="auto"/>
        </w:rPr>
      </w:pPr>
    </w:p>
    <w:p>
      <w:pPr>
        <w:ind w:left="40" w:right="79" w:firstLine="324"/>
        <w:spacing w:after="0" w:line="257" w:lineRule="auto"/>
        <w:rPr>
          <w:sz w:val="20"/>
          <w:szCs w:val="20"/>
          <w:color w:val="auto"/>
        </w:rPr>
      </w:pPr>
      <w:r>
        <w:rPr>
          <w:rFonts w:ascii="Arial" w:cs="Arial" w:eastAsia="Arial" w:hAnsi="Arial"/>
          <w:sz w:val="18"/>
          <w:szCs w:val="18"/>
          <w:color w:val="auto"/>
        </w:rPr>
        <w:t>Both BioXcel and the Company’s stock option awards are valued at fair value on the date of grant and that fair value is recognized over the requisite service period. The estimated fair value of stock option awards was determined using the Black-Scholes option pricing model on the date of grant. Significant judgment and estimates were used to estimate the fair value of these awards, as they were not publicly traded. Stock awards granted by the Company subsequent to the IPO are valued using market prices at the date of grant.</w:t>
      </w:r>
    </w:p>
    <w:p>
      <w:pPr>
        <w:spacing w:after="0" w:line="188" w:lineRule="exact"/>
        <w:rPr>
          <w:sz w:val="20"/>
          <w:szCs w:val="20"/>
          <w:color w:val="auto"/>
        </w:rPr>
      </w:pPr>
    </w:p>
    <w:p>
      <w:pPr>
        <w:ind w:left="40" w:right="99" w:firstLine="324"/>
        <w:spacing w:after="0" w:line="254" w:lineRule="auto"/>
        <w:rPr>
          <w:sz w:val="20"/>
          <w:szCs w:val="20"/>
          <w:color w:val="auto"/>
        </w:rPr>
      </w:pPr>
      <w:r>
        <w:rPr>
          <w:rFonts w:ascii="Arial" w:cs="Arial" w:eastAsia="Arial" w:hAnsi="Arial"/>
          <w:sz w:val="18"/>
          <w:szCs w:val="18"/>
          <w:color w:val="auto"/>
        </w:rPr>
        <w:t>ASC 718 requires companies to estimate the fair value of share-based awards on the date of grant using an option-pricing model. The Black-Scholes option-pricing model was used as its method of determining fair value. This model is affected by the Company’s stock price as well as assumptions regarding a number of subjective variables. These subjective variables include, but are not limited to, the expected stock price volatility over the term of the awards, and actual and projected employee stock option exercise behaviors. The value of the award is recognized as an expense in the statement of operations over the requisite service period. The periodic expense is then determined based on the valuation of the options. The Company has elected to account for forfeitures as they occur, by reversing compensation cost when the award is forfeited.</w:t>
      </w:r>
    </w:p>
    <w:p>
      <w:pPr>
        <w:spacing w:after="0" w:line="192" w:lineRule="exact"/>
        <w:rPr>
          <w:sz w:val="20"/>
          <w:szCs w:val="20"/>
          <w:color w:val="auto"/>
        </w:rPr>
      </w:pPr>
    </w:p>
    <w:p>
      <w:pPr>
        <w:ind w:left="40" w:right="279" w:firstLine="324"/>
        <w:spacing w:after="0" w:line="342" w:lineRule="auto"/>
        <w:rPr>
          <w:sz w:val="20"/>
          <w:szCs w:val="20"/>
          <w:color w:val="auto"/>
        </w:rPr>
      </w:pPr>
      <w:r>
        <w:rPr>
          <w:rFonts w:ascii="Arial" w:cs="Arial" w:eastAsia="Arial" w:hAnsi="Arial"/>
          <w:sz w:val="16"/>
          <w:szCs w:val="16"/>
          <w:color w:val="auto"/>
        </w:rPr>
        <w:t xml:space="preserve">The Company adopted FASB ASU 2018-07, </w:t>
      </w:r>
      <w:r>
        <w:rPr>
          <w:rFonts w:ascii="Arial" w:cs="Arial" w:eastAsia="Arial" w:hAnsi="Arial"/>
          <w:sz w:val="16"/>
          <w:szCs w:val="16"/>
          <w:i w:val="1"/>
          <w:iCs w:val="1"/>
          <w:color w:val="auto"/>
        </w:rPr>
        <w:t>Improvements to Nonemployee Share-Based Payment Accounting</w:t>
      </w:r>
      <w:r>
        <w:rPr>
          <w:rFonts w:ascii="Arial" w:cs="Arial" w:eastAsia="Arial" w:hAnsi="Arial"/>
          <w:sz w:val="16"/>
          <w:szCs w:val="16"/>
          <w:color w:val="auto"/>
        </w:rPr>
        <w:t xml:space="preserve"> as of January 1, 2019 which allows non-employee options to be expensed using the adoption date fair value.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 w:name="page11"/>
    <w:bookmarkEnd w:id="1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left="40" w:right="199" w:firstLine="324"/>
        <w:spacing w:after="0" w:line="291" w:lineRule="auto"/>
        <w:rPr>
          <w:sz w:val="20"/>
          <w:szCs w:val="20"/>
          <w:color w:val="auto"/>
        </w:rPr>
      </w:pPr>
      <w:r>
        <w:rPr>
          <w:rFonts w:ascii="Arial" w:cs="Arial" w:eastAsia="Arial" w:hAnsi="Arial"/>
          <w:sz w:val="16"/>
          <w:szCs w:val="16"/>
          <w:color w:val="auto"/>
        </w:rPr>
        <w:t>Research and development expenses include wages, benefits, facilities, supplies, external services, clinical study and manufacturing costs and other expenses that are directly related to the Company’s research and development activities. At the end of the reporting period, the Company compares payments made to third party service providers to the estimated progress toward completion of the research or development objectives. Such estimates are subject to change as additional information becomes available. Depending on the timing of payments to the service providers and the progress that the Company estimates has been made as a result of the service provided, the Company may record net prepaid or accrued expense relating to these costs. The Company expenses research and development costs as incurred.</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Expenses Accrued Under Contractual Arrangements with Clinical Research Organizations</w:t>
      </w:r>
    </w:p>
    <w:p>
      <w:pPr>
        <w:spacing w:after="0" w:line="229" w:lineRule="exact"/>
        <w:rPr>
          <w:sz w:val="20"/>
          <w:szCs w:val="20"/>
          <w:color w:val="auto"/>
        </w:rPr>
      </w:pPr>
    </w:p>
    <w:p>
      <w:pPr>
        <w:ind w:left="40" w:right="259" w:firstLine="324"/>
        <w:spacing w:after="0" w:line="291"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 The majority of our service providers invoice us monthly in arrears for services performed. We make estimates of our accrued expenses as of each balance sheet date in our financial statements based on facts and circumstances known to us at that time. We periodically confirm the accuracy of our estimates with the service providers and make adjustments if necessary.</w:t>
      </w:r>
    </w:p>
    <w:p>
      <w:pPr>
        <w:spacing w:after="0" w:line="166" w:lineRule="exact"/>
        <w:rPr>
          <w:sz w:val="20"/>
          <w:szCs w:val="20"/>
          <w:color w:val="auto"/>
        </w:rPr>
      </w:pPr>
    </w:p>
    <w:p>
      <w:pPr>
        <w:ind w:left="40" w:right="79" w:firstLine="324"/>
        <w:spacing w:after="0" w:line="269" w:lineRule="auto"/>
        <w:rPr>
          <w:sz w:val="20"/>
          <w:szCs w:val="20"/>
          <w:color w:val="auto"/>
        </w:rPr>
      </w:pPr>
      <w:r>
        <w:rPr>
          <w:rFonts w:ascii="Arial" w:cs="Arial" w:eastAsia="Arial" w:hAnsi="Arial"/>
          <w:sz w:val="17"/>
          <w:szCs w:val="17"/>
          <w:color w:val="auto"/>
        </w:rPr>
        <w:t>We base our expenses related to clinical trials on our estimates of the services received and efforts expended pursuant to contracts with multiple research institutions and contract research organizations that conduct and manage clinical trials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expenses, we estimate the time period over which services will be performed and the level of effort to be expended in each period, which is based on an established protocol specific to each clinical trial. If the actual timing of the performance of services or the level of effort varies from our estimate, we adjust the accrual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Patent Costs</w:t>
      </w:r>
    </w:p>
    <w:p>
      <w:pPr>
        <w:spacing w:after="0" w:line="229" w:lineRule="exact"/>
        <w:rPr>
          <w:sz w:val="20"/>
          <w:szCs w:val="20"/>
          <w:color w:val="auto"/>
        </w:rPr>
      </w:pPr>
    </w:p>
    <w:p>
      <w:pPr>
        <w:ind w:left="40" w:right="699" w:firstLine="324"/>
        <w:spacing w:after="0" w:line="277" w:lineRule="auto"/>
        <w:rPr>
          <w:sz w:val="20"/>
          <w:szCs w:val="20"/>
          <w:color w:val="auto"/>
        </w:rPr>
      </w:pPr>
      <w:r>
        <w:rPr>
          <w:rFonts w:ascii="Arial" w:cs="Arial" w:eastAsia="Arial" w:hAnsi="Arial"/>
          <w:sz w:val="18"/>
          <w:szCs w:val="18"/>
          <w:color w:val="auto"/>
        </w:rPr>
        <w:t>Costs related to filing and pursuing patent applications are recorded as general and administrative expense and expensed as incurred since recoverability of such expenditures is uncertain.</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40" w:right="119" w:firstLine="324"/>
        <w:spacing w:after="0" w:line="289" w:lineRule="auto"/>
        <w:rPr>
          <w:sz w:val="20"/>
          <w:szCs w:val="20"/>
          <w:color w:val="auto"/>
        </w:rPr>
      </w:pPr>
      <w:r>
        <w:rPr>
          <w:rFonts w:ascii="Arial" w:cs="Arial" w:eastAsia="Arial" w:hAnsi="Arial"/>
          <w:sz w:val="16"/>
          <w:szCs w:val="16"/>
          <w:color w:val="auto"/>
        </w:rPr>
        <w:t>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defines fair value, establishes a framework for measuring fair value in GAAP and expands disclosures about fair value measurements. ASC 820 defines fair value as the price that would be received to sell an asset or paid to transfer a liability in an orderly transaction between market participants at the measurement date. ASC 820 establishes a fair value hierarchy that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under ASC 820 are described below:</w:t>
      </w:r>
    </w:p>
    <w:p>
      <w:pPr>
        <w:spacing w:after="0" w:line="166" w:lineRule="exact"/>
        <w:rPr>
          <w:sz w:val="20"/>
          <w:szCs w:val="20"/>
          <w:color w:val="auto"/>
        </w:rPr>
      </w:pPr>
    </w:p>
    <w:p>
      <w:pPr>
        <w:ind w:left="700" w:right="319" w:hanging="332"/>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that are accessible at the measurement date for assets or liabilities. The fair value hierarchy gives the highest priority to Level 1 inputs.</w:t>
      </w:r>
    </w:p>
    <w:p>
      <w:pPr>
        <w:spacing w:after="0" w:line="170" w:lineRule="exact"/>
        <w:rPr>
          <w:rFonts w:ascii="Arial" w:cs="Arial" w:eastAsia="Arial" w:hAnsi="Arial"/>
          <w:sz w:val="18"/>
          <w:szCs w:val="18"/>
          <w:color w:val="auto"/>
        </w:rPr>
      </w:pPr>
    </w:p>
    <w:p>
      <w:pPr>
        <w:jc w:val="both"/>
        <w:ind w:left="700" w:right="339" w:hanging="332"/>
        <w:spacing w:after="0" w:line="342"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2—Directly or indirectly observable inputs as of the reporting date through correlation with market data, including quoted prices for similar assets and liabilities in active markets and quoted prices in markets that are</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 w:name="page12"/>
    <w:bookmarkEnd w:id="1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700" w:right="159"/>
        <w:spacing w:after="0" w:line="259" w:lineRule="auto"/>
        <w:rPr>
          <w:sz w:val="20"/>
          <w:szCs w:val="20"/>
          <w:color w:val="auto"/>
        </w:rPr>
      </w:pPr>
      <w:r>
        <w:rPr>
          <w:rFonts w:ascii="Arial" w:cs="Arial" w:eastAsia="Arial" w:hAnsi="Arial"/>
          <w:sz w:val="18"/>
          <w:szCs w:val="18"/>
          <w:color w:val="auto"/>
        </w:rPr>
        <w:t>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187" w:lineRule="exact"/>
        <w:rPr>
          <w:sz w:val="20"/>
          <w:szCs w:val="20"/>
          <w:color w:val="auto"/>
        </w:rPr>
      </w:pPr>
    </w:p>
    <w:p>
      <w:pPr>
        <w:jc w:val="both"/>
        <w:ind w:left="700" w:right="279" w:hanging="332"/>
        <w:spacing w:after="0" w:line="263"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184" w:lineRule="exact"/>
        <w:rPr>
          <w:sz w:val="20"/>
          <w:szCs w:val="20"/>
          <w:color w:val="auto"/>
        </w:rPr>
      </w:pPr>
    </w:p>
    <w:p>
      <w:pPr>
        <w:ind w:left="40" w:right="279" w:firstLine="324"/>
        <w:spacing w:after="0" w:line="263" w:lineRule="auto"/>
        <w:rPr>
          <w:sz w:val="20"/>
          <w:szCs w:val="20"/>
          <w:color w:val="auto"/>
        </w:rPr>
      </w:pPr>
      <w:r>
        <w:rPr>
          <w:rFonts w:ascii="Arial" w:cs="Arial" w:eastAsia="Arial" w:hAnsi="Arial"/>
          <w:sz w:val="18"/>
          <w:szCs w:val="18"/>
          <w:color w:val="auto"/>
        </w:rPr>
        <w:t>In determining fair value, the Company utilizes valuation techniques that maximize the use of observable inputs and minimize the use of unobservable inputs to the extent possible, as well as considering counterparty credit risk in its assessment of fair value.</w:t>
      </w:r>
    </w:p>
    <w:p>
      <w:pPr>
        <w:spacing w:after="0" w:line="184" w:lineRule="exact"/>
        <w:rPr>
          <w:sz w:val="20"/>
          <w:szCs w:val="20"/>
          <w:color w:val="auto"/>
        </w:rPr>
      </w:pPr>
    </w:p>
    <w:p>
      <w:pPr>
        <w:ind w:left="40" w:right="299" w:firstLine="324"/>
        <w:spacing w:after="0" w:line="277" w:lineRule="auto"/>
        <w:rPr>
          <w:sz w:val="20"/>
          <w:szCs w:val="20"/>
          <w:color w:val="auto"/>
        </w:rPr>
      </w:pPr>
      <w:r>
        <w:rPr>
          <w:rFonts w:ascii="Arial" w:cs="Arial" w:eastAsia="Arial" w:hAnsi="Arial"/>
          <w:sz w:val="18"/>
          <w:szCs w:val="18"/>
          <w:color w:val="auto"/>
        </w:rPr>
        <w:t>The carrying amounts of cash equivalents, accounts payable and accrued expenses approximate fair value due to the short-term nature of these instruments.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left="40" w:right="79" w:firstLine="324"/>
        <w:spacing w:after="0" w:line="290" w:lineRule="auto"/>
        <w:rPr>
          <w:sz w:val="20"/>
          <w:szCs w:val="20"/>
          <w:color w:val="auto"/>
        </w:rPr>
      </w:pPr>
      <w:r>
        <w:rPr>
          <w:rFonts w:ascii="Arial" w:cs="Arial" w:eastAsia="Arial" w:hAnsi="Arial"/>
          <w:sz w:val="16"/>
          <w:szCs w:val="16"/>
          <w:color w:val="auto"/>
        </w:rPr>
        <w:t>The Company computes basic net loss per share by dividing net loss available to common stockholders by the weighted average number of common shares outstanding for the period and excludes the effects of any potentially dilutive securities. Diluted earnings per share, if presented, would include the dilution that would occur upon the exercise or conversion of all potentially dilutive securities into common stock using the “treasury stock” and/or “if converted” methods as applicable. The potential dilutive securities included outstanding options (for both employees and non-employees) for the three months ended March 31, 2020 and 2019. Such securities have not been included in the loss per share calculation since their impact would be anti-dilutive. There were 3,089,310 and 2,757,275 shares of options that were excluded from the calculation of the loss per share for the three months ended March 31, 2020 and 2019, respectively.</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40" w:right="159" w:firstLine="324"/>
        <w:spacing w:after="0" w:line="273" w:lineRule="auto"/>
        <w:rPr>
          <w:sz w:val="20"/>
          <w:szCs w:val="20"/>
          <w:color w:val="auto"/>
        </w:rPr>
      </w:pPr>
      <w:r>
        <w:rPr>
          <w:rFonts w:ascii="Arial" w:cs="Arial" w:eastAsia="Arial" w:hAnsi="Arial"/>
          <w:sz w:val="17"/>
          <w:szCs w:val="17"/>
          <w:color w:val="auto"/>
        </w:rPr>
        <w:t>In December 2019, the FASB issued ASU No. 2019-12, Income Taxes (Topic 740) which amends the existing guidance relating to the accounting for income taxes. This ASU is intended to simplify the accounting for income taxes by removing certain exceptions to the general principles of accounting for income taxes and to improve the consistent application of GAAP for other areas of accounting for income taxes by clarifying and amending existing guidance. The ASU is effective for fiscal years beginning after December 15, 2020. The Company does not expect that the adoption of this new guidance will have a material impact on the Company’s Financial Statements.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4. Transactions with BioXcel</w:t>
      </w:r>
    </w:p>
    <w:p>
      <w:pPr>
        <w:spacing w:after="0" w:line="229" w:lineRule="exact"/>
        <w:rPr>
          <w:sz w:val="20"/>
          <w:szCs w:val="20"/>
          <w:color w:val="auto"/>
        </w:rPr>
      </w:pPr>
    </w:p>
    <w:p>
      <w:pPr>
        <w:ind w:left="40" w:right="79" w:firstLine="324"/>
        <w:spacing w:after="0" w:line="286" w:lineRule="auto"/>
        <w:rPr>
          <w:sz w:val="20"/>
          <w:szCs w:val="20"/>
          <w:color w:val="auto"/>
        </w:rPr>
      </w:pPr>
      <w:r>
        <w:rPr>
          <w:rFonts w:ascii="Arial" w:cs="Arial" w:eastAsia="Arial" w:hAnsi="Arial"/>
          <w:sz w:val="16"/>
          <w:szCs w:val="16"/>
          <w:color w:val="auto"/>
        </w:rPr>
        <w:t>The Company has entered into the Amended and Restated Asset Contribution Agreement, pursuant to which BioXcel agreed to contribute BioXcel’s rights, title and interest in BXCL501, BXCL701, BXCL502 and BXCL702, and all of the assets and liabilities associated in consideration for (i) 9,480,000 shares of our common stock, (ii) $1,000 upon completion of an initial public offering, (iii) $500 upon the later of the 12 month anniversary of an initial public offering and the first dosing of a patient in the bridging bioavailability/ bioequivalence study for the BXCL501 program, (iv) $500 upon the later of the 12 month anniversary of an initial public offering and the first dosing of a patient in the Phase 2 proof of concept open label monotherapy or combination trial with Keytruda for the BXCL701 program and (v) a one-time payment of $5,000 within 60 days after the achievement of $50,000 in cumulative net sales of any product or combination of products resulting from the development and commercialization of any one of the Candidates or a product derived therefrom. With the completion of the Company’s IPO in March 2018, $1,000 was charged to Research and Development costs in connection with (ii) above and was paid on April 5, 2018. The Company paid $500 to BioXcel in connection with (iii) above in April 2019. In July 2019, the Company completed the first dosing of a patient in the combination trial of BXCL701 with Keytruda, and as a result the Company paid $500 to BioXcel in connection with (iv) above in July 2019.</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 w:name="page13"/>
    <w:bookmarkEnd w:id="1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firstLine="324"/>
        <w:spacing w:after="0" w:line="270" w:lineRule="auto"/>
        <w:rPr>
          <w:sz w:val="20"/>
          <w:szCs w:val="20"/>
          <w:color w:val="auto"/>
        </w:rPr>
      </w:pPr>
      <w:r>
        <w:rPr>
          <w:rFonts w:ascii="Arial" w:cs="Arial" w:eastAsia="Arial" w:hAnsi="Arial"/>
          <w:sz w:val="17"/>
          <w:szCs w:val="17"/>
          <w:color w:val="auto"/>
        </w:rPr>
        <w:t>The Company entered into a Separation and Shared Services Agreement with BioXcel that took effect on June 30, 2017, as amended and restated on November 7, 2017 and March 6, 2020, or the Services Agreement, pursuant to which BioXcel will allow us to continue to use the office space, equipment, services and leased employees based on the agreed upon terms and conditions for a payment of defined monthly and/or hourly fees. The office space and equipment portion of the Services Agreement ended effectively on April 30, 2018 when the Company moved to new office space to accommodate additional personnel that had been hired. Services provided by BioXcel through its subsidiaries in India and the United States will continue indefinitely, as agreed upon by the parties. These services are primarily for drug discovery and for chemical, manufacturing and controls cost. Service charges recorded under this agreement were $397 and $293 for the three months ended March 31, 2020 and 2019, respectively.</w:t>
      </w:r>
    </w:p>
    <w:p>
      <w:pPr>
        <w:spacing w:after="0" w:line="181" w:lineRule="exact"/>
        <w:rPr>
          <w:sz w:val="20"/>
          <w:szCs w:val="20"/>
          <w:color w:val="auto"/>
        </w:rPr>
      </w:pPr>
    </w:p>
    <w:p>
      <w:pPr>
        <w:ind w:left="40" w:right="79" w:firstLine="324"/>
        <w:spacing w:after="0" w:line="287" w:lineRule="auto"/>
        <w:rPr>
          <w:sz w:val="20"/>
          <w:szCs w:val="20"/>
          <w:color w:val="auto"/>
        </w:rPr>
      </w:pPr>
      <w:r>
        <w:rPr>
          <w:rFonts w:ascii="Arial" w:cs="Arial" w:eastAsia="Arial" w:hAnsi="Arial"/>
          <w:sz w:val="16"/>
          <w:szCs w:val="16"/>
          <w:color w:val="auto"/>
        </w:rPr>
        <w:t>Under the Services Agreement, the Company has an option, exercisable until December 31, 2020, to enter into a collaborative services agreement with BioXcel pursuant to which BioXcel shall perform product identification and related services for us utilizing EvolverAI. The parties are obligated to negotiate the collaborative services agreement in good faith and to incorporate reasonable market-based terms, including consideration for BioXcel reflecting a low, single-digit royalty on net sales and reasonable development and commercialization milestone payments, provided that (i) development milestones shall not exceed $10 million in the aggregate and not be payable prior to proof of concept in humans and (ii) commercialization milestones shall be based on reaching annual net sales levels, be limited to 3% of the applicable net sales level, and not exceed $30 million in the aggregate. BioXcel shall continue to make such product identification and related services available to us for at least five years from June 30, 2017. The parties are currently discussing extending the product identification and related services that BioXcel would provide under the collaborative services agreement, however, as of the date hereof, we have not reached a definitive agreement.</w:t>
      </w:r>
    </w:p>
    <w:p>
      <w:pPr>
        <w:spacing w:after="0" w:line="172" w:lineRule="exact"/>
        <w:rPr>
          <w:sz w:val="20"/>
          <w:szCs w:val="20"/>
          <w:color w:val="auto"/>
        </w:rPr>
      </w:pPr>
    </w:p>
    <w:p>
      <w:pPr>
        <w:ind w:left="40" w:right="59" w:firstLine="324"/>
        <w:spacing w:after="0" w:line="277" w:lineRule="auto"/>
        <w:rPr>
          <w:sz w:val="20"/>
          <w:szCs w:val="20"/>
          <w:color w:val="auto"/>
        </w:rPr>
      </w:pPr>
      <w:r>
        <w:rPr>
          <w:rFonts w:ascii="Arial" w:cs="Arial" w:eastAsia="Arial" w:hAnsi="Arial"/>
          <w:sz w:val="18"/>
          <w:szCs w:val="18"/>
          <w:color w:val="auto"/>
        </w:rPr>
        <w:t>The Company paid $9,024 for the purchase and subsequent cancellation of 300,000 shares owned by BioXcel, which is more fully discussed below under Note 8 to these financial statements.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Property &amp; Equipment</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net consisted of the following</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46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r>
      <w:tr>
        <w:trPr>
          <w:trHeight w:val="142"/>
        </w:trPr>
        <w:tc>
          <w:tcPr>
            <w:tcW w:w="46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36"/>
              <w:spacing w:after="0" w:line="142" w:lineRule="exact"/>
              <w:rPr>
                <w:sz w:val="20"/>
                <w:szCs w:val="20"/>
                <w:color w:val="auto"/>
              </w:rPr>
            </w:pPr>
            <w:r>
              <w:rPr>
                <w:rFonts w:ascii="Arial" w:cs="Arial" w:eastAsia="Arial" w:hAnsi="Arial"/>
                <w:sz w:val="14"/>
                <w:szCs w:val="14"/>
                <w:b w:val="1"/>
                <w:bCs w:val="1"/>
                <w:color w:val="auto"/>
                <w:w w:val="96"/>
              </w:rPr>
              <w:t>Unaudited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Computers and related equipment</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Furniture</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r>
      <w:tr>
        <w:trPr>
          <w:trHeight w:val="209"/>
        </w:trPr>
        <w:tc>
          <w:tcPr>
            <w:tcW w:w="46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1,215</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16"/>
        </w:trPr>
        <w:tc>
          <w:tcPr>
            <w:tcW w:w="46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w:t>
            </w: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Master Service Agreements</w:t>
      </w:r>
    </w:p>
    <w:p>
      <w:pPr>
        <w:spacing w:after="0" w:line="229" w:lineRule="exact"/>
        <w:rPr>
          <w:sz w:val="20"/>
          <w:szCs w:val="20"/>
          <w:color w:val="auto"/>
        </w:rPr>
      </w:pPr>
    </w:p>
    <w:p>
      <w:pPr>
        <w:ind w:left="40" w:right="99" w:firstLine="324"/>
        <w:spacing w:after="0" w:line="257" w:lineRule="auto"/>
        <w:rPr>
          <w:sz w:val="20"/>
          <w:szCs w:val="20"/>
          <w:color w:val="auto"/>
        </w:rPr>
      </w:pPr>
      <w:r>
        <w:rPr>
          <w:rFonts w:ascii="Arial" w:cs="Arial" w:eastAsia="Arial" w:hAnsi="Arial"/>
          <w:sz w:val="18"/>
          <w:szCs w:val="18"/>
          <w:color w:val="auto"/>
        </w:rPr>
        <w:t>The Company has entered into a Master Services Agreement (“MSA”) with a Contract Research Organization (“CRO”), dated November 1, 2018 for strategic planning, expert consultation, clinical trial services, statistical programming and analysis, data processing, data management, regulatory, clerical, project management, medical device services, and other research and development services as set forth in specific work orders. This agreement is for a period of five (5) years.</w:t>
      </w:r>
    </w:p>
    <w:p>
      <w:pPr>
        <w:spacing w:after="0" w:line="188" w:lineRule="exact"/>
        <w:rPr>
          <w:sz w:val="20"/>
          <w:szCs w:val="20"/>
          <w:color w:val="auto"/>
        </w:rPr>
      </w:pPr>
    </w:p>
    <w:p>
      <w:pPr>
        <w:ind w:left="40" w:right="299" w:firstLine="324"/>
        <w:spacing w:after="0" w:line="259" w:lineRule="auto"/>
        <w:rPr>
          <w:sz w:val="20"/>
          <w:szCs w:val="20"/>
          <w:color w:val="auto"/>
        </w:rPr>
      </w:pPr>
      <w:r>
        <w:rPr>
          <w:rFonts w:ascii="Arial" w:cs="Arial" w:eastAsia="Arial" w:hAnsi="Arial"/>
          <w:sz w:val="18"/>
          <w:szCs w:val="18"/>
          <w:color w:val="auto"/>
        </w:rPr>
        <w:t>Excluding the CRO’s property, all improvements, inventions, processes, techniques, work product, know-how, data and information generated, conceived, reduced to practice or derived under the MSA by the CRO or its personnel and subcontractors, shall be and remain the exclusive property of the Company, and any inventions that may evolve from the foregoing shall belong to the Company.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 w:name="page14"/>
    <w:bookmarkEnd w:id="1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19" w:firstLine="324"/>
        <w:spacing w:after="0" w:line="259" w:lineRule="auto"/>
        <w:rPr>
          <w:sz w:val="20"/>
          <w:szCs w:val="20"/>
          <w:color w:val="auto"/>
        </w:rPr>
      </w:pPr>
      <w:r>
        <w:rPr>
          <w:rFonts w:ascii="Arial" w:cs="Arial" w:eastAsia="Arial" w:hAnsi="Arial"/>
          <w:sz w:val="18"/>
          <w:szCs w:val="18"/>
          <w:color w:val="auto"/>
        </w:rPr>
        <w:t>The Company entered into a series of cancellable work orders to support its clinical trial activities, related to the first of the Company’s BXCL701 clinical trials. This clinical trial is expected to cost approximately $10,000 and is anticipated to take place over the next two years. To date, the Company has incurred $2,534 in costs for the work surrounding this trial.</w:t>
      </w:r>
    </w:p>
    <w:p>
      <w:pPr>
        <w:spacing w:after="0" w:line="187" w:lineRule="exact"/>
        <w:rPr>
          <w:sz w:val="20"/>
          <w:szCs w:val="20"/>
          <w:color w:val="auto"/>
        </w:rPr>
      </w:pPr>
    </w:p>
    <w:p>
      <w:pPr>
        <w:ind w:left="40" w:right="159" w:firstLine="324"/>
        <w:spacing w:after="0" w:line="301" w:lineRule="auto"/>
        <w:rPr>
          <w:sz w:val="20"/>
          <w:szCs w:val="20"/>
          <w:color w:val="auto"/>
        </w:rPr>
      </w:pPr>
      <w:r>
        <w:rPr>
          <w:rFonts w:ascii="Arial" w:cs="Arial" w:eastAsia="Arial" w:hAnsi="Arial"/>
          <w:sz w:val="16"/>
          <w:szCs w:val="16"/>
          <w:color w:val="auto"/>
        </w:rPr>
        <w:t>In the first quarter of 2019 the Company entered into a second series of cancellable work orders to support a second clinical trial related the Company’s BXCL 701 product candidate. This clinical trial is expected to aggregate approximate approximately $8,000 and it is anticipated to take place over the next three years. Approximately one half of this cost is to be reimbursed by a partner. The Company has incurred $1,237 of costs in connection with this trial.</w:t>
      </w:r>
    </w:p>
    <w:p>
      <w:pPr>
        <w:spacing w:after="0" w:line="157" w:lineRule="exact"/>
        <w:rPr>
          <w:sz w:val="20"/>
          <w:szCs w:val="20"/>
          <w:color w:val="auto"/>
        </w:rPr>
      </w:pPr>
    </w:p>
    <w:p>
      <w:pPr>
        <w:ind w:left="40" w:right="79" w:firstLine="324"/>
        <w:spacing w:after="0" w:line="296" w:lineRule="auto"/>
        <w:rPr>
          <w:sz w:val="20"/>
          <w:szCs w:val="20"/>
          <w:color w:val="auto"/>
        </w:rPr>
      </w:pPr>
      <w:r>
        <w:rPr>
          <w:rFonts w:ascii="Arial" w:cs="Arial" w:eastAsia="Arial" w:hAnsi="Arial"/>
          <w:sz w:val="16"/>
          <w:szCs w:val="16"/>
          <w:color w:val="auto"/>
        </w:rPr>
        <w:t>In addition, an MSA was signed with a second CRO during the first quarter of 2019 to include strategic planning, expert consultation, regulatory activities, data interpretation, New Drug Application (“NDA”) services, and research and development services, including clinical, data management, statistical and medical writing activities. This MSA supports BXCL501. The cost of these clinical trials are expected to aggregate approximately $14,700, and these trials are anticipated to take place during 2020. As of March 31, 2020, the Company has incurred $7,034 of costs in connection with these trials.</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left="40" w:right="79" w:firstLine="324"/>
        <w:spacing w:after="0" w:line="269" w:lineRule="auto"/>
        <w:rPr>
          <w:sz w:val="20"/>
          <w:szCs w:val="20"/>
          <w:color w:val="auto"/>
        </w:rPr>
      </w:pPr>
      <w:r>
        <w:rPr>
          <w:rFonts w:ascii="Arial" w:cs="Arial" w:eastAsia="Arial" w:hAnsi="Arial"/>
          <w:sz w:val="17"/>
          <w:szCs w:val="17"/>
          <w:color w:val="auto"/>
        </w:rPr>
        <w:t>In March 2020, the World Health Organization declared the outbreak of COVID-19, a novel strain of coronavirus, a global pandemic. This outbreak has caused and is continuing to cause major disruptions to businesses and financial markets worldwide. This may affect the Company’s operations and those of third parties on which the Company relies, including causing disruptions in the supply of the Company’s product candidates and the conduct of current and planned preclinical and clinical studies. The Company may need to limit its operations and may experience limitations in employee resources. There are risks that the COVID-19 pandemic may be more difficult to contain if it reaches a larger population or broader geography, in which case the risks described herein could increase significantly. The extent to which the COVID-19 pandemic impacts the Company’s results will depend on future developments, which are highly uncertain and cannot be predicted, including new information which may emerge concerning the severity of the coronavirus and the actions to contain the coronavirus or treat its impact, among others.</w:t>
      </w:r>
    </w:p>
    <w:p>
      <w:pPr>
        <w:spacing w:after="0" w:line="185" w:lineRule="exact"/>
        <w:rPr>
          <w:sz w:val="20"/>
          <w:szCs w:val="20"/>
          <w:color w:val="auto"/>
        </w:rPr>
      </w:pPr>
    </w:p>
    <w:p>
      <w:pPr>
        <w:ind w:left="40" w:right="79" w:firstLine="324"/>
        <w:spacing w:after="0" w:line="254" w:lineRule="auto"/>
        <w:rPr>
          <w:sz w:val="20"/>
          <w:szCs w:val="20"/>
          <w:color w:val="auto"/>
        </w:rPr>
      </w:pPr>
      <w:r>
        <w:rPr>
          <w:rFonts w:ascii="Arial" w:cs="Arial" w:eastAsia="Arial" w:hAnsi="Arial"/>
          <w:sz w:val="18"/>
          <w:szCs w:val="18"/>
          <w:color w:val="auto"/>
        </w:rPr>
        <w:t>Additionally, while the potential economic impact brought by, and the duration of, the COVID-19 pandemic is difficult to assess or predict, the impact of the coronavirus on the global financial markets may reduce the Company’s ability to access capital, which could negatively impact the Company’s short-term and long-term liquidity, and the Company’s ability to complete its preclinical and clinical studies on a timely basis, or at all. The ultimate impact of COVID-19 is highly uncertain and subject to change. The Company does not yet know the full extent of potential delays or impacts on its business, financing, preclinical and clinical trial activities or the global economy as a whole. However, these effects could have a material, adverse impact on the Company’s liquidity, capital resources, operations and business and those of the third parties on which the Company relies.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7. Accrued Expenses and Other Current Liabilities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Accrued expenses consist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December 31, 2019</w:t>
            </w:r>
          </w:p>
        </w:tc>
      </w:tr>
      <w:tr>
        <w:trPr>
          <w:trHeight w:val="142"/>
        </w:trPr>
        <w:tc>
          <w:tcPr>
            <w:tcW w:w="57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Drugs and clinical trial expenses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Accrued salaries, benefits and travel related costs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1,570</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Professional and consultant fees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Legal expenses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 administrative accruals</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574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3,120</w:t>
            </w:r>
          </w:p>
        </w:tc>
      </w:tr>
    </w:tbl>
    <w:p>
      <w:pPr>
        <w:spacing w:after="0" w:line="215" w:lineRule="exact"/>
        <w:rPr>
          <w:sz w:val="20"/>
          <w:szCs w:val="20"/>
          <w:color w:val="auto"/>
        </w:rPr>
      </w:pPr>
    </w:p>
    <w:p>
      <w:pPr>
        <w:jc w:val="both"/>
        <w:ind w:left="40" w:right="99"/>
        <w:spacing w:after="0" w:line="277" w:lineRule="auto"/>
        <w:rPr>
          <w:sz w:val="20"/>
          <w:szCs w:val="20"/>
          <w:color w:val="auto"/>
        </w:rPr>
      </w:pPr>
      <w:r>
        <w:rPr>
          <w:rFonts w:ascii="Arial" w:cs="Arial" w:eastAsia="Arial" w:hAnsi="Arial"/>
          <w:sz w:val="18"/>
          <w:szCs w:val="18"/>
          <w:color w:val="auto"/>
        </w:rPr>
        <w:t>Other current liabilities as of March 31, 2020 includes $192 for the current portion of Operating lease liabilities and $1,740 for the financing of insurance premiums.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 w:name="page15"/>
    <w:bookmarkEnd w:id="1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Stockholders’ Equity (Deficit)</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Authorized Capital</w:t>
      </w:r>
    </w:p>
    <w:p>
      <w:pPr>
        <w:spacing w:after="0" w:line="225" w:lineRule="exact"/>
        <w:rPr>
          <w:sz w:val="20"/>
          <w:szCs w:val="20"/>
          <w:color w:val="auto"/>
        </w:rPr>
      </w:pPr>
    </w:p>
    <w:p>
      <w:pPr>
        <w:ind w:left="40" w:right="659" w:firstLine="324"/>
        <w:spacing w:after="0" w:line="277" w:lineRule="auto"/>
        <w:rPr>
          <w:sz w:val="20"/>
          <w:szCs w:val="20"/>
          <w:color w:val="auto"/>
        </w:rPr>
      </w:pPr>
      <w:r>
        <w:rPr>
          <w:rFonts w:ascii="Arial" w:cs="Arial" w:eastAsia="Arial" w:hAnsi="Arial"/>
          <w:sz w:val="18"/>
          <w:szCs w:val="18"/>
          <w:color w:val="auto"/>
        </w:rPr>
        <w:t>The Company is authorized to issue up to 10,000,000 preferred shares with a par value of $0.001 per share. No preferred shares are issued and outstanding.</w:t>
      </w:r>
    </w:p>
    <w:p>
      <w:pPr>
        <w:spacing w:after="0" w:line="170" w:lineRule="exact"/>
        <w:rPr>
          <w:sz w:val="20"/>
          <w:szCs w:val="20"/>
          <w:color w:val="auto"/>
        </w:rPr>
      </w:pPr>
    </w:p>
    <w:p>
      <w:pPr>
        <w:jc w:val="both"/>
        <w:ind w:left="40" w:right="299" w:firstLine="324"/>
        <w:spacing w:after="0" w:line="263" w:lineRule="auto"/>
        <w:rPr>
          <w:sz w:val="20"/>
          <w:szCs w:val="20"/>
          <w:color w:val="auto"/>
        </w:rPr>
      </w:pPr>
      <w:r>
        <w:rPr>
          <w:rFonts w:ascii="Arial" w:cs="Arial" w:eastAsia="Arial" w:hAnsi="Arial"/>
          <w:sz w:val="18"/>
          <w:szCs w:val="18"/>
          <w:color w:val="auto"/>
        </w:rPr>
        <w:t>The Company is authorized to issue up to 50,000,000 shares of common stock with a par value of $0.001 per share. The Company had 20,182,382 and 18,087,382 shares of common stock outstanding as of March 31, 2020 and December 31, 2019, respectively.</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Description of Common Stock</w:t>
      </w:r>
    </w:p>
    <w:p>
      <w:pPr>
        <w:spacing w:after="0" w:line="225" w:lineRule="exact"/>
        <w:rPr>
          <w:sz w:val="20"/>
          <w:szCs w:val="20"/>
          <w:color w:val="auto"/>
        </w:rPr>
      </w:pPr>
    </w:p>
    <w:p>
      <w:pPr>
        <w:ind w:left="40" w:right="339" w:firstLine="324"/>
        <w:spacing w:after="0" w:line="277" w:lineRule="auto"/>
        <w:rPr>
          <w:sz w:val="20"/>
          <w:szCs w:val="20"/>
          <w:color w:val="auto"/>
        </w:rPr>
      </w:pPr>
      <w:r>
        <w:rPr>
          <w:rFonts w:ascii="Arial" w:cs="Arial" w:eastAsia="Arial" w:hAnsi="Arial"/>
          <w:sz w:val="18"/>
          <w:szCs w:val="18"/>
          <w:color w:val="auto"/>
        </w:rPr>
        <w:t>Each share of common stock has the right to one vote. The holders of common stock are entitled to dividends when funds are legally available and when declared by the board of directors.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Common Stock Issuances</w:t>
      </w:r>
    </w:p>
    <w:p>
      <w:pPr>
        <w:spacing w:after="0" w:line="225" w:lineRule="exact"/>
        <w:rPr>
          <w:sz w:val="20"/>
          <w:szCs w:val="20"/>
          <w:color w:val="auto"/>
        </w:rPr>
      </w:pPr>
    </w:p>
    <w:p>
      <w:pPr>
        <w:ind w:left="40" w:right="179" w:firstLine="324"/>
        <w:spacing w:after="0" w:line="273" w:lineRule="auto"/>
        <w:rPr>
          <w:sz w:val="20"/>
          <w:szCs w:val="20"/>
          <w:color w:val="auto"/>
        </w:rPr>
      </w:pPr>
      <w:r>
        <w:rPr>
          <w:rFonts w:ascii="Arial" w:cs="Arial" w:eastAsia="Arial" w:hAnsi="Arial"/>
          <w:sz w:val="17"/>
          <w:szCs w:val="17"/>
          <w:color w:val="auto"/>
        </w:rPr>
        <w:t>On May 20, 2019, the Company entered into an Open Market Sale Agreement (the “Sale Agreement”) with Jefferies LLC (“Jefferies”) pursuant to which the Company may offer and sell shares of its common stock, par value $0.001 per share (the “Common Stock”), having an initial offering price no greater than $20.0 million (the “Shares”), from time to time, through an “at the market offering” program under which Jefferies will act as sales agent. The Company sold 66,193 shares under the Sale Agreement for gross proceeds of $737, issuance costs of $350 or net proceeds of $387. The Sale Agreement was terminated by the Company on September 22, 2019</w:t>
      </w:r>
    </w:p>
    <w:p>
      <w:pPr>
        <w:spacing w:after="0" w:line="178" w:lineRule="exact"/>
        <w:rPr>
          <w:sz w:val="20"/>
          <w:szCs w:val="20"/>
          <w:color w:val="auto"/>
        </w:rPr>
      </w:pPr>
    </w:p>
    <w:p>
      <w:pPr>
        <w:ind w:left="40" w:right="119" w:firstLine="324"/>
        <w:spacing w:after="0" w:line="296" w:lineRule="auto"/>
        <w:rPr>
          <w:sz w:val="20"/>
          <w:szCs w:val="20"/>
          <w:color w:val="auto"/>
        </w:rPr>
      </w:pPr>
      <w:r>
        <w:rPr>
          <w:rFonts w:ascii="Arial" w:cs="Arial" w:eastAsia="Arial" w:hAnsi="Arial"/>
          <w:sz w:val="16"/>
          <w:szCs w:val="16"/>
          <w:color w:val="auto"/>
        </w:rPr>
        <w:t>On September 26, 2019, the Company entered into an underwriting agreement with several underwriters in connection with the issuance and sale by the Company in a public offering of 2,303,030 shares of the Company’s common stock at a public offering price of $8.25 per share, less underwriting discounts and commissions, pursuant to an effective shelf registration statement on Form S-3 (Registration No. 333-230674) and a related prospectus supplement filed with the SEC (the “September 2019 Offering”). The September 2019 Offering closed on September 30, 2019.</w:t>
      </w:r>
    </w:p>
    <w:p>
      <w:pPr>
        <w:spacing w:after="0" w:line="161" w:lineRule="exact"/>
        <w:rPr>
          <w:sz w:val="20"/>
          <w:szCs w:val="20"/>
          <w:color w:val="auto"/>
        </w:rPr>
      </w:pPr>
    </w:p>
    <w:p>
      <w:pPr>
        <w:ind w:left="40" w:right="119" w:firstLine="324"/>
        <w:spacing w:after="0" w:line="279" w:lineRule="auto"/>
        <w:rPr>
          <w:sz w:val="20"/>
          <w:szCs w:val="20"/>
          <w:color w:val="auto"/>
        </w:rPr>
      </w:pPr>
      <w:r>
        <w:rPr>
          <w:rFonts w:ascii="Arial" w:cs="Arial" w:eastAsia="Arial" w:hAnsi="Arial"/>
          <w:sz w:val="17"/>
          <w:szCs w:val="17"/>
          <w:color w:val="auto"/>
        </w:rPr>
        <w:t>The Company received proceeds of approximately $17,423, net of issuance costs of $1,577 from the September 2019 Offering. The Company intends to use the net proceeds for general corporate purposes, which may include development and commercialization of their product candidates, research and development, general and administrative expenses, license or technology acquisitions, and working capital and capital expenditures.</w:t>
      </w:r>
    </w:p>
    <w:p>
      <w:pPr>
        <w:spacing w:after="0" w:line="171" w:lineRule="exact"/>
        <w:rPr>
          <w:sz w:val="20"/>
          <w:szCs w:val="20"/>
          <w:color w:val="auto"/>
        </w:rPr>
      </w:pPr>
    </w:p>
    <w:p>
      <w:pPr>
        <w:ind w:left="40" w:right="59" w:firstLine="324"/>
        <w:spacing w:after="0" w:line="301" w:lineRule="auto"/>
        <w:rPr>
          <w:sz w:val="20"/>
          <w:szCs w:val="20"/>
          <w:color w:val="auto"/>
        </w:rPr>
      </w:pPr>
      <w:r>
        <w:rPr>
          <w:rFonts w:ascii="Arial" w:cs="Arial" w:eastAsia="Arial" w:hAnsi="Arial"/>
          <w:sz w:val="16"/>
          <w:szCs w:val="16"/>
          <w:color w:val="auto"/>
        </w:rPr>
        <w:t>In February 2020, the Company sold in a registered offering 2,300,000 shares of our common stock at a public offering price of $32.00 per share for gross proceeds of $73,600 less underwriting discounts and commissions. The Company received proceeds of approximately $68,811, net of issuance costs of $4,789 from the February 2020 offering. The Company used $9,024 of the proceeds to purchase and cancel 300,000 shares of common stock from BioXcel.</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 Stock-Based Compensation</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40" w:right="79" w:firstLine="324"/>
        <w:spacing w:after="0" w:line="263" w:lineRule="auto"/>
        <w:rPr>
          <w:sz w:val="20"/>
          <w:szCs w:val="20"/>
          <w:color w:val="auto"/>
        </w:rPr>
      </w:pPr>
      <w:r>
        <w:rPr>
          <w:rFonts w:ascii="Arial" w:cs="Arial" w:eastAsia="Arial" w:hAnsi="Arial"/>
          <w:sz w:val="18"/>
          <w:szCs w:val="18"/>
          <w:color w:val="auto"/>
        </w:rPr>
        <w:t>The Company’s 2017 Stock Incentive Plan (the “2017 Stock Plan”) became effective in August 2017 and will expire in August 2027. Under the 2017 Stock Plan, the Company may grant incentive stock options, non-statutory stock options, restricted stock awards and other stock-based awards.</w:t>
      </w:r>
    </w:p>
    <w:p>
      <w:pPr>
        <w:spacing w:after="0" w:line="184" w:lineRule="exact"/>
        <w:rPr>
          <w:sz w:val="20"/>
          <w:szCs w:val="20"/>
          <w:color w:val="auto"/>
        </w:rPr>
      </w:pPr>
    </w:p>
    <w:p>
      <w:pPr>
        <w:jc w:val="both"/>
        <w:ind w:left="40" w:right="99" w:firstLine="324"/>
        <w:spacing w:after="0" w:line="263" w:lineRule="auto"/>
        <w:rPr>
          <w:sz w:val="20"/>
          <w:szCs w:val="20"/>
          <w:color w:val="auto"/>
        </w:rPr>
      </w:pPr>
      <w:r>
        <w:rPr>
          <w:rFonts w:ascii="Arial" w:cs="Arial" w:eastAsia="Arial" w:hAnsi="Arial"/>
          <w:sz w:val="18"/>
          <w:szCs w:val="18"/>
          <w:color w:val="auto"/>
        </w:rPr>
        <w:t>As of March 31, 2020, there were 3,294,956 shares of the Company’s common stock authorized for issuance under the 2017 Stock Plan. Options granted under the 2017 Stock Plan have a term of ten years with vesting terms determined by the board of directors, which is generally four years.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79" w:firstLine="324"/>
        <w:spacing w:after="0" w:line="277" w:lineRule="auto"/>
        <w:rPr>
          <w:sz w:val="20"/>
          <w:szCs w:val="20"/>
          <w:color w:val="auto"/>
        </w:rPr>
      </w:pPr>
      <w:r>
        <w:rPr>
          <w:rFonts w:ascii="Arial" w:cs="Arial" w:eastAsia="Arial" w:hAnsi="Arial"/>
          <w:sz w:val="18"/>
          <w:szCs w:val="18"/>
          <w:color w:val="auto"/>
        </w:rPr>
        <w:t>The fair value of options granted during the three months ended March 31, 2020 was estimated using the Black-Scholes option-pricing model with the following assumptions.</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For the</w:t>
            </w:r>
          </w:p>
        </w:tc>
        <w:tc>
          <w:tcPr>
            <w:tcW w:w="160" w:type="dxa"/>
            <w:vAlign w:val="bottom"/>
          </w:tcPr>
          <w:p>
            <w:pPr>
              <w:spacing w:after="0"/>
              <w:rPr>
                <w:sz w:val="14"/>
                <w:szCs w:val="14"/>
                <w:color w:val="auto"/>
              </w:rPr>
            </w:pPr>
          </w:p>
        </w:tc>
      </w:tr>
      <w:tr>
        <w:trPr>
          <w:trHeight w:val="149"/>
        </w:trPr>
        <w:tc>
          <w:tcPr>
            <w:tcW w:w="5580" w:type="dxa"/>
            <w:vAlign w:val="bottom"/>
          </w:tcPr>
          <w:p>
            <w:pPr>
              <w:spacing w:after="0"/>
              <w:rPr>
                <w:sz w:val="12"/>
                <w:szCs w:val="12"/>
                <w:color w:val="auto"/>
              </w:rPr>
            </w:pPr>
          </w:p>
        </w:tc>
        <w:tc>
          <w:tcPr>
            <w:tcW w:w="13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2"/>
                <w:szCs w:val="12"/>
                <w:color w:val="auto"/>
              </w:rPr>
            </w:pPr>
          </w:p>
        </w:tc>
      </w:tr>
      <w:tr>
        <w:trPr>
          <w:trHeight w:val="171"/>
        </w:trPr>
        <w:tc>
          <w:tcPr>
            <w:tcW w:w="5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March 31, 2020</w:t>
            </w:r>
          </w:p>
        </w:tc>
        <w:tc>
          <w:tcPr>
            <w:tcW w:w="160" w:type="dxa"/>
            <w:vAlign w:val="bottom"/>
            <w:tcBorders>
              <w:bottom w:val="single" w:sz="8" w:color="CCEEFF"/>
            </w:tcBorders>
          </w:tcPr>
          <w:p>
            <w:pPr>
              <w:spacing w:after="0"/>
              <w:rPr>
                <w:sz w:val="14"/>
                <w:szCs w:val="14"/>
                <w:color w:val="auto"/>
              </w:rPr>
            </w:pPr>
          </w:p>
        </w:tc>
      </w:tr>
      <w:tr>
        <w:trPr>
          <w:trHeight w:val="209"/>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Exercise price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13.60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16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78.25</w:t>
            </w:r>
          </w:p>
        </w:tc>
        <w:tc>
          <w:tcPr>
            <w:tcW w:w="320" w:type="dxa"/>
            <w:vAlign w:val="bottom"/>
          </w:tcPr>
          <w:p>
            <w:pPr>
              <w:jc w:val="right"/>
              <w:spacing w:after="0"/>
              <w:rPr>
                <w:sz w:val="20"/>
                <w:szCs w:val="20"/>
                <w:color w:val="auto"/>
              </w:rPr>
            </w:pPr>
            <w:r>
              <w:rPr>
                <w:rFonts w:ascii="Arial" w:cs="Arial" w:eastAsia="Arial" w:hAnsi="Arial"/>
                <w:sz w:val="18"/>
                <w:szCs w:val="18"/>
                <w:color w:val="auto"/>
                <w:w w:val="88"/>
              </w:rPr>
              <w:t>% -</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80.76</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Risk-free rate of interest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Fair value of grants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9.04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-$23.58</w:t>
            </w:r>
          </w:p>
        </w:tc>
        <w:tc>
          <w:tcPr>
            <w:tcW w:w="16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40" w:right="139" w:firstLine="324"/>
        <w:spacing w:after="0" w:line="270" w:lineRule="auto"/>
        <w:rPr>
          <w:sz w:val="20"/>
          <w:szCs w:val="20"/>
          <w:color w:val="auto"/>
        </w:rPr>
      </w:pPr>
      <w:r>
        <w:rPr>
          <w:rFonts w:ascii="Arial" w:cs="Arial" w:eastAsia="Arial" w:hAnsi="Arial"/>
          <w:sz w:val="17"/>
          <w:szCs w:val="17"/>
          <w:color w:val="auto"/>
        </w:rPr>
        <w:t>Prior to the Company’s IPO, it did not have a history of market prices of its common stock and, as such, volatility was estimated using historical volatilities of similar public companies. The expected term of the employee awards is estimated based on the simplified method, which calculates the expected term based upon the midpoint of the term of the award and the vesting period. The Company uses the simplified method because it does not have sufficient option exercise data to provide a reasonable basis upon which to estimate the expected term. The expected term of non-employee awards represents the awards contractual term. The expected dividend yield is 0% as the Company has no history of paying dividends nor does management expect to pay dividends over the contractual terms of these options. The risk-free interest rates are based on the United States Treasury yield curve in effect at the time of grant, with maturities approximating the expected term of the stock options.</w:t>
      </w:r>
    </w:p>
    <w:p>
      <w:pPr>
        <w:spacing w:after="0" w:line="181" w:lineRule="exact"/>
        <w:rPr>
          <w:sz w:val="20"/>
          <w:szCs w:val="20"/>
          <w:color w:val="auto"/>
        </w:rPr>
      </w:pPr>
    </w:p>
    <w:p>
      <w:pPr>
        <w:ind w:left="40" w:right="599" w:firstLine="324"/>
        <w:spacing w:after="0" w:line="277" w:lineRule="auto"/>
        <w:rPr>
          <w:sz w:val="20"/>
          <w:szCs w:val="20"/>
          <w:color w:val="auto"/>
        </w:rPr>
      </w:pPr>
      <w:r>
        <w:rPr>
          <w:rFonts w:ascii="Arial" w:cs="Arial" w:eastAsia="Arial" w:hAnsi="Arial"/>
          <w:sz w:val="18"/>
          <w:szCs w:val="18"/>
          <w:color w:val="auto"/>
        </w:rPr>
        <w:t>The following table summarizes information about stock option activity under the 2017 Stock Plan for the three months ended March 31, 2020 (in thousands, except share and per share data):</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4"/>
                <w:szCs w:val="14"/>
                <w:color w:val="auto"/>
              </w:rPr>
            </w:pPr>
          </w:p>
        </w:tc>
        <w:tc>
          <w:tcPr>
            <w:tcW w:w="14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1"/>
              </w:rPr>
              <w:t>Weighted Average</w:t>
            </w:r>
          </w:p>
        </w:tc>
        <w:tc>
          <w:tcPr>
            <w:tcW w:w="240" w:type="dxa"/>
            <w:vAlign w:val="bottom"/>
          </w:tcPr>
          <w:p>
            <w:pPr>
              <w:spacing w:after="0"/>
              <w:rPr>
                <w:sz w:val="14"/>
                <w:szCs w:val="14"/>
                <w:color w:val="auto"/>
              </w:rPr>
            </w:pPr>
          </w:p>
        </w:tc>
        <w:tc>
          <w:tcPr>
            <w:tcW w:w="12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Total</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Exercise</w:t>
            </w:r>
          </w:p>
        </w:tc>
        <w:tc>
          <w:tcPr>
            <w:tcW w:w="24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Intrinsic</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Price per Share</w:t>
            </w:r>
          </w:p>
        </w:tc>
        <w:tc>
          <w:tcPr>
            <w:tcW w:w="24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3,058,349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34,725</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920" w:type="dxa"/>
            <w:vAlign w:val="bottom"/>
          </w:tcPr>
          <w:p>
            <w:pPr>
              <w:ind w:left="220"/>
              <w:spacing w:after="0"/>
              <w:rPr>
                <w:sz w:val="20"/>
                <w:szCs w:val="20"/>
                <w:color w:val="auto"/>
              </w:rPr>
            </w:pPr>
            <w:r>
              <w:rPr>
                <w:rFonts w:ascii="Arial" w:cs="Arial" w:eastAsia="Arial" w:hAnsi="Arial"/>
                <w:sz w:val="18"/>
                <w:szCs w:val="18"/>
                <w:color w:val="auto"/>
              </w:rPr>
              <w:t>Options 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17.18</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forfeited</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20"/>
              <w:spacing w:after="0"/>
              <w:rPr>
                <w:sz w:val="20"/>
                <w:szCs w:val="20"/>
                <w:color w:val="auto"/>
              </w:rPr>
            </w:pPr>
            <w:r>
              <w:rPr>
                <w:rFonts w:ascii="Arial" w:cs="Arial" w:eastAsia="Arial" w:hAnsi="Arial"/>
                <w:sz w:val="18"/>
                <w:szCs w:val="18"/>
                <w:color w:val="auto"/>
              </w:rPr>
              <w:t>Options exercised</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(95,000)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0.41</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March 31, 2020</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3,063,015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56,901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Options vested and exercisable as of</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March 31, 2020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2,132,356</w:t>
            </w: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43,269</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were 231,941 shares available for grant as of March 31, 2020.</w:t>
      </w:r>
    </w:p>
    <w:p>
      <w:pPr>
        <w:spacing w:after="0" w:line="185" w:lineRule="exact"/>
        <w:rPr>
          <w:sz w:val="20"/>
          <w:szCs w:val="20"/>
          <w:color w:val="auto"/>
        </w:rPr>
      </w:pPr>
    </w:p>
    <w:p>
      <w:pPr>
        <w:ind w:left="40" w:right="419" w:firstLine="324"/>
        <w:spacing w:after="0" w:line="277" w:lineRule="auto"/>
        <w:rPr>
          <w:sz w:val="20"/>
          <w:szCs w:val="20"/>
          <w:color w:val="auto"/>
        </w:rPr>
      </w:pPr>
      <w:r>
        <w:rPr>
          <w:rFonts w:ascii="Arial" w:cs="Arial" w:eastAsia="Arial" w:hAnsi="Arial"/>
          <w:sz w:val="18"/>
          <w:szCs w:val="18"/>
          <w:color w:val="auto"/>
        </w:rPr>
        <w:t>The Company recognized stock-based compensation expense under the 2017 Stock Plan of $768 and $659 for the three months ended March 31, 2020 and 2019, respectively.</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total grant-date fair value of options was $1,195 for the three months ended March 31, 2020.</w:t>
      </w:r>
    </w:p>
    <w:p>
      <w:pPr>
        <w:spacing w:after="0" w:line="185" w:lineRule="exact"/>
        <w:rPr>
          <w:sz w:val="20"/>
          <w:szCs w:val="20"/>
          <w:color w:val="auto"/>
        </w:rPr>
      </w:pPr>
    </w:p>
    <w:p>
      <w:pPr>
        <w:ind w:left="40" w:right="379" w:firstLine="324"/>
        <w:spacing w:after="0" w:line="263" w:lineRule="auto"/>
        <w:rPr>
          <w:sz w:val="20"/>
          <w:szCs w:val="20"/>
          <w:color w:val="auto"/>
        </w:rPr>
      </w:pPr>
      <w:r>
        <w:rPr>
          <w:rFonts w:ascii="Arial" w:cs="Arial" w:eastAsia="Arial" w:hAnsi="Arial"/>
          <w:sz w:val="18"/>
          <w:szCs w:val="18"/>
          <w:color w:val="auto"/>
        </w:rPr>
        <w:t>Unrecognized compensation expense related to unvested awards as of March 31, 2020 was $3,198 and will be recognized over the remaining vesting periods of the underlying awards. The weighted-average period over which such compensation is expected to be recognized is 1.2 years.</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BioXcel Charges</w:t>
      </w:r>
    </w:p>
    <w:p>
      <w:pPr>
        <w:spacing w:after="0" w:line="198" w:lineRule="exact"/>
        <w:rPr>
          <w:sz w:val="20"/>
          <w:szCs w:val="20"/>
          <w:color w:val="auto"/>
        </w:rPr>
      </w:pPr>
    </w:p>
    <w:p>
      <w:pPr>
        <w:ind w:left="40" w:right="139" w:firstLine="359"/>
        <w:spacing w:after="0" w:line="296" w:lineRule="auto"/>
        <w:rPr>
          <w:sz w:val="20"/>
          <w:szCs w:val="20"/>
          <w:color w:val="auto"/>
        </w:rPr>
      </w:pPr>
      <w:r>
        <w:rPr>
          <w:rFonts w:ascii="Arial" w:cs="Arial" w:eastAsia="Arial" w:hAnsi="Arial"/>
          <w:sz w:val="16"/>
          <w:szCs w:val="16"/>
          <w:color w:val="auto"/>
        </w:rPr>
        <w:t>BioXcel has granted stock options to its employees under its own Equity Incentive Plan (“BioXcel Plan”). Stock-based compensation expense from the BioXcel Plan is allocated to the Company over the period over which those stock option awards vest and are based on the percentage of time spent on Company activities compared to BioXcel activities, which is the same basis used for allocation of salary costs. The BioXcel stock option awards are valued at fair value on the date of grant and that fair value is recognized over the requisite service period. The estimated fair value of these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 w:name="page17"/>
    <w:bookmarkEnd w:id="1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spacing w:after="0" w:line="342" w:lineRule="auto"/>
        <w:rPr>
          <w:sz w:val="20"/>
          <w:szCs w:val="20"/>
          <w:color w:val="auto"/>
        </w:rPr>
      </w:pPr>
      <w:r>
        <w:rPr>
          <w:rFonts w:ascii="Arial" w:cs="Arial" w:eastAsia="Arial" w:hAnsi="Arial"/>
          <w:sz w:val="16"/>
          <w:szCs w:val="16"/>
          <w:color w:val="auto"/>
        </w:rPr>
        <w:t>BioXcel stock option awards was determined using the Black Scholes option pricing model on the date of grant. Significant judgment and estimates were used to estimate the fair value of these awards, as they are not publicly traded.</w:t>
      </w:r>
    </w:p>
    <w:p>
      <w:pPr>
        <w:spacing w:after="0" w:line="83" w:lineRule="exact"/>
        <w:rPr>
          <w:sz w:val="20"/>
          <w:szCs w:val="20"/>
          <w:color w:val="auto"/>
        </w:rPr>
      </w:pPr>
    </w:p>
    <w:p>
      <w:pPr>
        <w:ind w:left="40" w:right="179" w:firstLine="360"/>
        <w:spacing w:after="0" w:line="263" w:lineRule="auto"/>
        <w:rPr>
          <w:sz w:val="20"/>
          <w:szCs w:val="20"/>
          <w:color w:val="auto"/>
        </w:rPr>
      </w:pPr>
      <w:r>
        <w:rPr>
          <w:rFonts w:ascii="Arial" w:cs="Arial" w:eastAsia="Arial" w:hAnsi="Arial"/>
          <w:sz w:val="18"/>
          <w:szCs w:val="18"/>
          <w:color w:val="auto"/>
        </w:rPr>
        <w:t>Share based compensation expense (income), net of forfeitures, recognized by the Company in its statements of operations related to BioXcel equity awards totaled approximately $8 and $23 for the three months ended March 31, 2020 and 2019, respectively.</w:t>
      </w:r>
    </w:p>
    <w:p>
      <w:pPr>
        <w:spacing w:after="0" w:line="157" w:lineRule="exact"/>
        <w:rPr>
          <w:sz w:val="20"/>
          <w:szCs w:val="20"/>
          <w:color w:val="auto"/>
        </w:rPr>
      </w:pPr>
    </w:p>
    <w:p>
      <w:pPr>
        <w:ind w:left="40" w:right="59" w:firstLine="359"/>
        <w:spacing w:after="0" w:line="301" w:lineRule="auto"/>
        <w:rPr>
          <w:sz w:val="20"/>
          <w:szCs w:val="20"/>
          <w:color w:val="auto"/>
        </w:rPr>
      </w:pPr>
      <w:r>
        <w:rPr>
          <w:rFonts w:ascii="Arial" w:cs="Arial" w:eastAsia="Arial" w:hAnsi="Arial"/>
          <w:sz w:val="16"/>
          <w:szCs w:val="16"/>
          <w:color w:val="auto"/>
        </w:rPr>
        <w:t>Total share based compensation charges were approximately $776 and $682 for the three months ended March 31, 2020 and 2019, respectively. The Company charged $466 and 310 to research and development and general and administrative expense for the three months ended March 31, 2020, respectively. The Company charged $453 and 229 to research and development and general and administrative expense for the three months ended March 31, 2019, respectively.</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10. Income Taxes</w:t>
      </w:r>
    </w:p>
    <w:p>
      <w:pPr>
        <w:spacing w:after="0" w:line="189" w:lineRule="exact"/>
        <w:rPr>
          <w:sz w:val="20"/>
          <w:szCs w:val="20"/>
          <w:color w:val="auto"/>
        </w:rPr>
      </w:pPr>
    </w:p>
    <w:p>
      <w:pPr>
        <w:ind w:left="40" w:right="99" w:firstLine="324"/>
        <w:spacing w:after="0" w:line="301" w:lineRule="auto"/>
        <w:rPr>
          <w:sz w:val="20"/>
          <w:szCs w:val="20"/>
          <w:color w:val="auto"/>
        </w:rPr>
      </w:pPr>
      <w:r>
        <w:rPr>
          <w:rFonts w:ascii="Arial" w:cs="Arial" w:eastAsia="Arial" w:hAnsi="Arial"/>
          <w:sz w:val="16"/>
          <w:szCs w:val="16"/>
          <w:color w:val="auto"/>
        </w:rPr>
        <w:t>Deferred income tax assets and liabilities are recognized for the estimated future tax consequences attributable to differences between the financial reporting and tax bases of assets and liabilities and are measured using enacted tax rates in effect for the year in which those temporary differences are expected to be recovered or settled. A valuation allowance is provided for the amount of deferred tax assets that, based on available evidence, are not expected to be realized.</w:t>
      </w:r>
    </w:p>
    <w:p>
      <w:pPr>
        <w:spacing w:after="0" w:line="130" w:lineRule="exact"/>
        <w:rPr>
          <w:sz w:val="20"/>
          <w:szCs w:val="20"/>
          <w:color w:val="auto"/>
        </w:rPr>
      </w:pPr>
    </w:p>
    <w:p>
      <w:pPr>
        <w:jc w:val="both"/>
        <w:ind w:left="40" w:right="119" w:firstLine="324"/>
        <w:spacing w:after="0" w:line="263" w:lineRule="auto"/>
        <w:rPr>
          <w:sz w:val="20"/>
          <w:szCs w:val="20"/>
          <w:color w:val="auto"/>
        </w:rPr>
      </w:pPr>
      <w:r>
        <w:rPr>
          <w:rFonts w:ascii="Arial" w:cs="Arial" w:eastAsia="Arial" w:hAnsi="Arial"/>
          <w:sz w:val="18"/>
          <w:szCs w:val="18"/>
          <w:color w:val="auto"/>
        </w:rPr>
        <w:t>As a result of the Company’s cumulative losses, management has concluded that a full valuation allowance against the Company’s net deferred tax assets is appropriate. No income tax liabilities existed as of March 31, 2020 and December 31, 2019 due to the Company’s continuing operating losses.</w:t>
      </w:r>
    </w:p>
    <w:p>
      <w:pPr>
        <w:spacing w:after="0" w:line="184" w:lineRule="exact"/>
        <w:rPr>
          <w:sz w:val="20"/>
          <w:szCs w:val="20"/>
          <w:color w:val="auto"/>
        </w:rPr>
      </w:pPr>
    </w:p>
    <w:p>
      <w:pPr>
        <w:ind w:left="40" w:right="219" w:firstLine="324"/>
        <w:spacing w:after="0" w:line="271" w:lineRule="auto"/>
        <w:rPr>
          <w:sz w:val="20"/>
          <w:szCs w:val="20"/>
          <w:color w:val="auto"/>
        </w:rPr>
      </w:pPr>
      <w:r>
        <w:rPr>
          <w:rFonts w:ascii="Arial" w:cs="Arial" w:eastAsia="Arial" w:hAnsi="Arial"/>
          <w:sz w:val="17"/>
          <w:szCs w:val="17"/>
          <w:color w:val="auto"/>
        </w:rPr>
        <w:t>The Coronavirus Aid, Relief, and Economic Security Act (“CARES Act”) enacted on March 27, 2020 temporarily modifies the federal income tax rules on net operating losses incurred in 2018, 2019, and 2020. Under the CARES Act, a taxpayer that incurs in 2020 or has incurred during 2019 or 2018 an NOL is permitted to carryback such NOL to the prior five years to offset prior year income to claim a tax refund of previously paid federal income taxes. As a result of the Company’s losses since inception it would not benefit from this provision. The Act retroactively suspends the 80% income limitation on use of NOL carryovers for taxable years beginning before January 1, 2021, and allows 100% of any such taxable income to be offset by the amount of such NOL carryforward. This 80% income limitation is reinstated for tax years beginning after December 31, 2020.</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11. Leases</w:t>
      </w:r>
    </w:p>
    <w:p>
      <w:pPr>
        <w:spacing w:after="0" w:line="189" w:lineRule="exact"/>
        <w:rPr>
          <w:sz w:val="20"/>
          <w:szCs w:val="20"/>
          <w:color w:val="auto"/>
        </w:rPr>
      </w:pPr>
    </w:p>
    <w:p>
      <w:pPr>
        <w:ind w:left="40" w:right="399" w:firstLine="324"/>
        <w:spacing w:after="0" w:line="263" w:lineRule="auto"/>
        <w:rPr>
          <w:sz w:val="20"/>
          <w:szCs w:val="20"/>
          <w:color w:val="auto"/>
        </w:rPr>
      </w:pPr>
      <w:r>
        <w:rPr>
          <w:rFonts w:ascii="Arial" w:cs="Arial" w:eastAsia="Arial" w:hAnsi="Arial"/>
          <w:sz w:val="18"/>
          <w:szCs w:val="18"/>
          <w:color w:val="auto"/>
        </w:rPr>
        <w:t>The Company entered into an agreement to lease approximately 11,040 square feet of space on the 12</w:t>
      </w:r>
      <w:r>
        <w:rPr>
          <w:rFonts w:ascii="Arial" w:cs="Arial" w:eastAsia="Arial" w:hAnsi="Arial"/>
          <w:sz w:val="8"/>
          <w:szCs w:val="8"/>
          <w:color w:val="auto"/>
        </w:rPr>
        <w:t>th</w:t>
      </w:r>
      <w:r>
        <w:rPr>
          <w:rFonts w:ascii="Arial" w:cs="Arial" w:eastAsia="Arial" w:hAnsi="Arial"/>
          <w:sz w:val="18"/>
          <w:szCs w:val="18"/>
          <w:color w:val="auto"/>
        </w:rPr>
        <w:t xml:space="preserve"> floor of the building located at 555 Long Wharf Drive, New Haven, Connecticut that commenced February 22, 2019, or the Commencement Date. The premises were occupied in March 2019.</w:t>
      </w:r>
    </w:p>
    <w:p>
      <w:pPr>
        <w:spacing w:after="0" w:line="184" w:lineRule="exact"/>
        <w:rPr>
          <w:sz w:val="20"/>
          <w:szCs w:val="20"/>
          <w:color w:val="auto"/>
        </w:rPr>
      </w:pPr>
    </w:p>
    <w:p>
      <w:pPr>
        <w:ind w:left="40" w:right="359" w:firstLine="324"/>
        <w:spacing w:after="0" w:line="277" w:lineRule="auto"/>
        <w:rPr>
          <w:sz w:val="20"/>
          <w:szCs w:val="20"/>
          <w:color w:val="auto"/>
        </w:rPr>
      </w:pPr>
      <w:r>
        <w:rPr>
          <w:rFonts w:ascii="Arial" w:cs="Arial" w:eastAsia="Arial" w:hAnsi="Arial"/>
          <w:sz w:val="18"/>
          <w:szCs w:val="18"/>
          <w:color w:val="auto"/>
        </w:rPr>
        <w:t>The term of the 12</w:t>
      </w:r>
      <w:r>
        <w:rPr>
          <w:rFonts w:ascii="Arial" w:cs="Arial" w:eastAsia="Arial" w:hAnsi="Arial"/>
          <w:sz w:val="8"/>
          <w:szCs w:val="8"/>
          <w:color w:val="auto"/>
        </w:rPr>
        <w:t>th</w:t>
      </w:r>
      <w:r>
        <w:rPr>
          <w:rFonts w:ascii="Arial" w:cs="Arial" w:eastAsia="Arial" w:hAnsi="Arial"/>
          <w:sz w:val="18"/>
          <w:szCs w:val="18"/>
          <w:color w:val="auto"/>
        </w:rPr>
        <w:t xml:space="preserve"> floor lease continues from the Commencement Date through the last day of the calendar month immediately following the seventh anniversary of the Commencement Date.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Company’s improvement costs were approximately $642 and are being amortized over the life of the lease.</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 w:name="page18"/>
    <w:bookmarkEnd w:id="1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Maturities of the operating lease liability are as follows: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626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140" w:type="dxa"/>
            <w:vAlign w:val="bottom"/>
          </w:tcPr>
          <w:p>
            <w:pPr>
              <w:spacing w:after="0"/>
              <w:rPr>
                <w:sz w:val="14"/>
                <w:szCs w:val="14"/>
                <w:color w:val="auto"/>
              </w:rPr>
            </w:pPr>
          </w:p>
        </w:tc>
        <w:tc>
          <w:tcPr>
            <w:tcW w:w="720" w:type="dxa"/>
            <w:vAlign w:val="bottom"/>
          </w:tcPr>
          <w:p>
            <w:pPr>
              <w:jc w:val="right"/>
              <w:ind w:right="92"/>
              <w:spacing w:after="0"/>
              <w:rPr>
                <w:sz w:val="20"/>
                <w:szCs w:val="20"/>
                <w:color w:val="auto"/>
              </w:rPr>
            </w:pPr>
            <w:r>
              <w:rPr>
                <w:rFonts w:ascii="Arial" w:cs="Arial" w:eastAsia="Arial" w:hAnsi="Arial"/>
                <w:sz w:val="14"/>
                <w:szCs w:val="14"/>
                <w:b w:val="1"/>
                <w:bCs w:val="1"/>
                <w:color w:val="auto"/>
                <w:w w:val="98"/>
              </w:rPr>
              <w:t>Amount</w:t>
            </w:r>
          </w:p>
        </w:tc>
      </w:tr>
      <w:tr>
        <w:trPr>
          <w:trHeight w:val="210"/>
        </w:trPr>
        <w:tc>
          <w:tcPr>
            <w:tcW w:w="6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 (excluding the three months ended March 31, 2020)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16"/>
        </w:trPr>
        <w:tc>
          <w:tcPr>
            <w:tcW w:w="6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r>
      <w:tr>
        <w:trPr>
          <w:trHeight w:val="209"/>
        </w:trPr>
        <w:tc>
          <w:tcPr>
            <w:tcW w:w="6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 lease payments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r>
      <w:tr>
        <w:trPr>
          <w:trHeight w:val="216"/>
        </w:trPr>
        <w:tc>
          <w:tcPr>
            <w:tcW w:w="6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imputed interest</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r>
      <w:tr>
        <w:trPr>
          <w:trHeight w:val="210"/>
        </w:trPr>
        <w:tc>
          <w:tcPr>
            <w:tcW w:w="6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 lease liability</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r>
      <w:tr>
        <w:trPr>
          <w:trHeight w:val="216"/>
        </w:trPr>
        <w:tc>
          <w:tcPr>
            <w:tcW w:w="6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r>
      <w:tr>
        <w:trPr>
          <w:trHeight w:val="217"/>
        </w:trPr>
        <w:tc>
          <w:tcPr>
            <w:tcW w:w="6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lease liability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w:t>
            </w:r>
          </w:p>
        </w:tc>
      </w:tr>
    </w:tbl>
    <w:p>
      <w:pPr>
        <w:spacing w:after="0" w:line="202" w:lineRule="exact"/>
        <w:rPr>
          <w:sz w:val="20"/>
          <w:szCs w:val="20"/>
          <w:color w:val="auto"/>
        </w:rPr>
      </w:pPr>
    </w:p>
    <w:p>
      <w:pPr>
        <w:ind w:left="40" w:right="579" w:firstLine="324"/>
        <w:spacing w:after="0" w:line="277" w:lineRule="auto"/>
        <w:rPr>
          <w:sz w:val="20"/>
          <w:szCs w:val="20"/>
          <w:color w:val="auto"/>
        </w:rPr>
      </w:pPr>
      <w:r>
        <w:rPr>
          <w:rFonts w:ascii="Arial" w:cs="Arial" w:eastAsia="Arial" w:hAnsi="Arial"/>
          <w:sz w:val="18"/>
          <w:szCs w:val="18"/>
          <w:color w:val="auto"/>
        </w:rPr>
        <w:t>The current portion of the Company’s operating lease liability of $192 as of March 31, 2020 is included in other current liabilities on the balance sheet.</w:t>
      </w:r>
    </w:p>
    <w:p>
      <w:pPr>
        <w:spacing w:after="0" w:line="130" w:lineRule="exact"/>
        <w:rPr>
          <w:sz w:val="20"/>
          <w:szCs w:val="20"/>
          <w:color w:val="auto"/>
        </w:rPr>
      </w:pPr>
    </w:p>
    <w:p>
      <w:pPr>
        <w:ind w:left="40" w:right="519" w:firstLine="324"/>
        <w:spacing w:after="0" w:line="277" w:lineRule="auto"/>
        <w:rPr>
          <w:sz w:val="20"/>
          <w:szCs w:val="20"/>
          <w:color w:val="auto"/>
        </w:rPr>
      </w:pPr>
      <w:r>
        <w:rPr>
          <w:rFonts w:ascii="Arial" w:cs="Arial" w:eastAsia="Arial" w:hAnsi="Arial"/>
          <w:sz w:val="18"/>
          <w:szCs w:val="18"/>
          <w:color w:val="auto"/>
        </w:rPr>
        <w:t>The Company recorded lease expense of $54 and $22 related to its operating lease right-of-use asset for the three months ended March 31, 2020 and 2019, respectively.</w:t>
      </w:r>
    </w:p>
    <w:p>
      <w:pPr>
        <w:spacing w:after="0" w:line="143" w:lineRule="exact"/>
        <w:rPr>
          <w:sz w:val="20"/>
          <w:szCs w:val="20"/>
          <w:color w:val="auto"/>
        </w:rPr>
      </w:pPr>
    </w:p>
    <w:p>
      <w:pPr>
        <w:ind w:left="40" w:right="199" w:firstLine="324"/>
        <w:spacing w:after="0" w:line="277" w:lineRule="auto"/>
        <w:rPr>
          <w:sz w:val="20"/>
          <w:szCs w:val="20"/>
          <w:color w:val="auto"/>
        </w:rPr>
      </w:pPr>
      <w:r>
        <w:rPr>
          <w:rFonts w:ascii="Arial" w:cs="Arial" w:eastAsia="Arial" w:hAnsi="Arial"/>
          <w:sz w:val="18"/>
          <w:szCs w:val="18"/>
          <w:color w:val="auto"/>
        </w:rPr>
        <w:t>The Company has an option to renew the lease for one additional five-year term at 95% of the then-prevailing market rates but not less than the rental rate at the end of the initial lease term.</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12. Subsequent Event</w:t>
      </w:r>
    </w:p>
    <w:p>
      <w:pPr>
        <w:spacing w:after="0" w:line="229" w:lineRule="exact"/>
        <w:rPr>
          <w:sz w:val="20"/>
          <w:szCs w:val="20"/>
          <w:color w:val="auto"/>
        </w:rPr>
      </w:pPr>
    </w:p>
    <w:p>
      <w:pPr>
        <w:ind w:left="40" w:right="59" w:firstLine="324"/>
        <w:spacing w:after="0" w:line="287" w:lineRule="auto"/>
        <w:rPr>
          <w:sz w:val="20"/>
          <w:szCs w:val="20"/>
          <w:color w:val="auto"/>
        </w:rPr>
      </w:pPr>
      <w:r>
        <w:rPr>
          <w:rFonts w:ascii="Arial" w:cs="Arial" w:eastAsia="Arial" w:hAnsi="Arial"/>
          <w:sz w:val="16"/>
          <w:szCs w:val="16"/>
          <w:color w:val="auto"/>
        </w:rPr>
        <w:t>The Company received funds under the Paycheck Protection Program of the CARES Act in April 2020 in the amount of $537. The application for these funds requires the Company to, in good faith, certify that the current economic uncertainty made the loan request necessary to support the ongoing operations of the Company. This certification further requires the Company to take into account our current business activity and our ability to access other sources of liquidity sufficient to support ongoing operations in a manner that is not significantly detrimental to the business. The receipt of these funds, and the forgiveness of the loan attendant to these funds, is dependent on the Company having initially qualified for the loan and qualifying for the forgiveness of such loan based on our future adherence to the forgiveness criteria and maintenance of certain employment levels. On April 23, 2020, the Small Business Administration issued a new FAQ #31, which provided guidance on what it means to certify that: “current economic uncertainty makes this loan request necessary to support the ongoing operations of the Applicant.” Following review of this new FAQ #31 the Company decided to withdraw from the Paycheck Protection Program and has repaid the loan in full together with all accrued interest.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 w:name="page19"/>
    <w:bookmarkEnd w:id="1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right="31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ind w:left="40" w:right="99" w:firstLine="324"/>
        <w:spacing w:after="0" w:line="270"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financial statements and related notes appearing elsewhere in this Quarterly Report on Form 10-Q and the audited financial statements and related notes contained in our Annual Report on Form 10-K for the year ended December 31, 2019. Some of the information contained in this discussion and analysis or set forth elsewhere in this Quarterly Report, such as information with respect to our plans and strategy for our business and expectations related to the clinical development of our product candidates, includes forward-looking statements that involve risks and uncertainties. As a result of many factors, including those factors set forth in the “Risk Factors” section of this Quarterly Report, our actual results could differ materially from the results described in, or implied by, the forward-looking statements contained in the following discussion and analysis.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All dollar amounts in this discussion and analysis are to the nearest thousand unless otherwise noted.</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0" w:right="59" w:firstLine="324"/>
        <w:spacing w:after="0" w:line="259" w:lineRule="auto"/>
        <w:rPr>
          <w:sz w:val="20"/>
          <w:szCs w:val="20"/>
          <w:color w:val="auto"/>
        </w:rPr>
      </w:pPr>
      <w:r>
        <w:rPr>
          <w:rFonts w:ascii="Arial" w:cs="Arial" w:eastAsia="Arial" w:hAnsi="Arial"/>
          <w:sz w:val="18"/>
          <w:szCs w:val="18"/>
          <w:color w:val="auto"/>
        </w:rPr>
        <w:t>We are a clinical stage biopharmaceutical company utilizing novel artificial intelligence-based approaches to identify the next wave of medicines across neuroscience and immuno-oncology. Our drug re-innovation approach leverages existing approved drugs and/or clinically validated product candidates together with big data and proprietary machine learning algorithms to identify new therapeutic indices.</w:t>
      </w:r>
    </w:p>
    <w:p>
      <w:pPr>
        <w:spacing w:after="0" w:line="187" w:lineRule="exact"/>
        <w:rPr>
          <w:sz w:val="20"/>
          <w:szCs w:val="20"/>
          <w:color w:val="auto"/>
        </w:rPr>
      </w:pPr>
    </w:p>
    <w:p>
      <w:pPr>
        <w:ind w:left="40" w:right="399" w:firstLine="324"/>
        <w:spacing w:after="0" w:line="296" w:lineRule="auto"/>
        <w:rPr>
          <w:sz w:val="20"/>
          <w:szCs w:val="20"/>
          <w:color w:val="auto"/>
        </w:rPr>
      </w:pPr>
      <w:r>
        <w:rPr>
          <w:rFonts w:ascii="Arial" w:cs="Arial" w:eastAsia="Arial" w:hAnsi="Arial"/>
          <w:sz w:val="16"/>
          <w:szCs w:val="16"/>
          <w:color w:val="auto"/>
        </w:rPr>
        <w:t>We believe that this differentiated approach has the potential to reduce the cost and time of drug development in diseases with substantial unmet medical need. Our two most advanced clinical development programs are BXCL501, a proprietary sublingual thin film formulation of the adrenergic receptor agonist dexmedetomidine, or Dex, for acute treatment of agitation resulting from neuropsychiatric disorders, and BXCL701, an orally available systemic innate-immune activator for treatment of an aggressive form of prostate cancer and pancreatic cancer.</w:t>
      </w:r>
    </w:p>
    <w:p>
      <w:pPr>
        <w:spacing w:after="0" w:line="161" w:lineRule="exact"/>
        <w:rPr>
          <w:sz w:val="20"/>
          <w:szCs w:val="20"/>
          <w:color w:val="auto"/>
        </w:rPr>
      </w:pPr>
    </w:p>
    <w:p>
      <w:pPr>
        <w:ind w:left="40" w:right="159" w:firstLine="324"/>
        <w:spacing w:after="0" w:line="273" w:lineRule="auto"/>
        <w:rPr>
          <w:sz w:val="20"/>
          <w:szCs w:val="20"/>
          <w:color w:val="auto"/>
        </w:rPr>
      </w:pPr>
      <w:r>
        <w:rPr>
          <w:rFonts w:ascii="Arial" w:cs="Arial" w:eastAsia="Arial" w:hAnsi="Arial"/>
          <w:sz w:val="17"/>
          <w:szCs w:val="17"/>
          <w:color w:val="auto"/>
        </w:rPr>
        <w:t>During the quarter ended March 31, 2020, the novel coronavirus disease, or COVID-19, was declared a pandemic and spread to multiple regions across the globe, including the United States and Europe.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w:t>
      </w:r>
    </w:p>
    <w:p>
      <w:pPr>
        <w:spacing w:after="0" w:line="178" w:lineRule="exact"/>
        <w:rPr>
          <w:sz w:val="20"/>
          <w:szCs w:val="20"/>
          <w:color w:val="auto"/>
        </w:rPr>
      </w:pPr>
    </w:p>
    <w:p>
      <w:pPr>
        <w:ind w:left="40" w:right="59" w:firstLine="324"/>
        <w:spacing w:after="0" w:line="275" w:lineRule="auto"/>
        <w:rPr>
          <w:sz w:val="20"/>
          <w:szCs w:val="20"/>
          <w:color w:val="auto"/>
        </w:rPr>
      </w:pPr>
      <w:r>
        <w:rPr>
          <w:rFonts w:ascii="Arial" w:cs="Arial" w:eastAsia="Arial" w:hAnsi="Arial"/>
          <w:sz w:val="17"/>
          <w:szCs w:val="17"/>
          <w:color w:val="auto"/>
        </w:rPr>
        <w:t>During the first quarter of 2020 we took steps in line with guidance from the U.S. Centers for Disease Control and Prevention (CDC) and the State of Connecticut to protect the health and safety of our employees and the community. In particular, we implemented a work-from-home policy for all employees and have restricted on-site activities to certain chemical, manufacturing and control (“CMC”) and clinical trial activities. We continue to assess the impact of the COVID-19 pandemic to best mitigate risk and continue the operations of our business.</w:t>
      </w:r>
    </w:p>
    <w:p>
      <w:pPr>
        <w:spacing w:after="0" w:line="176" w:lineRule="exact"/>
        <w:rPr>
          <w:sz w:val="20"/>
          <w:szCs w:val="20"/>
          <w:color w:val="auto"/>
        </w:rPr>
      </w:pPr>
    </w:p>
    <w:p>
      <w:pPr>
        <w:ind w:left="40" w:right="139" w:firstLine="324"/>
        <w:spacing w:after="0" w:line="263" w:lineRule="auto"/>
        <w:rPr>
          <w:sz w:val="20"/>
          <w:szCs w:val="20"/>
          <w:color w:val="auto"/>
        </w:rPr>
      </w:pPr>
      <w:r>
        <w:rPr>
          <w:rFonts w:ascii="Arial" w:cs="Arial" w:eastAsia="Arial" w:hAnsi="Arial"/>
          <w:sz w:val="18"/>
          <w:szCs w:val="18"/>
          <w:color w:val="auto"/>
        </w:rPr>
        <w:t>We are working closely with our clinical sites to monitor the potential impact of the evolving COVID-19 pandemic. We remain committed to our clinical programs and development plans. As of now we have not experienced any significant delays to our ongoing or planned clinical trials; however, this could rapidly change.</w:t>
      </w:r>
    </w:p>
    <w:p>
      <w:pPr>
        <w:spacing w:after="0" w:line="184" w:lineRule="exact"/>
        <w:rPr>
          <w:sz w:val="20"/>
          <w:szCs w:val="20"/>
          <w:color w:val="auto"/>
        </w:rPr>
      </w:pPr>
    </w:p>
    <w:p>
      <w:pPr>
        <w:ind w:left="40" w:right="799" w:firstLine="324"/>
        <w:spacing w:after="0" w:line="277" w:lineRule="auto"/>
        <w:rPr>
          <w:sz w:val="20"/>
          <w:szCs w:val="20"/>
          <w:color w:val="auto"/>
        </w:rPr>
      </w:pPr>
      <w:r>
        <w:rPr>
          <w:rFonts w:ascii="Arial" w:cs="Arial" w:eastAsia="Arial" w:hAnsi="Arial"/>
          <w:sz w:val="18"/>
          <w:szCs w:val="18"/>
          <w:color w:val="auto"/>
        </w:rPr>
        <w:t>During the first quarter of 2020, we continued to advance the development of our two lead clinical programs, BXCL501 and BXCL701.</w:t>
      </w:r>
    </w:p>
    <w:p>
      <w:pPr>
        <w:spacing w:after="0" w:line="170" w:lineRule="exact"/>
        <w:rPr>
          <w:sz w:val="20"/>
          <w:szCs w:val="20"/>
          <w:color w:val="auto"/>
        </w:rPr>
      </w:pPr>
    </w:p>
    <w:p>
      <w:pPr>
        <w:ind w:left="40" w:right="179" w:firstLine="324"/>
        <w:spacing w:after="0" w:line="342" w:lineRule="auto"/>
        <w:rPr>
          <w:sz w:val="20"/>
          <w:szCs w:val="20"/>
          <w:color w:val="auto"/>
        </w:rPr>
      </w:pPr>
      <w:r>
        <w:rPr>
          <w:rFonts w:ascii="Arial" w:cs="Arial" w:eastAsia="Arial" w:hAnsi="Arial"/>
          <w:sz w:val="16"/>
          <w:szCs w:val="16"/>
          <w:color w:val="auto"/>
        </w:rPr>
        <w:t>As of May 1, 2020, our patent portfolio included 5 Patent Cooperation Treaty applications, 5 U.S. utility applications, 19 U.S. provisional applications, 37 non-U.S. applications, 3 granted non-US patents, and one U.S. design patent.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 w:name="page20"/>
    <w:bookmarkEnd w:id="1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BXCL501 Neuroscience Program</w:t>
      </w:r>
    </w:p>
    <w:p>
      <w:pPr>
        <w:spacing w:after="0" w:line="229" w:lineRule="exact"/>
        <w:rPr>
          <w:sz w:val="20"/>
          <w:szCs w:val="20"/>
          <w:color w:val="auto"/>
        </w:rPr>
      </w:pPr>
    </w:p>
    <w:p>
      <w:pPr>
        <w:ind w:left="40" w:right="359" w:firstLine="324"/>
        <w:spacing w:after="0" w:line="257" w:lineRule="auto"/>
        <w:rPr>
          <w:sz w:val="20"/>
          <w:szCs w:val="20"/>
          <w:color w:val="auto"/>
        </w:rPr>
      </w:pPr>
      <w:r>
        <w:rPr>
          <w:rFonts w:ascii="Arial" w:cs="Arial" w:eastAsia="Arial" w:hAnsi="Arial"/>
          <w:sz w:val="18"/>
          <w:szCs w:val="18"/>
          <w:color w:val="auto"/>
        </w:rPr>
        <w:t>We continue to enroll patients in our two Phase 3 SERENITY trials and remain on-track to report topline data from both studies in mid-2020. On March 19, 2020 we announced that more than one-third of the SERENITY I &amp; II patients have been dosed, including over 100 bipolar patients. To-date all schizophrenia and bipolar patients enrolled have successfully self-administered the BXCL501 treatment, guided by a healthcare provider, and the trials are progressing according to schedule.</w:t>
      </w:r>
    </w:p>
    <w:p>
      <w:pPr>
        <w:spacing w:after="0" w:line="188" w:lineRule="exact"/>
        <w:rPr>
          <w:sz w:val="20"/>
          <w:szCs w:val="20"/>
          <w:color w:val="auto"/>
        </w:rPr>
      </w:pPr>
    </w:p>
    <w:p>
      <w:pPr>
        <w:ind w:left="40" w:right="299" w:firstLine="324"/>
        <w:spacing w:after="0" w:line="301" w:lineRule="auto"/>
        <w:rPr>
          <w:sz w:val="20"/>
          <w:szCs w:val="20"/>
          <w:color w:val="auto"/>
        </w:rPr>
      </w:pPr>
      <w:r>
        <w:rPr>
          <w:rFonts w:ascii="Arial" w:cs="Arial" w:eastAsia="Arial" w:hAnsi="Arial"/>
          <w:sz w:val="16"/>
          <w:szCs w:val="16"/>
          <w:color w:val="auto"/>
        </w:rPr>
        <w:t>In January 2020, we announced that the first patient was enrolled in the TRANQUILITY study, a Phase 1b/2 trial of BXCL501 for the acute treatment of agitation associated with geriatric dementia, expanding potential therapeutic use of BXCL501 beyond current neuropsychiatric disorders. We are currently in the process of assessing information for dose escalation from the TRANQUILITY trial and expect to report topline results in mid-2020.</w:t>
      </w:r>
    </w:p>
    <w:p>
      <w:pPr>
        <w:spacing w:after="0" w:line="157" w:lineRule="exact"/>
        <w:rPr>
          <w:sz w:val="20"/>
          <w:szCs w:val="20"/>
          <w:color w:val="auto"/>
        </w:rPr>
      </w:pPr>
    </w:p>
    <w:p>
      <w:pPr>
        <w:ind w:left="40" w:right="299" w:firstLine="324"/>
        <w:spacing w:after="0" w:line="286" w:lineRule="auto"/>
        <w:rPr>
          <w:sz w:val="20"/>
          <w:szCs w:val="20"/>
          <w:color w:val="auto"/>
        </w:rPr>
      </w:pPr>
      <w:r>
        <w:rPr>
          <w:rFonts w:ascii="Arial" w:cs="Arial" w:eastAsia="Arial" w:hAnsi="Arial"/>
          <w:sz w:val="17"/>
          <w:szCs w:val="17"/>
          <w:color w:val="auto"/>
        </w:rPr>
        <w:t>In February 2020 we announced that we received clearance from the U.S. Food and Drug Administration for an Investigational New Drug application for a Phase 1b/2 trial for the treatment of opioid withdrawal symptoms, a potential fourth indication for BXCL501. We anticipate this trial will begin enrolling patients shortly.</w:t>
      </w:r>
    </w:p>
    <w:p>
      <w:pPr>
        <w:spacing w:after="0" w:line="165" w:lineRule="exact"/>
        <w:rPr>
          <w:sz w:val="20"/>
          <w:szCs w:val="20"/>
          <w:color w:val="auto"/>
        </w:rPr>
      </w:pPr>
    </w:p>
    <w:p>
      <w:pPr>
        <w:ind w:left="40" w:right="419" w:firstLine="324"/>
        <w:spacing w:after="0" w:line="273" w:lineRule="auto"/>
        <w:rPr>
          <w:sz w:val="20"/>
          <w:szCs w:val="20"/>
          <w:color w:val="auto"/>
        </w:rPr>
      </w:pPr>
      <w:r>
        <w:rPr>
          <w:rFonts w:ascii="Arial" w:cs="Arial" w:eastAsia="Arial" w:hAnsi="Arial"/>
          <w:sz w:val="17"/>
          <w:szCs w:val="17"/>
          <w:color w:val="auto"/>
        </w:rPr>
        <w:t>A Phase 2 study designed to measure biomarkers associated with agitation in patients with schizophrenia and their response to treatment with BXCL501 was initiated by researchers at Yale University in February 2020. The trial is designed to identify biomarkers, such as skin conductance response, heart rate variability, and blood pressure, that can potentially be used as an initial signal for treatment and expand the BXCL501 development program to evaluate new chronic disease indications. This trial has been delayed by the COVID-19 pandemic and we now expect to release data from this study in the second half of 2020.</w:t>
      </w:r>
    </w:p>
    <w:p>
      <w:pPr>
        <w:spacing w:after="0" w:line="178" w:lineRule="exact"/>
        <w:rPr>
          <w:sz w:val="20"/>
          <w:szCs w:val="20"/>
          <w:color w:val="auto"/>
        </w:rPr>
      </w:pPr>
    </w:p>
    <w:p>
      <w:pPr>
        <w:ind w:left="40" w:right="79" w:firstLine="324"/>
        <w:spacing w:after="0" w:line="279" w:lineRule="auto"/>
        <w:rPr>
          <w:sz w:val="20"/>
          <w:szCs w:val="20"/>
          <w:color w:val="auto"/>
        </w:rPr>
      </w:pPr>
      <w:r>
        <w:rPr>
          <w:rFonts w:ascii="Arial" w:cs="Arial" w:eastAsia="Arial" w:hAnsi="Arial"/>
          <w:sz w:val="17"/>
          <w:szCs w:val="17"/>
          <w:color w:val="auto"/>
        </w:rPr>
        <w:t>We continue to investigate the development of using wearable digital device technology such as the Apple Watch, with the goal of enhancing the prevention and treatment of agitation including, if approved, the administration of BXCL501 prior to the onset of agitation related to dementia. We are conducting a feasibility study to measure nervous and motor system activity relevant to both agitation and the mechanism of action of BXCL501.</w:t>
      </w:r>
    </w:p>
    <w:p>
      <w:pPr>
        <w:spacing w:after="0" w:line="171" w:lineRule="exact"/>
        <w:rPr>
          <w:sz w:val="20"/>
          <w:szCs w:val="20"/>
          <w:color w:val="auto"/>
        </w:rPr>
      </w:pPr>
    </w:p>
    <w:p>
      <w:pPr>
        <w:ind w:left="40" w:right="659" w:firstLine="324"/>
        <w:spacing w:after="0" w:line="263" w:lineRule="auto"/>
        <w:rPr>
          <w:sz w:val="20"/>
          <w:szCs w:val="20"/>
          <w:color w:val="auto"/>
        </w:rPr>
      </w:pPr>
      <w:r>
        <w:rPr>
          <w:rFonts w:ascii="Arial" w:cs="Arial" w:eastAsia="Arial" w:hAnsi="Arial"/>
          <w:sz w:val="18"/>
          <w:szCs w:val="18"/>
          <w:color w:val="auto"/>
        </w:rPr>
        <w:t>We are continuing to evaluate development plans for BXCL501 as a potential treatment for acute agitation in hyperactive delirium and for chronic agitation, as well as developing a single-use intramuscular injection for severe agitation.</w:t>
      </w:r>
    </w:p>
    <w:p>
      <w:pPr>
        <w:spacing w:after="0" w:line="184" w:lineRule="exact"/>
        <w:rPr>
          <w:sz w:val="20"/>
          <w:szCs w:val="20"/>
          <w:color w:val="auto"/>
        </w:rPr>
      </w:pPr>
    </w:p>
    <w:p>
      <w:pPr>
        <w:ind w:left="40" w:right="219" w:firstLine="324"/>
        <w:spacing w:after="0" w:line="263" w:lineRule="auto"/>
        <w:rPr>
          <w:sz w:val="20"/>
          <w:szCs w:val="20"/>
          <w:color w:val="auto"/>
        </w:rPr>
      </w:pPr>
      <w:r>
        <w:rPr>
          <w:rFonts w:ascii="Arial" w:cs="Arial" w:eastAsia="Arial" w:hAnsi="Arial"/>
          <w:sz w:val="18"/>
          <w:szCs w:val="18"/>
          <w:color w:val="auto"/>
        </w:rPr>
        <w:t>Treatment of agitation remains a significant global healthcare challenge in patients with drug and alcohol withdrawal and post-traumatic stress disorder, as the currently available treatment options are suboptimal, invasive, difficult to administer and often pose safety issues.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BXCL701 Immuno-Oncology Program</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currently has three planned clinical trials for BXCL701.</w:t>
      </w:r>
    </w:p>
    <w:p>
      <w:pPr>
        <w:spacing w:after="0" w:line="225" w:lineRule="exact"/>
        <w:rPr>
          <w:sz w:val="20"/>
          <w:szCs w:val="20"/>
          <w:color w:val="auto"/>
        </w:rPr>
      </w:pPr>
    </w:p>
    <w:p>
      <w:pPr>
        <w:ind w:left="40" w:right="119" w:firstLine="324"/>
        <w:spacing w:after="0" w:line="255" w:lineRule="auto"/>
        <w:rPr>
          <w:sz w:val="20"/>
          <w:szCs w:val="20"/>
          <w:color w:val="auto"/>
        </w:rPr>
      </w:pPr>
      <w:r>
        <w:rPr>
          <w:rFonts w:ascii="Arial" w:cs="Arial" w:eastAsia="Arial" w:hAnsi="Arial"/>
          <w:sz w:val="18"/>
          <w:szCs w:val="18"/>
          <w:color w:val="auto"/>
        </w:rPr>
        <w:t>On April 28, 2020, we announced the initiation of the Phase 2 efficacy portion of the Phase 1b/2 trial of BXCL701 in combination with pembrolizumab (KEYTRUDA®) for treatment emergent Neuroendocrine Prostate Cancer (tNEPC). The Phase 1b safety assessment of BXCL701 indicated that a split dose totaling 0.6 mg per day is the recommended dose when used in combination with KEYTRUDA®, a PD-1 inhibitor. The 0.6mg total daily dose has shown on-target side effects consistent with cytokine activation. Splitting the daily dose can be associated with an improved safety profile and will be used in the efficacy portion of the clinical program</w:t>
      </w:r>
    </w:p>
    <w:p>
      <w:pPr>
        <w:spacing w:after="0" w:line="192" w:lineRule="exact"/>
        <w:rPr>
          <w:sz w:val="20"/>
          <w:szCs w:val="20"/>
          <w:color w:val="auto"/>
        </w:rPr>
      </w:pPr>
    </w:p>
    <w:p>
      <w:pPr>
        <w:ind w:left="40" w:right="159" w:firstLine="324"/>
        <w:spacing w:after="0" w:line="259" w:lineRule="auto"/>
        <w:rPr>
          <w:sz w:val="20"/>
          <w:szCs w:val="20"/>
          <w:color w:val="auto"/>
        </w:rPr>
      </w:pPr>
      <w:r>
        <w:rPr>
          <w:rFonts w:ascii="Arial" w:cs="Arial" w:eastAsia="Arial" w:hAnsi="Arial"/>
          <w:sz w:val="18"/>
          <w:szCs w:val="18"/>
          <w:color w:val="auto"/>
        </w:rPr>
        <w:t>The BXCL701 phase of the triple combination study of BXCL701, bempegaldesleukin (NKTR-214, Nektar Therapeutics, Inc.) and BAVENCIO® (avelumab, Merck KGaA, Darmstadt, Germany and Pfizer) in pancreatic cancer is expected to be initiated following Nektar and Pfizer’s Phase 1B safety trial of a double combination of bempegaldesleukin and avelumab and the outcome of that trial.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 w:name="page21"/>
    <w:bookmarkEnd w:id="2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19" w:firstLine="324"/>
        <w:spacing w:after="0" w:line="257" w:lineRule="auto"/>
        <w:rPr>
          <w:sz w:val="20"/>
          <w:szCs w:val="20"/>
          <w:color w:val="auto"/>
        </w:rPr>
      </w:pPr>
      <w:r>
        <w:rPr>
          <w:rFonts w:ascii="Arial" w:cs="Arial" w:eastAsia="Arial" w:hAnsi="Arial"/>
          <w:sz w:val="18"/>
          <w:szCs w:val="18"/>
          <w:color w:val="auto"/>
        </w:rPr>
        <w:t>We advanced the clinical evaluation of BXCL701 into multiple advanced solid tumors where checkpoint inhibitors are indicated. The MD Anderson-led Phase 2 open-label basket trial is designed to evaluate the response rate of orally administered BXCL701, combined with KEYTRUDA® in patients with advanced solid cancers. The study will evaluate both patients who are naïve to checkpoint therapy and those who are refractory to checkpoint therapy. MD Anderson initiated this trial on March 19, 2020.</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40" w:right="99" w:firstLine="324"/>
        <w:spacing w:after="0" w:line="277" w:lineRule="auto"/>
        <w:rPr>
          <w:sz w:val="20"/>
          <w:szCs w:val="20"/>
          <w:color w:val="auto"/>
        </w:rPr>
      </w:pPr>
      <w:r>
        <w:rPr>
          <w:rFonts w:ascii="Arial" w:cs="Arial" w:eastAsia="Arial" w:hAnsi="Arial"/>
          <w:sz w:val="18"/>
          <w:szCs w:val="18"/>
          <w:color w:val="auto"/>
        </w:rPr>
        <w:t>The Company’s financial statements are prepared in accordance with Generally Accepted Accounting Principles in the United States of America (“GAAP”). All amounts are presented in thousands.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not recognized any revenue since inception.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left="40" w:right="599" w:firstLine="324"/>
        <w:spacing w:after="0" w:line="308" w:lineRule="auto"/>
        <w:rPr>
          <w:sz w:val="20"/>
          <w:szCs w:val="20"/>
          <w:color w:val="auto"/>
        </w:rPr>
      </w:pPr>
      <w:r>
        <w:rPr>
          <w:rFonts w:ascii="Arial" w:cs="Arial" w:eastAsia="Arial" w:hAnsi="Arial"/>
          <w:sz w:val="17"/>
          <w:szCs w:val="17"/>
          <w:color w:val="auto"/>
        </w:rPr>
        <w:t>Research and development expenses consist primarily of costs incurred for the research and development of our clinical and pre-clinical product candidates, which includes payments to BioXcel, our Parent.</w:t>
      </w:r>
    </w:p>
    <w:p>
      <w:pPr>
        <w:spacing w:after="0" w:line="146" w:lineRule="exact"/>
        <w:rPr>
          <w:sz w:val="20"/>
          <w:szCs w:val="20"/>
          <w:color w:val="auto"/>
        </w:rPr>
      </w:pPr>
    </w:p>
    <w:p>
      <w:pPr>
        <w:ind w:left="40" w:right="359" w:firstLine="328"/>
        <w:spacing w:after="0" w:line="277" w:lineRule="auto"/>
        <w:tabs>
          <w:tab w:leader="none" w:pos="1075"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stock-based compensation expense and travel expenses for employees engaged in research and development functions;</w:t>
      </w:r>
    </w:p>
    <w:p>
      <w:pPr>
        <w:spacing w:after="0" w:line="170" w:lineRule="exact"/>
        <w:rPr>
          <w:rFonts w:ascii="Arial" w:cs="Arial" w:eastAsia="Arial" w:hAnsi="Arial"/>
          <w:sz w:val="18"/>
          <w:szCs w:val="18"/>
          <w:color w:val="auto"/>
        </w:rPr>
      </w:pPr>
    </w:p>
    <w:p>
      <w:pPr>
        <w:ind w:left="40" w:right="319" w:firstLine="328"/>
        <w:spacing w:after="0" w:line="277" w:lineRule="auto"/>
        <w:tabs>
          <w:tab w:leader="none" w:pos="1075"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or CROs, and sites that conduct our non-clinical studies and clinical trials;</w:t>
      </w:r>
    </w:p>
    <w:p>
      <w:pPr>
        <w:spacing w:after="0" w:line="170" w:lineRule="exact"/>
        <w:rPr>
          <w:rFonts w:ascii="Arial" w:cs="Arial" w:eastAsia="Arial" w:hAnsi="Arial"/>
          <w:sz w:val="18"/>
          <w:szCs w:val="18"/>
          <w:color w:val="auto"/>
        </w:rPr>
      </w:pPr>
    </w:p>
    <w:p>
      <w:pPr>
        <w:ind w:left="40" w:right="99" w:firstLine="328"/>
        <w:spacing w:after="0" w:line="277" w:lineRule="auto"/>
        <w:tabs>
          <w:tab w:leader="none" w:pos="107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of outside consultants engaged in research and development activities, including their fees, stock-based compensation and travel expenses;</w:t>
      </w:r>
    </w:p>
    <w:p>
      <w:pPr>
        <w:spacing w:after="0" w:line="170" w:lineRule="exact"/>
        <w:rPr>
          <w:rFonts w:ascii="Arial" w:cs="Arial" w:eastAsia="Arial" w:hAnsi="Arial"/>
          <w:sz w:val="18"/>
          <w:szCs w:val="18"/>
          <w:color w:val="auto"/>
        </w:rPr>
      </w:pPr>
    </w:p>
    <w:p>
      <w:pPr>
        <w:ind w:left="1080" w:hanging="71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cost of acquiring, developing and manufacturing pre-clinical and clinical trial materials and lab supplies;</w:t>
      </w:r>
    </w:p>
    <w:p>
      <w:pPr>
        <w:spacing w:after="0" w:line="46" w:lineRule="exact"/>
        <w:rPr>
          <w:rFonts w:ascii="Arial" w:cs="Arial" w:eastAsia="Arial" w:hAnsi="Arial"/>
          <w:sz w:val="16"/>
          <w:szCs w:val="16"/>
          <w:color w:val="auto"/>
        </w:rPr>
      </w:pPr>
    </w:p>
    <w:p>
      <w:pPr>
        <w:ind w:left="4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1080" w:hanging="71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depreciation and other expenses.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expense research and development costs to operations as incurred.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research and development costs by program for the three months ended March 31, 2020 and 2019 were as follows:</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BXCL 501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BXCL 701</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2,041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2,276</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BXCL 502</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BXCL 702</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 research and development programs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16"/>
        </w:trPr>
        <w:tc>
          <w:tcPr>
            <w:tcW w:w="6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 support services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r>
      <w:tr>
        <w:trPr>
          <w:trHeight w:val="217"/>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research and development expenses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12,371</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5,674</w:t>
            </w: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left="40" w:right="339" w:firstLine="324"/>
        <w:spacing w:after="0" w:line="342" w:lineRule="auto"/>
        <w:rPr>
          <w:sz w:val="20"/>
          <w:szCs w:val="20"/>
          <w:color w:val="auto"/>
        </w:rPr>
      </w:pPr>
      <w:r>
        <w:rPr>
          <w:rFonts w:ascii="Arial" w:cs="Arial" w:eastAsia="Arial" w:hAnsi="Arial"/>
          <w:sz w:val="16"/>
          <w:szCs w:val="16"/>
          <w:color w:val="auto"/>
        </w:rPr>
        <w:t>General and administrative expenses consist primarily of personnel costs, including salaries, benefits, stock-based compensation and travel expenses for our executive, finance, corporate development and other administrative functions.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 w:name="page22"/>
    <w:bookmarkEnd w:id="2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359"/>
        <w:spacing w:after="0" w:line="277" w:lineRule="auto"/>
        <w:rPr>
          <w:sz w:val="20"/>
          <w:szCs w:val="20"/>
          <w:color w:val="auto"/>
        </w:rPr>
      </w:pPr>
      <w:r>
        <w:rPr>
          <w:rFonts w:ascii="Arial" w:cs="Arial" w:eastAsia="Arial" w:hAnsi="Arial"/>
          <w:sz w:val="18"/>
          <w:szCs w:val="18"/>
          <w:color w:val="auto"/>
        </w:rPr>
        <w:t>General and administrative expenses also include legal expenses to pursue patent protection of our intellectual property, professional fees for audit and tax and insurance charges.</w:t>
      </w:r>
    </w:p>
    <w:p>
      <w:pPr>
        <w:spacing w:after="0" w:line="170" w:lineRule="exact"/>
        <w:rPr>
          <w:sz w:val="20"/>
          <w:szCs w:val="20"/>
          <w:color w:val="auto"/>
        </w:rPr>
      </w:pPr>
    </w:p>
    <w:p>
      <w:pPr>
        <w:ind w:left="40" w:right="259" w:firstLine="324"/>
        <w:spacing w:after="0" w:line="254" w:lineRule="auto"/>
        <w:rPr>
          <w:sz w:val="20"/>
          <w:szCs w:val="20"/>
          <w:color w:val="auto"/>
        </w:rPr>
      </w:pPr>
      <w:r>
        <w:rPr>
          <w:rFonts w:ascii="Arial" w:cs="Arial" w:eastAsia="Arial" w:hAnsi="Arial"/>
          <w:sz w:val="18"/>
          <w:szCs w:val="18"/>
          <w:color w:val="auto"/>
        </w:rPr>
        <w:t>We expect that our general and administrative expenses will increase as we expand our clinical programs. We also expect increased administrative costs resulting from our clinical trials and the potential commercialization of our product candidates. We believe that these increases will likely include increased costs for director and officer liability insurance, hiring additional personnel to support future market research and future product commercialization efforts and increased fees for outside consultants, attorneys and accountants. We may also incur increased costs to comply with corporate governance, internal controls, investor relations and disclosures and similar requirements applicable to public companies.</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left="40" w:right="379" w:firstLine="324"/>
        <w:spacing w:after="0" w:line="224" w:lineRule="exact"/>
        <w:rPr>
          <w:sz w:val="20"/>
          <w:szCs w:val="20"/>
          <w:color w:val="auto"/>
        </w:rPr>
      </w:pPr>
      <w:r>
        <w:rPr>
          <w:rFonts w:ascii="Arial" w:cs="Arial" w:eastAsia="Arial" w:hAnsi="Arial"/>
          <w:sz w:val="16"/>
          <w:szCs w:val="16"/>
          <w:color w:val="auto"/>
        </w:rPr>
        <w:t>A description of recently issued accounting pronouncements that may potentially impact our financial position and results of operations is set forth in Note 3 to the financial statements included in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Results of Operations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2019</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5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0" w:type="dxa"/>
            <w:vAlign w:val="bottom"/>
            <w:vMerge w:val="restart"/>
          </w:tcPr>
          <w:p>
            <w:pPr>
              <w:jc w:val="center"/>
              <w:ind w:right="1492"/>
              <w:spacing w:after="0"/>
              <w:rPr>
                <w:sz w:val="20"/>
                <w:szCs w:val="20"/>
                <w:color w:val="auto"/>
              </w:rPr>
            </w:pPr>
            <w:r>
              <w:rPr>
                <w:rFonts w:ascii="Arial" w:cs="Arial" w:eastAsia="Arial" w:hAnsi="Arial"/>
                <w:sz w:val="14"/>
                <w:szCs w:val="14"/>
                <w:b w:val="1"/>
                <w:bCs w:val="1"/>
                <w:color w:val="auto"/>
                <w:w w:val="90"/>
              </w:rPr>
              <w:t>(amounts in thousands, except percentage)</w:t>
            </w: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gridSpan w:val="7"/>
          </w:tcPr>
          <w:p>
            <w:pPr>
              <w:ind w:left="100"/>
              <w:spacing w:after="0" w:line="142" w:lineRule="exact"/>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ind w:left="380"/>
              <w:spacing w:after="0" w:line="142" w:lineRule="exact"/>
              <w:rPr>
                <w:sz w:val="20"/>
                <w:szCs w:val="20"/>
                <w:color w:val="auto"/>
              </w:rPr>
            </w:pPr>
            <w:r>
              <w:rPr>
                <w:rFonts w:ascii="Arial" w:cs="Arial" w:eastAsia="Arial" w:hAnsi="Arial"/>
                <w:sz w:val="14"/>
                <w:szCs w:val="14"/>
                <w:b w:val="1"/>
                <w:bCs w:val="1"/>
                <w:color w:val="auto"/>
              </w:rPr>
              <w:t>Change</w:t>
            </w: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20"/>
              <w:spacing w:after="0"/>
              <w:rPr>
                <w:sz w:val="20"/>
                <w:szCs w:val="20"/>
                <w:color w:val="auto"/>
              </w:rPr>
            </w:pPr>
            <w:r>
              <w:rPr>
                <w:rFonts w:ascii="Arial" w:cs="Arial" w:eastAsia="Arial" w:hAnsi="Arial"/>
                <w:sz w:val="18"/>
                <w:szCs w:val="18"/>
                <w:color w:val="auto"/>
              </w:rPr>
              <w:t>Operating costs and expenses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jc w:val="center"/>
              <w:ind w:right="1492"/>
              <w:spacing w:after="0"/>
              <w:rPr>
                <w:sz w:val="20"/>
                <w:szCs w:val="20"/>
                <w:color w:val="auto"/>
              </w:rPr>
            </w:pPr>
            <w:r>
              <w:rPr>
                <w:rFonts w:ascii="Arial" w:cs="Arial" w:eastAsia="Arial" w:hAnsi="Arial"/>
                <w:sz w:val="18"/>
                <w:szCs w:val="18"/>
                <w:color w:val="auto"/>
                <w:w w:val="88"/>
              </w:rPr>
              <w:t>Research and development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5,674</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6,697</w:t>
            </w:r>
          </w:p>
        </w:tc>
        <w:tc>
          <w:tcPr>
            <w:tcW w:w="4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1,180 %</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tcPr>
          <w:p>
            <w:pPr>
              <w:jc w:val="center"/>
              <w:ind w:right="1492"/>
              <w:spacing w:after="0"/>
              <w:rPr>
                <w:sz w:val="20"/>
                <w:szCs w:val="20"/>
                <w:color w:val="auto"/>
              </w:rPr>
            </w:pPr>
            <w:r>
              <w:rPr>
                <w:rFonts w:ascii="Arial" w:cs="Arial" w:eastAsia="Arial" w:hAnsi="Arial"/>
                <w:sz w:val="18"/>
                <w:szCs w:val="18"/>
                <w:color w:val="auto"/>
                <w:w w:val="90"/>
              </w:rPr>
              <w:t>General and administrative</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40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504</w:t>
            </w:r>
          </w:p>
        </w:tc>
        <w:tc>
          <w:tcPr>
            <w:tcW w:w="2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jc w:val="center"/>
              <w:ind w:right="1452"/>
              <w:spacing w:after="0"/>
              <w:rPr>
                <w:sz w:val="20"/>
                <w:szCs w:val="20"/>
                <w:color w:val="auto"/>
              </w:rPr>
            </w:pPr>
            <w:r>
              <w:rPr>
                <w:rFonts w:ascii="Arial" w:cs="Arial" w:eastAsia="Arial" w:hAnsi="Arial"/>
                <w:sz w:val="18"/>
                <w:szCs w:val="18"/>
                <w:color w:val="auto"/>
                <w:w w:val="88"/>
              </w:rPr>
              <w:t>Total operating expenses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7,419</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7,577</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200" w:type="dxa"/>
            <w:vAlign w:val="bottom"/>
          </w:tcPr>
          <w:p>
            <w:pPr>
              <w:ind w:left="220"/>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(14,996)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(7,419)</w:t>
            </w:r>
          </w:p>
        </w:tc>
        <w:tc>
          <w:tcPr>
            <w:tcW w:w="32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(7,577)</w:t>
            </w:r>
          </w:p>
        </w:tc>
        <w:tc>
          <w:tcPr>
            <w:tcW w:w="560" w:type="dxa"/>
            <w:vAlign w:val="bottom"/>
          </w:tcPr>
          <w:p>
            <w:pPr>
              <w:jc w:val="right"/>
              <w:spacing w:after="0"/>
              <w:rPr>
                <w:sz w:val="20"/>
                <w:szCs w:val="20"/>
                <w:color w:val="auto"/>
              </w:rPr>
            </w:pPr>
            <w:r>
              <w:rPr>
                <w:rFonts w:ascii="Arial" w:cs="Arial" w:eastAsia="Arial" w:hAnsi="Arial"/>
                <w:sz w:val="18"/>
                <w:szCs w:val="18"/>
                <w:color w:val="auto"/>
              </w:rPr>
              <w:t>1,021</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40"/>
              <w:spacing w:after="0"/>
              <w:rPr>
                <w:sz w:val="20"/>
                <w:szCs w:val="20"/>
                <w:color w:val="auto"/>
              </w:rPr>
            </w:pPr>
            <w:r>
              <w:rPr>
                <w:rFonts w:ascii="Arial" w:cs="Arial" w:eastAsia="Arial" w:hAnsi="Arial"/>
                <w:sz w:val="18"/>
                <w:szCs w:val="18"/>
                <w:color w:val="auto"/>
              </w:rPr>
              <w:t>Interest income, net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(130)</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(7,204)</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(7,707)</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1,070 %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not recognized any revenues since inception.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 w:name="page23"/>
    <w:bookmarkEnd w:id="2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left="40" w:right="119" w:firstLine="324"/>
        <w:spacing w:after="0" w:line="342" w:lineRule="auto"/>
        <w:rPr>
          <w:sz w:val="20"/>
          <w:szCs w:val="20"/>
          <w:color w:val="auto"/>
        </w:rPr>
      </w:pPr>
      <w:r>
        <w:rPr>
          <w:rFonts w:ascii="Arial" w:cs="Arial" w:eastAsia="Arial" w:hAnsi="Arial"/>
          <w:sz w:val="16"/>
          <w:szCs w:val="16"/>
          <w:color w:val="auto"/>
        </w:rPr>
        <w:t>Research and development expenses for the three months ended March 31, 2020 were $12,371, compared to $5,674 for the three months ended March 31, 2019. The increase of $6,697 is attributable to the costs described in the table below:</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Salaries, bonus &amp; related costs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Professional research &amp; project related costs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Drug acquisition costs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Chemical, manufacturing and controls cost ("CMC")</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7"/>
        </w:trPr>
        <w:tc>
          <w:tcPr>
            <w:tcW w:w="5000" w:type="dxa"/>
            <w:vAlign w:val="bottom"/>
          </w:tcPr>
          <w:p>
            <w:pPr>
              <w:ind w:left="220"/>
              <w:spacing w:after="0"/>
              <w:rPr>
                <w:sz w:val="20"/>
                <w:szCs w:val="20"/>
                <w:color w:val="auto"/>
              </w:rPr>
            </w:pPr>
            <w:r>
              <w:rPr>
                <w:rFonts w:ascii="Arial" w:cs="Arial" w:eastAsia="Arial" w:hAnsi="Arial"/>
                <w:sz w:val="18"/>
                <w:szCs w:val="18"/>
                <w:color w:val="auto"/>
              </w:rPr>
              <w:t>Total research and development expenses</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12,371</w:t>
            </w:r>
          </w:p>
        </w:tc>
        <w:tc>
          <w:tcPr>
            <w:tcW w:w="3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5,674</w:t>
            </w:r>
          </w:p>
        </w:tc>
        <w:tc>
          <w:tcPr>
            <w:tcW w:w="30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779" w:firstLine="324"/>
        <w:spacing w:after="0" w:line="308" w:lineRule="auto"/>
        <w:rPr>
          <w:sz w:val="20"/>
          <w:szCs w:val="20"/>
          <w:color w:val="auto"/>
        </w:rPr>
      </w:pPr>
      <w:r>
        <w:rPr>
          <w:rFonts w:ascii="Arial" w:cs="Arial" w:eastAsia="Arial" w:hAnsi="Arial"/>
          <w:sz w:val="17"/>
          <w:szCs w:val="17"/>
          <w:color w:val="auto"/>
        </w:rPr>
        <w:t>Salaries, bonus &amp; related costs increased due to increases in headcount and related benefits, payroll taxes and recruiting fees offset in part by reduced travel costs as a result of COVID-19 travel restrictions.</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Non-cash stock-based compensation approximated the prior year period.</w:t>
      </w:r>
    </w:p>
    <w:p>
      <w:pPr>
        <w:spacing w:after="0" w:line="225" w:lineRule="exact"/>
        <w:rPr>
          <w:sz w:val="20"/>
          <w:szCs w:val="20"/>
          <w:color w:val="auto"/>
        </w:rPr>
      </w:pPr>
    </w:p>
    <w:p>
      <w:pPr>
        <w:ind w:left="40" w:right="199" w:firstLine="324"/>
        <w:spacing w:after="0" w:line="342" w:lineRule="auto"/>
        <w:rPr>
          <w:sz w:val="20"/>
          <w:szCs w:val="20"/>
          <w:color w:val="auto"/>
        </w:rPr>
      </w:pPr>
      <w:r>
        <w:rPr>
          <w:rFonts w:ascii="Arial" w:cs="Arial" w:eastAsia="Arial" w:hAnsi="Arial"/>
          <w:sz w:val="16"/>
          <w:szCs w:val="16"/>
          <w:color w:val="auto"/>
        </w:rPr>
        <w:t>The increase in professional research &amp; project related costs, clinical trials expense and CMC costs reflect the acceleration of research and development activities primarily related to our BXCL501 and BXCL 701 product candidates.</w:t>
      </w:r>
    </w:p>
    <w:p>
      <w:pPr>
        <w:spacing w:after="0" w:line="124" w:lineRule="exact"/>
        <w:rPr>
          <w:sz w:val="20"/>
          <w:szCs w:val="20"/>
          <w:color w:val="auto"/>
        </w:rPr>
      </w:pPr>
    </w:p>
    <w:p>
      <w:pPr>
        <w:ind w:left="40" w:right="119" w:firstLine="324"/>
        <w:spacing w:after="0" w:line="263" w:lineRule="auto"/>
        <w:rPr>
          <w:sz w:val="20"/>
          <w:szCs w:val="20"/>
          <w:color w:val="auto"/>
        </w:rPr>
      </w:pPr>
      <w:r>
        <w:rPr>
          <w:rFonts w:ascii="Arial" w:cs="Arial" w:eastAsia="Arial" w:hAnsi="Arial"/>
          <w:sz w:val="18"/>
          <w:szCs w:val="18"/>
          <w:color w:val="auto"/>
        </w:rPr>
        <w:t>Drug acquisition costs in 2019 were related to certain payments triggered pursuant to our asset contribution agreement with our Parent, or the Contribution Agreement, as discussed in Note 4 to the financial statements included elsewhere in this Quarterly Report on Form 10-Q.</w:t>
      </w:r>
    </w:p>
    <w:p>
      <w:pPr>
        <w:spacing w:after="0" w:line="184" w:lineRule="exact"/>
        <w:rPr>
          <w:sz w:val="20"/>
          <w:szCs w:val="20"/>
          <w:color w:val="auto"/>
        </w:rPr>
      </w:pPr>
    </w:p>
    <w:p>
      <w:pPr>
        <w:ind w:left="40" w:right="559" w:firstLine="324"/>
        <w:spacing w:after="0" w:line="277" w:lineRule="auto"/>
        <w:rPr>
          <w:sz w:val="20"/>
          <w:szCs w:val="20"/>
          <w:color w:val="auto"/>
        </w:rPr>
      </w:pPr>
      <w:r>
        <w:rPr>
          <w:rFonts w:ascii="Arial" w:cs="Arial" w:eastAsia="Arial" w:hAnsi="Arial"/>
          <w:sz w:val="18"/>
          <w:szCs w:val="18"/>
          <w:color w:val="auto"/>
        </w:rPr>
        <w:t>All other expenses increased as a result of higher occupancy costs, product liability insurance and shared service charges.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left="40" w:right="179" w:firstLine="324"/>
        <w:spacing w:after="0" w:line="342" w:lineRule="auto"/>
        <w:rPr>
          <w:sz w:val="20"/>
          <w:szCs w:val="20"/>
          <w:color w:val="auto"/>
        </w:rPr>
      </w:pPr>
      <w:r>
        <w:rPr>
          <w:rFonts w:ascii="Arial" w:cs="Arial" w:eastAsia="Arial" w:hAnsi="Arial"/>
          <w:sz w:val="16"/>
          <w:szCs w:val="16"/>
          <w:color w:val="auto"/>
        </w:rPr>
        <w:t>General and administrative expenses for the three months ended March 31, 2020 were $2,625 compared to $1,745 for the three months ended March 31, 2019. The increase of $880 is attributable to the costs described in the table below:</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6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Salaries, bonus &amp; related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Insurance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6320" w:type="dxa"/>
            <w:vAlign w:val="bottom"/>
          </w:tcPr>
          <w:p>
            <w:pPr>
              <w:ind w:left="220"/>
              <w:spacing w:after="0"/>
              <w:rPr>
                <w:sz w:val="20"/>
                <w:szCs w:val="20"/>
                <w:color w:val="auto"/>
              </w:rPr>
            </w:pPr>
            <w:r>
              <w:rPr>
                <w:rFonts w:ascii="Arial" w:cs="Arial" w:eastAsia="Arial" w:hAnsi="Arial"/>
                <w:sz w:val="18"/>
                <w:szCs w:val="18"/>
                <w:color w:val="auto"/>
              </w:rPr>
              <w:t>Total general and administrative expenses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1,745</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159" w:firstLine="324"/>
        <w:spacing w:after="0" w:line="277" w:lineRule="auto"/>
        <w:rPr>
          <w:sz w:val="20"/>
          <w:szCs w:val="20"/>
          <w:color w:val="auto"/>
        </w:rPr>
      </w:pPr>
      <w:r>
        <w:rPr>
          <w:rFonts w:ascii="Arial" w:cs="Arial" w:eastAsia="Arial" w:hAnsi="Arial"/>
          <w:sz w:val="18"/>
          <w:szCs w:val="18"/>
          <w:color w:val="auto"/>
        </w:rPr>
        <w:t>Salaries, bonus &amp; related costs decreased due to reduced travel costs as a result of COVID-19 travel restrictions offset by increases in salaries and related benefits.</w:t>
      </w:r>
    </w:p>
    <w:p>
      <w:pPr>
        <w:spacing w:after="0" w:line="170" w:lineRule="exact"/>
        <w:rPr>
          <w:sz w:val="20"/>
          <w:szCs w:val="20"/>
          <w:color w:val="auto"/>
        </w:rPr>
      </w:pPr>
    </w:p>
    <w:p>
      <w:pPr>
        <w:ind w:left="40" w:right="219" w:firstLine="324"/>
        <w:spacing w:after="0" w:line="277" w:lineRule="auto"/>
        <w:rPr>
          <w:sz w:val="20"/>
          <w:szCs w:val="20"/>
          <w:color w:val="auto"/>
        </w:rPr>
      </w:pPr>
      <w:r>
        <w:rPr>
          <w:rFonts w:ascii="Arial" w:cs="Arial" w:eastAsia="Arial" w:hAnsi="Arial"/>
          <w:sz w:val="18"/>
          <w:szCs w:val="18"/>
          <w:color w:val="auto"/>
        </w:rPr>
        <w:t>Non-cash stock-based compensation increased primarily due to additional grants provided to officers and directors of the Company and increased headcount.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3" w:name="page24"/>
    <w:bookmarkEnd w:id="2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firstLine="324"/>
        <w:spacing w:after="0" w:line="263" w:lineRule="auto"/>
        <w:rPr>
          <w:sz w:val="20"/>
          <w:szCs w:val="20"/>
          <w:color w:val="auto"/>
        </w:rPr>
      </w:pPr>
      <w:r>
        <w:rPr>
          <w:rFonts w:ascii="Arial" w:cs="Arial" w:eastAsia="Arial" w:hAnsi="Arial"/>
          <w:sz w:val="18"/>
          <w:szCs w:val="18"/>
          <w:color w:val="auto"/>
        </w:rPr>
        <w:t>Professional fees increased due to expanding operations and operating as a public company. Higher legal, patent, investor relations, licensing and information technology costs were incurred during the three months ended March 31, 2020 than the three months ended March 31, 2019.</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Insurance costs increased due to an increase in Director and Officer liability insurance.</w:t>
      </w:r>
    </w:p>
    <w:p>
      <w:pPr>
        <w:spacing w:after="0" w:line="225" w:lineRule="exact"/>
        <w:rPr>
          <w:sz w:val="20"/>
          <w:szCs w:val="20"/>
          <w:color w:val="auto"/>
        </w:rPr>
      </w:pPr>
    </w:p>
    <w:p>
      <w:pPr>
        <w:ind w:left="40" w:right="379" w:firstLine="324"/>
        <w:spacing w:after="0" w:line="277" w:lineRule="auto"/>
        <w:rPr>
          <w:sz w:val="20"/>
          <w:szCs w:val="20"/>
          <w:color w:val="auto"/>
        </w:rPr>
      </w:pPr>
      <w:r>
        <w:rPr>
          <w:rFonts w:ascii="Arial" w:cs="Arial" w:eastAsia="Arial" w:hAnsi="Arial"/>
          <w:sz w:val="18"/>
          <w:szCs w:val="18"/>
          <w:color w:val="auto"/>
        </w:rPr>
        <w:t>All other costs decreased due to reduced attendance at conferences and trade shows as a result of COVID-19 travel restrictions and lower furniture rental charges.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left="40" w:right="99" w:firstLine="324"/>
        <w:spacing w:after="0" w:line="277"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has had a material effect on our results of operations during the periods presented.</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0" w:right="379" w:firstLine="324"/>
        <w:spacing w:after="0" w:line="291" w:lineRule="auto"/>
        <w:rPr>
          <w:sz w:val="20"/>
          <w:szCs w:val="20"/>
          <w:color w:val="auto"/>
        </w:rPr>
      </w:pPr>
      <w:r>
        <w:rPr>
          <w:rFonts w:ascii="Arial" w:cs="Arial" w:eastAsia="Arial" w:hAnsi="Arial"/>
          <w:sz w:val="16"/>
          <w:szCs w:val="16"/>
          <w:color w:val="auto"/>
        </w:rPr>
        <w:t>As of March 31, 2020, we had cash and cash equivalents of $80,079, working capital of $71,333 and stockholders’ equity of $72,586. Net cash used in operating activities was $12,157 and $5,670 for the three months ended March 31,</w:t>
      </w:r>
    </w:p>
    <w:p>
      <w:pPr>
        <w:ind w:left="40" w:right="79"/>
        <w:spacing w:after="0" w:line="290" w:lineRule="auto"/>
        <w:rPr>
          <w:sz w:val="20"/>
          <w:szCs w:val="20"/>
          <w:color w:val="auto"/>
        </w:rPr>
      </w:pPr>
      <w:r>
        <w:rPr>
          <w:rFonts w:ascii="Arial" w:cs="Arial" w:eastAsia="Arial" w:hAnsi="Arial"/>
          <w:sz w:val="16"/>
          <w:szCs w:val="16"/>
          <w:color w:val="auto"/>
        </w:rPr>
        <w:t>2020 and 2019. We incurred losses of approximately $14,911 and $7,204 for the three months ended March 31, 2020 and 2019. We have not yet generated any revenues and we have not yet achieved profitability. We expect that our research and development and general and administrative expenses will continue to increase and, as a result, we will need to generate significant product revenues to achieve profitability. We believe that our existing cash and cash equivalents as of March 31, 2020, and a review of projected project timing, will enable us to fund our operating expenses and capital expenditure requirements for at least one year from the date of this Quarterly Report on Form 10-Q.</w:t>
      </w:r>
    </w:p>
    <w:p>
      <w:pPr>
        <w:spacing w:after="0" w:line="164" w:lineRule="exact"/>
        <w:rPr>
          <w:sz w:val="20"/>
          <w:szCs w:val="20"/>
          <w:color w:val="auto"/>
        </w:rPr>
      </w:pPr>
    </w:p>
    <w:p>
      <w:pPr>
        <w:ind w:left="40" w:right="99" w:firstLine="324"/>
        <w:spacing w:after="0" w:line="287" w:lineRule="auto"/>
        <w:rPr>
          <w:sz w:val="20"/>
          <w:szCs w:val="20"/>
          <w:color w:val="auto"/>
        </w:rPr>
      </w:pPr>
      <w:r>
        <w:rPr>
          <w:rFonts w:ascii="Arial" w:cs="Arial" w:eastAsia="Arial" w:hAnsi="Arial"/>
          <w:sz w:val="16"/>
          <w:szCs w:val="16"/>
          <w:color w:val="auto"/>
        </w:rPr>
        <w:t>Management intends to obtain financing through sales of the Company’s equity securities, entering into strategic partnership arrangements and/or short-term borrowings from banks, stockholders or other related parties, if needed. There are no assurances that we will be successful in obtaining an adequate level of financing as and when needed to finance our operations on terms acceptable to us or at all, particularly in light of the economic downturn and ongoing uncertainty related to the COVID-19 pandemic. If we are unable to secure adequate additional funding as and when needed, we may have to significantly delay, scale back or discontinue the development and commercialization of one or more product candidates. In addition, the magnitude and duration of the COVID-19 pandemic and its impact on our liquidity and future funding requirements is uncertain as of the filing date of this Quarterly Report on Form 10-Q, as the pandemic continues to evolve globally. See “Impact of COVID-19 Pandemic” above and “Risk Factors—The outbreak of COVID-19, or other pandemic, epidemic or outbreak of an infectious disease may materially and adversely impact our business, including our preclinical studies and clinical trials.” in Part II, Item 1A. of this Quarterly Report on Form 10-Q for a further discussion of the potential impact of the COVID-19 pandemic on our business.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left="40" w:right="139" w:firstLine="324"/>
        <w:spacing w:after="0" w:line="279" w:lineRule="auto"/>
        <w:rPr>
          <w:sz w:val="20"/>
          <w:szCs w:val="20"/>
          <w:color w:val="auto"/>
        </w:rPr>
      </w:pPr>
      <w:r>
        <w:rPr>
          <w:rFonts w:ascii="Arial" w:cs="Arial" w:eastAsia="Arial" w:hAnsi="Arial"/>
          <w:sz w:val="17"/>
          <w:szCs w:val="17"/>
          <w:color w:val="auto"/>
        </w:rPr>
        <w:t>We have focused our efforts on raising capital and building the products in our pipeline. Since our inception, all of our operations have been financed by our Parent, BioXcel, from the sales of our common stock in private placements and public offerings and under an Open Market Sale Agreement. We have not yet established an ongoing source of revenue sufficient to cover our operating costs and will need to do so in future periods.</w:t>
      </w:r>
    </w:p>
    <w:p>
      <w:pPr>
        <w:spacing w:after="0" w:line="171" w:lineRule="exact"/>
        <w:rPr>
          <w:sz w:val="20"/>
          <w:szCs w:val="20"/>
          <w:color w:val="auto"/>
        </w:rPr>
      </w:pPr>
    </w:p>
    <w:p>
      <w:pPr>
        <w:ind w:left="40" w:right="239" w:firstLine="324"/>
        <w:spacing w:after="0" w:line="277" w:lineRule="auto"/>
        <w:rPr>
          <w:sz w:val="20"/>
          <w:szCs w:val="20"/>
          <w:color w:val="auto"/>
        </w:rPr>
      </w:pPr>
      <w:r>
        <w:rPr>
          <w:rFonts w:ascii="Arial" w:cs="Arial" w:eastAsia="Arial" w:hAnsi="Arial"/>
          <w:sz w:val="18"/>
          <w:szCs w:val="18"/>
          <w:color w:val="auto"/>
        </w:rPr>
        <w:t>In January and February 2018, the Company issued 283,452 shares of common stock with an issuance price of $6.88 per share for gross and net proceeds of $1,950.</w:t>
      </w:r>
    </w:p>
    <w:p>
      <w:pPr>
        <w:spacing w:after="0" w:line="170" w:lineRule="exact"/>
        <w:rPr>
          <w:sz w:val="20"/>
          <w:szCs w:val="20"/>
          <w:color w:val="auto"/>
        </w:rPr>
      </w:pPr>
    </w:p>
    <w:p>
      <w:pPr>
        <w:ind w:left="40" w:right="199" w:firstLine="324"/>
        <w:spacing w:after="0" w:line="277" w:lineRule="auto"/>
        <w:rPr>
          <w:sz w:val="20"/>
          <w:szCs w:val="20"/>
          <w:color w:val="auto"/>
        </w:rPr>
      </w:pPr>
      <w:r>
        <w:rPr>
          <w:rFonts w:ascii="Arial" w:cs="Arial" w:eastAsia="Arial" w:hAnsi="Arial"/>
          <w:sz w:val="18"/>
          <w:szCs w:val="18"/>
          <w:color w:val="auto"/>
        </w:rPr>
        <w:t>In March 2018, we completed our IPO and we issued and sold 5,454,545 shares of common stock at a public offering price of $11.00 per share. Gross proceeds totaled $60,000, and net proceeds totaled $54,102.</w:t>
      </w:r>
    </w:p>
    <w:p>
      <w:pPr>
        <w:spacing w:after="0" w:line="170" w:lineRule="exact"/>
        <w:rPr>
          <w:sz w:val="20"/>
          <w:szCs w:val="20"/>
          <w:color w:val="auto"/>
        </w:rPr>
      </w:pPr>
    </w:p>
    <w:p>
      <w:pPr>
        <w:ind w:left="40" w:right="219" w:firstLine="324"/>
        <w:spacing w:after="0" w:line="311" w:lineRule="auto"/>
        <w:rPr>
          <w:sz w:val="20"/>
          <w:szCs w:val="20"/>
          <w:color w:val="auto"/>
        </w:rPr>
      </w:pPr>
      <w:r>
        <w:rPr>
          <w:rFonts w:ascii="Arial" w:cs="Arial" w:eastAsia="Arial" w:hAnsi="Arial"/>
          <w:sz w:val="16"/>
          <w:szCs w:val="16"/>
          <w:color w:val="auto"/>
        </w:rPr>
        <w:t>In May 2019, we entered into an Open Market Sale Agreement, or the Sale Agreement, with Jefferies LLC, or Jefferies, pursuant to which we could offer and sell shares of our common stock having an initial offering price no greater than $20,000, from time to time, through an “at the market offering” program under which Jefferies would act as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4" w:name="page25"/>
    <w:bookmarkEnd w:id="2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639"/>
        <w:spacing w:after="0" w:line="277" w:lineRule="auto"/>
        <w:rPr>
          <w:sz w:val="20"/>
          <w:szCs w:val="20"/>
          <w:color w:val="auto"/>
        </w:rPr>
      </w:pPr>
      <w:r>
        <w:rPr>
          <w:rFonts w:ascii="Arial" w:cs="Arial" w:eastAsia="Arial" w:hAnsi="Arial"/>
          <w:sz w:val="18"/>
          <w:szCs w:val="18"/>
          <w:color w:val="auto"/>
        </w:rPr>
        <w:t>sales agent. From May 2019 to September 2019, we sold a total of 66,193 shares for gross proceeds of $737 and net proceeds of $387. We terminated the Sale Agreement on September 22, 2019.</w:t>
      </w:r>
    </w:p>
    <w:p>
      <w:pPr>
        <w:spacing w:after="0" w:line="170" w:lineRule="exact"/>
        <w:rPr>
          <w:sz w:val="20"/>
          <w:szCs w:val="20"/>
          <w:color w:val="auto"/>
        </w:rPr>
      </w:pPr>
    </w:p>
    <w:p>
      <w:pPr>
        <w:ind w:left="40" w:right="99" w:firstLine="324"/>
        <w:spacing w:after="0" w:line="263" w:lineRule="auto"/>
        <w:rPr>
          <w:sz w:val="20"/>
          <w:szCs w:val="20"/>
          <w:color w:val="auto"/>
        </w:rPr>
      </w:pPr>
      <w:r>
        <w:rPr>
          <w:rFonts w:ascii="Arial" w:cs="Arial" w:eastAsia="Arial" w:hAnsi="Arial"/>
          <w:sz w:val="18"/>
          <w:szCs w:val="18"/>
          <w:color w:val="auto"/>
        </w:rPr>
        <w:t>In September 2019, we sold in a registered offering 2,303,030 shares of our common stock at a public offering price of $8.25 per share, less underwriting discounts and commissions for which we received gross and net proceeds of approximately $19,000 and $17,423, respectively.</w:t>
      </w:r>
    </w:p>
    <w:p>
      <w:pPr>
        <w:spacing w:after="0" w:line="184" w:lineRule="exact"/>
        <w:rPr>
          <w:sz w:val="20"/>
          <w:szCs w:val="20"/>
          <w:color w:val="auto"/>
        </w:rPr>
      </w:pPr>
    </w:p>
    <w:p>
      <w:pPr>
        <w:ind w:left="40" w:right="219" w:firstLine="324"/>
        <w:spacing w:after="0" w:line="301" w:lineRule="auto"/>
        <w:rPr>
          <w:sz w:val="20"/>
          <w:szCs w:val="20"/>
          <w:color w:val="auto"/>
        </w:rPr>
      </w:pPr>
      <w:r>
        <w:rPr>
          <w:rFonts w:ascii="Arial" w:cs="Arial" w:eastAsia="Arial" w:hAnsi="Arial"/>
          <w:sz w:val="16"/>
          <w:szCs w:val="16"/>
          <w:color w:val="auto"/>
        </w:rPr>
        <w:t>In February 2020, we sold in a registered offering 2,300,000 shares of our common stock at a public offering price of $32.00 per share for gross proceeds of $73,600 less underwriting discounts and commissions. The Company received proceeds of approximately $68,811, net of issuance costs of $4,789 from the February 2020 offering. The Company used $9,024 of the proceeds to purchase and cancel 300,000 shares of common stock from BioXcel.</w:t>
      </w:r>
    </w:p>
    <w:p>
      <w:pPr>
        <w:spacing w:after="0" w:line="157" w:lineRule="exact"/>
        <w:rPr>
          <w:sz w:val="20"/>
          <w:szCs w:val="20"/>
          <w:color w:val="auto"/>
        </w:rPr>
      </w:pPr>
    </w:p>
    <w:p>
      <w:pPr>
        <w:ind w:left="40" w:right="59" w:firstLine="324"/>
        <w:spacing w:after="0" w:line="255" w:lineRule="auto"/>
        <w:rPr>
          <w:sz w:val="20"/>
          <w:szCs w:val="20"/>
          <w:color w:val="auto"/>
        </w:rPr>
      </w:pPr>
      <w:r>
        <w:rPr>
          <w:rFonts w:ascii="Arial" w:cs="Arial" w:eastAsia="Arial" w:hAnsi="Arial"/>
          <w:sz w:val="18"/>
          <w:szCs w:val="18"/>
          <w:color w:val="auto"/>
        </w:rPr>
        <w:t>The Company received funds under the Paycheck Protection Program of the Coronavirus Aid, Relief, and Economic Security Act (“CARES Act”) in April 2020 in the amount of $537. On April 23, 2020 the Small Business Administration issued a new FAQ #31, which provided guidance on what it means to certify that: “current economic uncertainty makes this loan request necessary to support the ongoing operations of the Applicant.” Following review of this new FAQ #31 the Company decided to withdraw from the Paycheck Protection Program and has repaid the loan in full together with all accrued interest.</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20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42"/>
        </w:trPr>
        <w:tc>
          <w:tcPr>
            <w:tcW w:w="670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in thousands: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   (12,157)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(5,670)</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0"/>
        </w:trPr>
        <w:tc>
          <w:tcPr>
            <w:tcW w:w="6700" w:type="dxa"/>
            <w:vAlign w:val="bottom"/>
          </w:tcPr>
          <w:p>
            <w:pPr>
              <w:ind w:left="120"/>
              <w:spacing w:after="0"/>
              <w:rPr>
                <w:sz w:val="20"/>
                <w:szCs w:val="20"/>
                <w:color w:val="auto"/>
              </w:rPr>
            </w:pPr>
            <w:r>
              <w:rPr>
                <w:rFonts w:ascii="Arial" w:cs="Arial" w:eastAsia="Arial" w:hAnsi="Arial"/>
                <w:sz w:val="18"/>
                <w:szCs w:val="18"/>
                <w:color w:val="auto"/>
              </w:rPr>
              <w:t>Financing activities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59,826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left="40" w:right="79" w:firstLine="324"/>
        <w:spacing w:after="0" w:line="259" w:lineRule="auto"/>
        <w:rPr>
          <w:sz w:val="20"/>
          <w:szCs w:val="20"/>
          <w:color w:val="auto"/>
        </w:rPr>
      </w:pPr>
      <w:r>
        <w:rPr>
          <w:rFonts w:ascii="Arial" w:cs="Arial" w:eastAsia="Arial" w:hAnsi="Arial"/>
          <w:sz w:val="18"/>
          <w:szCs w:val="18"/>
          <w:color w:val="auto"/>
        </w:rPr>
        <w:t>For the three months ended March 31, 2020, net cash used in operating activities was $12,157 which consisted of a net loss of $14,911 partially offset by $776 in stock-based compensation and $47 of depreciation and amortization. Increases in accounts payable, accrued expenses and other of $3,769 were offset in part by increases in prepaid expenses (primarily for insurance premiums) and other assets of $1,838.</w:t>
      </w:r>
    </w:p>
    <w:p>
      <w:pPr>
        <w:spacing w:after="0" w:line="187" w:lineRule="exact"/>
        <w:rPr>
          <w:sz w:val="20"/>
          <w:szCs w:val="20"/>
          <w:color w:val="auto"/>
        </w:rPr>
      </w:pPr>
    </w:p>
    <w:p>
      <w:pPr>
        <w:jc w:val="both"/>
        <w:ind w:left="40" w:right="79" w:firstLine="324"/>
        <w:spacing w:after="0" w:line="259" w:lineRule="auto"/>
        <w:rPr>
          <w:sz w:val="20"/>
          <w:szCs w:val="20"/>
          <w:color w:val="auto"/>
        </w:rPr>
      </w:pPr>
      <w:r>
        <w:rPr>
          <w:rFonts w:ascii="Arial" w:cs="Arial" w:eastAsia="Arial" w:hAnsi="Arial"/>
          <w:sz w:val="18"/>
          <w:szCs w:val="18"/>
          <w:color w:val="auto"/>
        </w:rPr>
        <w:t>For the three months ended March 31, 2019, net cash used in operating activities was $5,670, which consisted of a net loss of $7,204 partially offset by $682 in stock-based compensation and $37 of depreciation. Increases in accounts payable, accrued expenses and other of $1,607 were offset in part by increases in prepaid expenses of $1,292. A payment to BioXcel of $500 was made pursuant to the Contribution Agreement.</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left="40" w:right="99" w:firstLine="324"/>
        <w:spacing w:after="0" w:line="301" w:lineRule="auto"/>
        <w:rPr>
          <w:sz w:val="20"/>
          <w:szCs w:val="20"/>
          <w:color w:val="auto"/>
        </w:rPr>
      </w:pPr>
      <w:r>
        <w:rPr>
          <w:rFonts w:ascii="Arial" w:cs="Arial" w:eastAsia="Arial" w:hAnsi="Arial"/>
          <w:sz w:val="16"/>
          <w:szCs w:val="16"/>
          <w:color w:val="auto"/>
        </w:rPr>
        <w:t>Net cash used in investing activities was $16 for the three months ended March 31, 2020, compared to $600 for the three months ended March 31, 2019. All of the net cash used in investing activities for three months ended March 31, 2020 related to expenditures for property and equipment. The majority of our expenditures for the three months ended March 31, 2019 were related to construction costs and purchases of furniture for the occupancy of our office site.</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left="40" w:right="119" w:firstLine="324"/>
        <w:spacing w:after="0" w:line="311" w:lineRule="auto"/>
        <w:rPr>
          <w:sz w:val="20"/>
          <w:szCs w:val="20"/>
          <w:color w:val="auto"/>
        </w:rPr>
      </w:pPr>
      <w:r>
        <w:rPr>
          <w:rFonts w:ascii="Arial" w:cs="Arial" w:eastAsia="Arial" w:hAnsi="Arial"/>
          <w:sz w:val="16"/>
          <w:szCs w:val="16"/>
          <w:color w:val="auto"/>
        </w:rPr>
        <w:t>Net cash provided by financing activities was $59,826 for the three months ended March 31, 2020. Our February 2020 Offering provided funds of $68,811, net of $4,579 of closing costs. Approximately $9,024 from this offering was used for the purchase and cancellation of 300,000 shares owned by BioXcel. Exercises of options provided funds of $39.</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 w:name="page26"/>
    <w:bookmarkEnd w:id="2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cash provided by financing activities was nominal for the three months ended March 31, 2019.</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Operating Capital and Capital Expenditure Requirements</w:t>
      </w:r>
    </w:p>
    <w:p>
      <w:pPr>
        <w:spacing w:after="0" w:line="229" w:lineRule="exact"/>
        <w:rPr>
          <w:sz w:val="20"/>
          <w:szCs w:val="20"/>
          <w:color w:val="auto"/>
        </w:rPr>
      </w:pPr>
    </w:p>
    <w:p>
      <w:pPr>
        <w:ind w:left="40" w:right="59" w:firstLine="324"/>
        <w:spacing w:after="0" w:line="255" w:lineRule="auto"/>
        <w:rPr>
          <w:sz w:val="20"/>
          <w:szCs w:val="20"/>
          <w:color w:val="auto"/>
        </w:rPr>
      </w:pPr>
      <w:r>
        <w:rPr>
          <w:rFonts w:ascii="Arial" w:cs="Arial" w:eastAsia="Arial" w:hAnsi="Arial"/>
          <w:sz w:val="18"/>
          <w:szCs w:val="18"/>
          <w:color w:val="auto"/>
        </w:rPr>
        <w:t>We expect to continue to incur significant and increasing operating losses at least for the next several years as we expand our clinical trials of BXCL501 and BXCL701, seek marketing approval for our product candidates and pursue development of our other product candidates. We do not expect to generate revenue unless and until we successfully complete development and obtain regulatory approval for our product candidates. Our net losses may fluctuate significantly from quarter-to-quarter and year-to-year, depending on the timing of our planned clinical trials and our expenditures on other research and development activities.</w:t>
      </w:r>
    </w:p>
    <w:p>
      <w:pPr>
        <w:spacing w:after="0" w:line="192" w:lineRule="exact"/>
        <w:rPr>
          <w:sz w:val="20"/>
          <w:szCs w:val="20"/>
          <w:color w:val="auto"/>
        </w:rPr>
      </w:pPr>
    </w:p>
    <w:p>
      <w:pPr>
        <w:ind w:left="40" w:right="99" w:firstLine="324"/>
        <w:spacing w:after="0" w:line="301" w:lineRule="auto"/>
        <w:rPr>
          <w:sz w:val="20"/>
          <w:szCs w:val="20"/>
          <w:color w:val="auto"/>
        </w:rPr>
      </w:pPr>
      <w:r>
        <w:rPr>
          <w:rFonts w:ascii="Arial" w:cs="Arial" w:eastAsia="Arial" w:hAnsi="Arial"/>
          <w:sz w:val="16"/>
          <w:szCs w:val="16"/>
          <w:color w:val="auto"/>
        </w:rPr>
        <w:t>We have based our projections of operating capital requirements on assumptions that may prove to be incorrect and we may use all of our available capital resources sooner than we expect. Because of the numerous risks and uncertainties associated with research, development and commercialization of pharmaceutical products, we are unable to estimate the exact amount of our operating capital requirements. We anticipate that our expenses will increase substantially as we:</w:t>
      </w:r>
    </w:p>
    <w:p>
      <w:pPr>
        <w:spacing w:after="0" w:line="157" w:lineRule="exact"/>
        <w:rPr>
          <w:sz w:val="20"/>
          <w:szCs w:val="20"/>
          <w:color w:val="auto"/>
        </w:rPr>
      </w:pPr>
    </w:p>
    <w:p>
      <w:pPr>
        <w:ind w:left="1080" w:hanging="71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our clinical development of BXCL501 and BXCL701;</w:t>
      </w:r>
    </w:p>
    <w:p>
      <w:pPr>
        <w:spacing w:after="0" w:line="225" w:lineRule="exact"/>
        <w:rPr>
          <w:rFonts w:ascii="Arial" w:cs="Arial" w:eastAsia="Arial" w:hAnsi="Arial"/>
          <w:sz w:val="18"/>
          <w:szCs w:val="18"/>
          <w:color w:val="auto"/>
        </w:rPr>
      </w:pPr>
    </w:p>
    <w:p>
      <w:pPr>
        <w:ind w:left="1080" w:hanging="71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conduct additional research and development with our product candidates;</w:t>
      </w:r>
    </w:p>
    <w:p>
      <w:pPr>
        <w:spacing w:after="0" w:line="225" w:lineRule="exact"/>
        <w:rPr>
          <w:rFonts w:ascii="Arial" w:cs="Arial" w:eastAsia="Arial" w:hAnsi="Arial"/>
          <w:sz w:val="18"/>
          <w:szCs w:val="18"/>
          <w:color w:val="auto"/>
        </w:rPr>
      </w:pPr>
    </w:p>
    <w:p>
      <w:pPr>
        <w:ind w:left="1080" w:hanging="71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to identify, acquire, develop and commercialize additional product candidates;</w:t>
      </w:r>
    </w:p>
    <w:p>
      <w:pPr>
        <w:spacing w:after="0" w:line="225" w:lineRule="exact"/>
        <w:rPr>
          <w:rFonts w:ascii="Arial" w:cs="Arial" w:eastAsia="Arial" w:hAnsi="Arial"/>
          <w:sz w:val="18"/>
          <w:szCs w:val="18"/>
          <w:color w:val="auto"/>
        </w:rPr>
      </w:pPr>
    </w:p>
    <w:p>
      <w:pPr>
        <w:ind w:left="1080" w:hanging="712"/>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integrate acquired technologies into a comprehensive regulatory and product development strategy;</w:t>
      </w:r>
    </w:p>
    <w:p>
      <w:pPr>
        <w:spacing w:after="0" w:line="236" w:lineRule="exact"/>
        <w:rPr>
          <w:rFonts w:ascii="Arial" w:cs="Arial" w:eastAsia="Arial" w:hAnsi="Arial"/>
          <w:sz w:val="17"/>
          <w:szCs w:val="17"/>
          <w:color w:val="auto"/>
        </w:rPr>
      </w:pPr>
    </w:p>
    <w:p>
      <w:pPr>
        <w:ind w:left="1080" w:hanging="71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rFonts w:ascii="Arial" w:cs="Arial" w:eastAsia="Arial" w:hAnsi="Arial"/>
          <w:sz w:val="18"/>
          <w:szCs w:val="18"/>
          <w:color w:val="auto"/>
        </w:rPr>
      </w:pPr>
    </w:p>
    <w:p>
      <w:pPr>
        <w:ind w:left="1080" w:hanging="71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hire scientific, clinical, quality control and administrative personnel;</w:t>
      </w:r>
    </w:p>
    <w:p>
      <w:pPr>
        <w:spacing w:after="0" w:line="225" w:lineRule="exact"/>
        <w:rPr>
          <w:rFonts w:ascii="Arial" w:cs="Arial" w:eastAsia="Arial" w:hAnsi="Arial"/>
          <w:sz w:val="18"/>
          <w:szCs w:val="18"/>
          <w:color w:val="auto"/>
        </w:rPr>
      </w:pPr>
    </w:p>
    <w:p>
      <w:pPr>
        <w:ind w:left="700" w:right="139" w:hanging="332"/>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drug development efforts;</w:t>
      </w:r>
    </w:p>
    <w:p>
      <w:pPr>
        <w:spacing w:after="0" w:line="170" w:lineRule="exact"/>
        <w:rPr>
          <w:rFonts w:ascii="Arial" w:cs="Arial" w:eastAsia="Arial" w:hAnsi="Arial"/>
          <w:sz w:val="18"/>
          <w:szCs w:val="18"/>
          <w:color w:val="auto"/>
        </w:rPr>
      </w:pPr>
    </w:p>
    <w:p>
      <w:pPr>
        <w:ind w:left="1080" w:hanging="71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700" w:right="779" w:hanging="332"/>
        <w:spacing w:after="0" w:line="342"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ultimately establish a sales, marketing and distribution infrastructure and scale up external manufacturing capabilities to commercialize any product candidates for which we may obtain regulatory approval; and</w:t>
      </w:r>
    </w:p>
    <w:p>
      <w:pPr>
        <w:spacing w:after="0" w:line="123" w:lineRule="exact"/>
        <w:rPr>
          <w:rFonts w:ascii="Arial" w:cs="Arial" w:eastAsia="Arial" w:hAnsi="Arial"/>
          <w:sz w:val="16"/>
          <w:szCs w:val="16"/>
          <w:color w:val="auto"/>
        </w:rPr>
      </w:pPr>
    </w:p>
    <w:p>
      <w:pPr>
        <w:ind w:left="1080" w:hanging="71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operate as a public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right="159" w:firstLine="324"/>
        <w:spacing w:after="0" w:line="287" w:lineRule="auto"/>
        <w:rPr>
          <w:sz w:val="20"/>
          <w:szCs w:val="20"/>
          <w:color w:val="auto"/>
        </w:rPr>
      </w:pPr>
      <w:r>
        <w:rPr>
          <w:rFonts w:ascii="Arial" w:cs="Arial" w:eastAsia="Arial" w:hAnsi="Arial"/>
          <w:sz w:val="16"/>
          <w:szCs w:val="16"/>
          <w:color w:val="auto"/>
        </w:rPr>
        <w:t>We expect that we will need to obtain substantial additional funding in order to complete our clinical trials. To the extent that we raise additional capital through the sale of common stock, convertible securities or other equity securities, the ownership interests of our existing stockholders may be materially diluted and the terms of these securities could include liquidation or other preferences that could adversely affect the rights of our existing stockholders. In addition, debt financing, if available, would result in increased fixed payment obligations and may involve agreements that include restrictive covenants that limit our ability to take specific actions, such as incurring additional debt, making capital expenditures or declaring dividends, that could adversely impact our ability to conduct our business. If we are unable to raise capital when needed or on attractive terms, we could be forced to significantly delay, scale back or discontinue the development or commercialization of BXCL501, BXCL701 or other product candidates, seek collaborators at an earlier stage than otherwise would be desirable or on terms that are less favorable than might otherwise be available, and relinquish or license, potentially on unfavorable terms, our rights to BXCL501, BXCL701 or other product candidates that we otherwise would seek to develop or commercialize ourselves.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March 31, 2020, we did not have any off-balance sheet arrangements as defined under SEC rules.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40" w:right="139" w:firstLine="360"/>
        <w:spacing w:after="0" w:line="257" w:lineRule="auto"/>
        <w:rPr>
          <w:sz w:val="20"/>
          <w:szCs w:val="20"/>
          <w:color w:val="auto"/>
        </w:rPr>
      </w:pPr>
      <w:r>
        <w:rPr>
          <w:rFonts w:ascii="Arial" w:cs="Arial" w:eastAsia="Arial" w:hAnsi="Arial"/>
          <w:sz w:val="18"/>
          <w:szCs w:val="18"/>
          <w:color w:val="auto"/>
        </w:rPr>
        <w:t>Our critical accounting policies and estimates are described in "Management's Discussion and Analysis of Financial Condition and Results of Operations—Critical Accounting Policies " in our Annual Report on Form 10-K for the fiscal year ended December 31, 2019. We have reviewed and determined that those critical accounting policies and estimates remain our critical accounting policies and estimates as of and for the three ended March 31, 2020. No changes were made to our critical accounting policies during the period presented.</w:t>
      </w:r>
    </w:p>
    <w:p>
      <w:pPr>
        <w:sectPr>
          <w:pgSz w:w="11900" w:h="16838" w:orient="portrait"/>
          <w:cols w:equalWidth="0" w:num="1">
            <w:col w:w="9019"/>
          </w:cols>
          <w:pgMar w:left="1440" w:top="125" w:right="1440" w:bottom="952"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952" w:gutter="0" w:footer="0" w:header="0"/>
          <w:type w:val="continuous"/>
        </w:sectPr>
      </w:pPr>
    </w:p>
    <w:bookmarkStart w:id="26" w:name="page27"/>
    <w:bookmarkEnd w:id="2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jc w:val="both"/>
        <w:ind w:left="40" w:right="59" w:firstLine="324"/>
        <w:spacing w:after="0" w:line="275" w:lineRule="auto"/>
        <w:rPr>
          <w:sz w:val="20"/>
          <w:szCs w:val="20"/>
          <w:color w:val="auto"/>
        </w:rPr>
      </w:pPr>
      <w:r>
        <w:rPr>
          <w:rFonts w:ascii="Arial" w:cs="Arial" w:eastAsia="Arial" w:hAnsi="Arial"/>
          <w:sz w:val="17"/>
          <w:szCs w:val="17"/>
          <w:color w:val="auto"/>
        </w:rPr>
        <w:t>On April 5, 2012, the Jumpstart Our Business Startups Act of 2012, or the JOBS Act, was enacted. Section 107 of the JOBS Act provides that an “emerging growth company” can take advantage of the extended transition period provided in Section 7(a)(2)(B) of the Securities Act of 1933, as amended, or the Securities Act, for complying with new or revised accounting standards. In other words, an “emerging growth company” can delay the adoption of certain accounting standards until those standards would otherwise apply to private companies.</w:t>
      </w:r>
    </w:p>
    <w:p>
      <w:pPr>
        <w:spacing w:after="0" w:line="176" w:lineRule="exact"/>
        <w:rPr>
          <w:sz w:val="20"/>
          <w:szCs w:val="20"/>
          <w:color w:val="auto"/>
        </w:rPr>
      </w:pPr>
    </w:p>
    <w:p>
      <w:pPr>
        <w:jc w:val="both"/>
        <w:ind w:left="40" w:right="59" w:firstLine="324"/>
        <w:spacing w:after="0" w:line="311" w:lineRule="auto"/>
        <w:rPr>
          <w:sz w:val="20"/>
          <w:szCs w:val="20"/>
          <w:color w:val="auto"/>
        </w:rPr>
      </w:pPr>
      <w:r>
        <w:rPr>
          <w:rFonts w:ascii="Arial" w:cs="Arial" w:eastAsia="Arial" w:hAnsi="Arial"/>
          <w:sz w:val="16"/>
          <w:szCs w:val="16"/>
          <w:color w:val="auto"/>
        </w:rPr>
        <w:t>We have chosen to opt out of the extended transition periods available to emerging growth companies under the JOBS Act for complying with new or revised accounting standards. Section 107 of the JOBS Act provides that our decision to opt out of the extended transition periods for complying with new or revised accounting standards is irrevocable.</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40" w:right="379" w:firstLine="324"/>
        <w:spacing w:after="0" w:line="342" w:lineRule="auto"/>
        <w:rPr>
          <w:sz w:val="20"/>
          <w:szCs w:val="20"/>
          <w:color w:val="auto"/>
        </w:rPr>
      </w:pPr>
      <w:r>
        <w:rPr>
          <w:rFonts w:ascii="Arial" w:cs="Arial" w:eastAsia="Arial" w:hAnsi="Arial"/>
          <w:sz w:val="16"/>
          <w:szCs w:val="16"/>
          <w:color w:val="auto"/>
        </w:rPr>
        <w:t>A description of recently issued accounting pronouncements that may potentially impact our financial position and results of operations is set forth in Note 3 to the financial statements included elsewhere in this Quarterly Report.</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40" w:right="299" w:firstLine="324"/>
        <w:spacing w:after="0" w:line="311" w:lineRule="auto"/>
        <w:rPr>
          <w:sz w:val="20"/>
          <w:szCs w:val="20"/>
          <w:color w:val="auto"/>
        </w:rPr>
      </w:pPr>
      <w:r>
        <w:rPr>
          <w:rFonts w:ascii="Arial" w:cs="Arial" w:eastAsia="Arial" w:hAnsi="Arial"/>
          <w:sz w:val="16"/>
          <w:szCs w:val="16"/>
          <w:color w:val="auto"/>
        </w:rPr>
        <w:t>Our balance sheet as of March 31, 2020 includes cash and cash equivalents of $80,079. We do not participate in any foreign currency hedging activities and we do not have any other derivative financial instruments. We did not recognize any significant exchange rate losses during the three months ended March 31, 2020 and 2019, respectively.</w:t>
      </w:r>
    </w:p>
    <w:p>
      <w:pPr>
        <w:spacing w:after="0" w:line="149" w:lineRule="exact"/>
        <w:rPr>
          <w:sz w:val="20"/>
          <w:szCs w:val="20"/>
          <w:color w:val="auto"/>
        </w:rPr>
      </w:pPr>
    </w:p>
    <w:p>
      <w:pPr>
        <w:ind w:left="40" w:right="139" w:firstLine="324"/>
        <w:spacing w:after="0" w:line="279" w:lineRule="auto"/>
        <w:rPr>
          <w:sz w:val="20"/>
          <w:szCs w:val="20"/>
          <w:color w:val="auto"/>
        </w:rPr>
      </w:pPr>
      <w:r>
        <w:rPr>
          <w:rFonts w:ascii="Arial" w:cs="Arial" w:eastAsia="Arial" w:hAnsi="Arial"/>
          <w:sz w:val="17"/>
          <w:szCs w:val="17"/>
          <w:color w:val="auto"/>
        </w:rPr>
        <w:t>We do not believe that our cash and cash equivalents have significant risk of default or illiquidity. While we believe our cash and cash equivalents does not contain excessive risk, we cannot provide absolute assurance that in the future our investments will not be subject to adverse changes in market value. In addition, we maintain significant amounts of cash at one or more financial institutions that are in excess of federally insured limits.</w:t>
      </w:r>
    </w:p>
    <w:p>
      <w:pPr>
        <w:spacing w:after="0" w:line="171" w:lineRule="exact"/>
        <w:rPr>
          <w:sz w:val="20"/>
          <w:szCs w:val="20"/>
          <w:color w:val="auto"/>
        </w:rPr>
      </w:pPr>
    </w:p>
    <w:p>
      <w:pPr>
        <w:ind w:left="40" w:right="319" w:firstLine="324"/>
        <w:spacing w:after="0" w:line="301" w:lineRule="auto"/>
        <w:rPr>
          <w:sz w:val="20"/>
          <w:szCs w:val="20"/>
          <w:color w:val="auto"/>
        </w:rPr>
      </w:pPr>
      <w:r>
        <w:rPr>
          <w:rFonts w:ascii="Arial" w:cs="Arial" w:eastAsia="Arial" w:hAnsi="Arial"/>
          <w:sz w:val="16"/>
          <w:szCs w:val="16"/>
          <w:color w:val="auto"/>
        </w:rPr>
        <w:t>The market risk inherent in our financial instruments and in our financial position has historically been the potential loss arising from adverse changes in interest rates. At March 31, 2020 and December 31, 2019, we had cash and cash equivalents of approximately $80,079 and $32,426, respectively. As of March 31, 2020, we held our cash primarily in money market accounts and accordingly, the value of these accounts is subject to fluctuation in interest rates.</w:t>
      </w:r>
    </w:p>
    <w:p>
      <w:pPr>
        <w:spacing w:after="0" w:line="157" w:lineRule="exact"/>
        <w:rPr>
          <w:sz w:val="20"/>
          <w:szCs w:val="20"/>
          <w:color w:val="auto"/>
        </w:rPr>
      </w:pPr>
    </w:p>
    <w:p>
      <w:pPr>
        <w:ind w:left="40" w:right="279" w:firstLine="324"/>
        <w:spacing w:after="0" w:line="277" w:lineRule="auto"/>
        <w:rPr>
          <w:sz w:val="20"/>
          <w:szCs w:val="20"/>
          <w:color w:val="auto"/>
        </w:rPr>
      </w:pPr>
      <w:r>
        <w:rPr>
          <w:rFonts w:ascii="Arial" w:cs="Arial" w:eastAsia="Arial" w:hAnsi="Arial"/>
          <w:sz w:val="18"/>
          <w:szCs w:val="18"/>
          <w:color w:val="auto"/>
        </w:rPr>
        <w:t>We do not engage in any hedging activities against changes in interest rates. We do not have any foreign currency or other derivative financial instruments.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left="40" w:right="159" w:firstLine="360"/>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Chief Financial Officer (our principal executive officer and principal financial officer, respectively), evaluated the effectiveness of our disclosure controls and procedures as of March 31, 2020.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Securities and Exchange Commission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7" w:name="page28"/>
    <w:bookmarkEnd w:id="2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99" w:firstLine="360"/>
        <w:spacing w:after="0" w:line="263" w:lineRule="auto"/>
        <w:rPr>
          <w:sz w:val="20"/>
          <w:szCs w:val="20"/>
          <w:color w:val="auto"/>
        </w:rPr>
      </w:pPr>
      <w:r>
        <w:rPr>
          <w:rFonts w:ascii="Arial" w:cs="Arial" w:eastAsia="Arial" w:hAnsi="Arial"/>
          <w:sz w:val="18"/>
          <w:szCs w:val="18"/>
          <w:color w:val="auto"/>
        </w:rPr>
        <w:t>Based on the evaluation of our disclosure controls and procedures as of March 31, 2020, our Chief Executive Officer and Chief Financial Officer concluded that, as of such date, our disclosure controls and procedures were effective at the reasonable assurance level.</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40" w:right="339" w:firstLine="363"/>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three months ended March 31, 2020 that have materially affected, or are reasonably likely to materially affect, our internal control over financial reporting.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8" w:name="page29"/>
    <w:bookmarkEnd w:id="2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left="40" w:right="319" w:firstLine="324"/>
        <w:spacing w:after="0" w:line="259" w:lineRule="auto"/>
        <w:rPr>
          <w:sz w:val="20"/>
          <w:szCs w:val="20"/>
          <w:color w:val="auto"/>
        </w:rPr>
      </w:pPr>
      <w:r>
        <w:rPr>
          <w:rFonts w:ascii="Arial" w:cs="Arial" w:eastAsia="Arial" w:hAnsi="Arial"/>
          <w:sz w:val="18"/>
          <w:szCs w:val="18"/>
          <w:color w:val="auto"/>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40" w:right="119" w:firstLine="324"/>
        <w:spacing w:after="0" w:line="219" w:lineRule="exact"/>
        <w:rPr>
          <w:sz w:val="20"/>
          <w:szCs w:val="20"/>
          <w:color w:val="auto"/>
        </w:rPr>
      </w:pPr>
      <w:r>
        <w:rPr>
          <w:rFonts w:ascii="Arial" w:cs="Arial" w:eastAsia="Arial" w:hAnsi="Arial"/>
          <w:sz w:val="17"/>
          <w:szCs w:val="17"/>
          <w:i w:val="1"/>
          <w:iCs w:val="1"/>
          <w:color w:val="auto"/>
        </w:rPr>
        <w:t>You should carefully consider the risks described below, as well as general economic and business risks and the other information in this Quarterly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Q.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Financial Position and Need for Additional Capital</w:t>
      </w:r>
    </w:p>
    <w:p>
      <w:pPr>
        <w:spacing w:after="0" w:line="229" w:lineRule="exact"/>
        <w:rPr>
          <w:sz w:val="20"/>
          <w:szCs w:val="20"/>
          <w:color w:val="auto"/>
        </w:rPr>
      </w:pPr>
    </w:p>
    <w:p>
      <w:pPr>
        <w:ind w:left="40" w:right="479"/>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have never generated any product revenues, which may make it difficult to evaluate the success of our business to date and to assess our future viability.</w:t>
      </w:r>
    </w:p>
    <w:p>
      <w:pPr>
        <w:spacing w:after="0" w:line="170" w:lineRule="exact"/>
        <w:rPr>
          <w:sz w:val="20"/>
          <w:szCs w:val="20"/>
          <w:color w:val="auto"/>
        </w:rPr>
      </w:pPr>
    </w:p>
    <w:p>
      <w:pPr>
        <w:ind w:left="40" w:right="79" w:firstLine="324"/>
        <w:spacing w:after="0" w:line="293" w:lineRule="auto"/>
        <w:rPr>
          <w:sz w:val="20"/>
          <w:szCs w:val="20"/>
          <w:color w:val="auto"/>
        </w:rPr>
      </w:pPr>
      <w:r>
        <w:rPr>
          <w:rFonts w:ascii="Arial" w:cs="Arial" w:eastAsia="Arial" w:hAnsi="Arial"/>
          <w:sz w:val="16"/>
          <w:szCs w:val="16"/>
          <w:color w:val="auto"/>
        </w:rPr>
        <w:t>We were incorporated in March 2017 and our operations to date have been largely focused on staffing our company, raising capital and advancing the development of, our product candidates, including conducting clinical and preclinical studies. We have not yet demonstrated an ability to successfully obtain marketing approvals, manufacture products on a commercial scale, or arrange for a third party to do so on our behalf, or conduct sales and marketing activities necessary for successful commercialization. Consequently, predictions about our future success or viability may not be as accurate as they could be if we had a longer operating history or a history of successfully developing and commercializing products.</w:t>
      </w:r>
    </w:p>
    <w:p>
      <w:pPr>
        <w:spacing w:after="0" w:line="164" w:lineRule="exact"/>
        <w:rPr>
          <w:sz w:val="20"/>
          <w:szCs w:val="20"/>
          <w:color w:val="auto"/>
        </w:rPr>
      </w:pPr>
    </w:p>
    <w:p>
      <w:pPr>
        <w:ind w:left="40" w:right="79" w:firstLine="324"/>
        <w:spacing w:after="0" w:line="279" w:lineRule="auto"/>
        <w:rPr>
          <w:sz w:val="20"/>
          <w:szCs w:val="20"/>
          <w:color w:val="auto"/>
        </w:rPr>
      </w:pPr>
      <w:r>
        <w:rPr>
          <w:rFonts w:ascii="Arial" w:cs="Arial" w:eastAsia="Arial" w:hAnsi="Arial"/>
          <w:sz w:val="17"/>
          <w:szCs w:val="17"/>
          <w:color w:val="auto"/>
        </w:rPr>
        <w:t>We expect our financial condition and operating results to continue to fluctuate from quarter to quarter and year to year due to a variety of factors, many of which are beyond our control. We will need to eventually transition from a company with a research and development focus to a company capable of undertaking commercial activities. We may encounter unforeseen expenses, difficulties, complications and delays, and may not be successful in such a transition.</w:t>
      </w:r>
    </w:p>
    <w:p>
      <w:pPr>
        <w:spacing w:after="0" w:line="171" w:lineRule="exact"/>
        <w:rPr>
          <w:sz w:val="20"/>
          <w:szCs w:val="20"/>
          <w:color w:val="auto"/>
        </w:rPr>
      </w:pPr>
    </w:p>
    <w:p>
      <w:pPr>
        <w:ind w:left="40" w:right="279"/>
        <w:spacing w:after="0" w:line="308" w:lineRule="auto"/>
        <w:rPr>
          <w:sz w:val="20"/>
          <w:szCs w:val="20"/>
          <w:color w:val="auto"/>
        </w:rPr>
      </w:pPr>
      <w:r>
        <w:rPr>
          <w:rFonts w:ascii="Arial" w:cs="Arial" w:eastAsia="Arial" w:hAnsi="Arial"/>
          <w:sz w:val="17"/>
          <w:szCs w:val="17"/>
          <w:b w:val="1"/>
          <w:bCs w:val="1"/>
          <w:i w:val="1"/>
          <w:iCs w:val="1"/>
          <w:color w:val="auto"/>
        </w:rPr>
        <w:t>We have incurred significant operating losses since inception and anticipate that we will continue to incur substantial operating losses for the foreseeable future and may never achieve or maintain profitability.</w:t>
      </w:r>
    </w:p>
    <w:p>
      <w:pPr>
        <w:spacing w:after="0" w:line="146" w:lineRule="exact"/>
        <w:rPr>
          <w:sz w:val="20"/>
          <w:szCs w:val="20"/>
          <w:color w:val="auto"/>
        </w:rPr>
      </w:pPr>
    </w:p>
    <w:p>
      <w:pPr>
        <w:jc w:val="both"/>
        <w:ind w:left="40" w:right="59" w:firstLine="324"/>
        <w:spacing w:after="0" w:line="287" w:lineRule="auto"/>
        <w:rPr>
          <w:sz w:val="20"/>
          <w:szCs w:val="20"/>
          <w:color w:val="auto"/>
        </w:rPr>
      </w:pPr>
      <w:r>
        <w:rPr>
          <w:rFonts w:ascii="Arial" w:cs="Arial" w:eastAsia="Arial" w:hAnsi="Arial"/>
          <w:sz w:val="16"/>
          <w:szCs w:val="16"/>
          <w:color w:val="auto"/>
        </w:rPr>
        <w:t>Since our inception, we have incurred significant operating losses. Our net loss was $14.9 million and $7.2 million for the three months ended March 31, 2020 and 2019 respectively. As of March 31, 2020, we had stockholders’ equity of $72.6 million. We expect to continue to incur significant expenses and increasing operating losses for the foreseeable future.</w:t>
      </w:r>
    </w:p>
    <w:p>
      <w:pPr>
        <w:spacing w:after="0" w:line="2" w:lineRule="exact"/>
        <w:rPr>
          <w:sz w:val="20"/>
          <w:szCs w:val="20"/>
          <w:color w:val="auto"/>
        </w:rPr>
      </w:pPr>
    </w:p>
    <w:p>
      <w:pPr>
        <w:ind w:left="40" w:right="79"/>
        <w:spacing w:after="0" w:line="271" w:lineRule="auto"/>
        <w:rPr>
          <w:sz w:val="20"/>
          <w:szCs w:val="20"/>
          <w:color w:val="auto"/>
        </w:rPr>
      </w:pPr>
      <w:r>
        <w:rPr>
          <w:rFonts w:ascii="Arial" w:cs="Arial" w:eastAsia="Arial" w:hAnsi="Arial"/>
          <w:sz w:val="17"/>
          <w:szCs w:val="17"/>
          <w:color w:val="auto"/>
        </w:rPr>
        <w:t>None of our product candidates have been approved for marketing in the United States, or in any other jurisdiction, and may never receive such approval. It could be several years, if ever, before we have a commercialized product that generates significant revenues. As a result, we are uncertain when or if we will achieve profitability and, if so, whether we will be able to sustain it. The net losses we incur may fluctuate significantly from quarter to quarter and year to year. We anticipate that our expenses will increase substantially as we:</w:t>
      </w:r>
    </w:p>
    <w:p>
      <w:pPr>
        <w:spacing w:after="0" w:line="178" w:lineRule="exact"/>
        <w:rPr>
          <w:sz w:val="20"/>
          <w:szCs w:val="20"/>
          <w:color w:val="auto"/>
        </w:rPr>
      </w:pPr>
    </w:p>
    <w:p>
      <w:pPr>
        <w:ind w:left="1020" w:hanging="32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the development of our product candidates;</w:t>
      </w:r>
    </w:p>
    <w:p>
      <w:pPr>
        <w:spacing w:after="0" w:line="23" w:lineRule="exact"/>
        <w:rPr>
          <w:rFonts w:ascii="Arial" w:cs="Arial" w:eastAsia="Arial" w:hAnsi="Arial"/>
          <w:sz w:val="18"/>
          <w:szCs w:val="18"/>
          <w:color w:val="auto"/>
        </w:rPr>
      </w:pPr>
    </w:p>
    <w:p>
      <w:pPr>
        <w:ind w:left="1020" w:right="619" w:hanging="328"/>
        <w:spacing w:after="0" w:line="250"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conduct preclinical studies and clinical trials for our current product candidates and any future product candidates that we may pursue;</w:t>
      </w:r>
    </w:p>
    <w:p>
      <w:pPr>
        <w:ind w:left="1020" w:right="619" w:hanging="328"/>
        <w:spacing w:after="0" w:line="250"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to build our portfolio of product candidates through the acquisition or in-license of additional product candidates or technologies;</w:t>
      </w:r>
    </w:p>
    <w:p>
      <w:pPr>
        <w:ind w:left="1020" w:hanging="32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to develop, maintain, expand and protect our intellectual property portfolio;</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9" w:name="page30"/>
    <w:bookmarkEnd w:id="2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right="199" w:hanging="328"/>
        <w:spacing w:after="0" w:line="258"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pursue regulatory approvals for our current and future product candidates that successfully complete clinical trials;</w:t>
      </w:r>
    </w:p>
    <w:p>
      <w:pPr>
        <w:spacing w:after="0" w:line="1" w:lineRule="exact"/>
        <w:rPr>
          <w:rFonts w:ascii="Arial" w:cs="Arial" w:eastAsia="Arial" w:hAnsi="Arial"/>
          <w:sz w:val="18"/>
          <w:szCs w:val="18"/>
          <w:color w:val="auto"/>
        </w:rPr>
      </w:pPr>
    </w:p>
    <w:p>
      <w:pPr>
        <w:ind w:left="1020" w:right="139" w:hanging="328"/>
        <w:spacing w:after="0" w:line="250"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to commercialize any product candidate for which we may obtain marketing approval;</w:t>
      </w:r>
    </w:p>
    <w:p>
      <w:pPr>
        <w:ind w:left="1020" w:hanging="328"/>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hire additional clinical, regulatory, scientific and accounting personnel; and</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211" w:lineRule="exact"/>
        <w:rPr>
          <w:sz w:val="20"/>
          <w:szCs w:val="20"/>
          <w:color w:val="auto"/>
        </w:rPr>
      </w:pPr>
    </w:p>
    <w:p>
      <w:pPr>
        <w:ind w:left="40" w:right="79" w:firstLine="324"/>
        <w:spacing w:after="0" w:line="273" w:lineRule="auto"/>
        <w:rPr>
          <w:sz w:val="20"/>
          <w:szCs w:val="20"/>
          <w:color w:val="auto"/>
        </w:rPr>
      </w:pPr>
      <w:r>
        <w:rPr>
          <w:rFonts w:ascii="Arial" w:cs="Arial" w:eastAsia="Arial" w:hAnsi="Arial"/>
          <w:sz w:val="17"/>
          <w:szCs w:val="17"/>
          <w:color w:val="auto"/>
        </w:rPr>
        <w:t>To become and remain profitable, we must develop and eventually commercialize one or more product candidates with significant market potential. This will require us to be successful in a range of challenging activities, including completing clinical trials of our product candidates, developing commercial scale manufacturing processes, obtaining marketing approval, manufacturing, marketing and selling any current and future product candidates for which we may obtain marketing approval, and satisfying any post-marketing requirements. We may never succeed in any or all of these activities and, even if we do, we may never generate sufficient revenue to achieve profitability.</w:t>
      </w:r>
    </w:p>
    <w:p>
      <w:pPr>
        <w:spacing w:after="0" w:line="178" w:lineRule="exact"/>
        <w:rPr>
          <w:sz w:val="20"/>
          <w:szCs w:val="20"/>
          <w:color w:val="auto"/>
        </w:rPr>
      </w:pPr>
    </w:p>
    <w:p>
      <w:pPr>
        <w:ind w:left="40" w:right="59" w:firstLine="324"/>
        <w:spacing w:after="0" w:line="293" w:lineRule="auto"/>
        <w:rPr>
          <w:sz w:val="20"/>
          <w:szCs w:val="20"/>
          <w:color w:val="auto"/>
        </w:rPr>
      </w:pPr>
      <w:r>
        <w:rPr>
          <w:rFonts w:ascii="Arial" w:cs="Arial" w:eastAsia="Arial" w:hAnsi="Arial"/>
          <w:sz w:val="16"/>
          <w:szCs w:val="16"/>
          <w:color w:val="auto"/>
        </w:rPr>
        <w:t>Because of the numerous risks and uncertainties associated with product development, we are unable to accurately predict the timing or amount of expenses or when, or if, we will obtain marketing approval to commercialize any of our product candidates. If we are required by the U.S. Food and Drug Administration, or FDA, or other regulatory authorities such as the European Medicines Agency, or EMA, to perform studies and trials in addition to those currently expected, or if there are any delays in the development, or in the completion of any planned or future preclinical studies or clinical trials of our current or future product candidates, our expenses could increase and profitability could be further delayed.</w:t>
      </w:r>
    </w:p>
    <w:p>
      <w:pPr>
        <w:spacing w:after="0" w:line="164" w:lineRule="exact"/>
        <w:rPr>
          <w:sz w:val="20"/>
          <w:szCs w:val="20"/>
          <w:color w:val="auto"/>
        </w:rPr>
      </w:pPr>
    </w:p>
    <w:p>
      <w:pPr>
        <w:ind w:left="40" w:right="439" w:firstLine="324"/>
        <w:spacing w:after="0" w:line="277"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w:t>
      </w:r>
    </w:p>
    <w:p>
      <w:pPr>
        <w:spacing w:after="0" w:line="170" w:lineRule="exact"/>
        <w:rPr>
          <w:sz w:val="20"/>
          <w:szCs w:val="20"/>
          <w:color w:val="auto"/>
        </w:rPr>
      </w:pPr>
    </w:p>
    <w:p>
      <w:pPr>
        <w:jc w:val="both"/>
        <w:ind w:left="40" w:right="199" w:firstLine="324"/>
        <w:spacing w:after="0" w:line="286" w:lineRule="auto"/>
        <w:rPr>
          <w:sz w:val="20"/>
          <w:szCs w:val="20"/>
          <w:color w:val="auto"/>
        </w:rPr>
      </w:pPr>
      <w:r>
        <w:rPr>
          <w:rFonts w:ascii="Arial" w:cs="Arial" w:eastAsia="Arial" w:hAnsi="Arial"/>
          <w:sz w:val="17"/>
          <w:szCs w:val="17"/>
          <w:color w:val="auto"/>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Our recurring losses from operations raise substantial doubt regarding our ability to continue as a going concern.</w:t>
      </w:r>
    </w:p>
    <w:p>
      <w:pPr>
        <w:spacing w:after="0" w:line="248" w:lineRule="exact"/>
        <w:rPr>
          <w:sz w:val="20"/>
          <w:szCs w:val="20"/>
          <w:color w:val="auto"/>
        </w:rPr>
      </w:pPr>
    </w:p>
    <w:p>
      <w:pPr>
        <w:ind w:left="40" w:right="139" w:firstLine="324"/>
        <w:spacing w:after="0" w:line="257" w:lineRule="auto"/>
        <w:rPr>
          <w:sz w:val="20"/>
          <w:szCs w:val="20"/>
          <w:color w:val="auto"/>
        </w:rPr>
      </w:pPr>
      <w:r>
        <w:rPr>
          <w:rFonts w:ascii="Arial" w:cs="Arial" w:eastAsia="Arial" w:hAnsi="Arial"/>
          <w:sz w:val="18"/>
          <w:szCs w:val="18"/>
          <w:color w:val="auto"/>
        </w:rPr>
        <w:t>We currently operate with limited resources. We have incurred significant losses since our inception and have never generated revenue or profit, and it is possible we will never generate revenue or profit. For information about our liquidity and capital resources, see Part II, Item 7 “Management’s Discussion and Analysis of Financial Condition and Results of Operations — Liquidity and Capital Resources.” There can be no assurances that additional financing will be available to us on satisfactory terms, or at all.</w:t>
      </w:r>
    </w:p>
    <w:p>
      <w:pPr>
        <w:spacing w:after="0" w:line="188" w:lineRule="exact"/>
        <w:rPr>
          <w:sz w:val="20"/>
          <w:szCs w:val="20"/>
          <w:color w:val="auto"/>
        </w:rPr>
      </w:pPr>
    </w:p>
    <w:p>
      <w:pPr>
        <w:ind w:left="40" w:right="179" w:firstLine="324"/>
        <w:spacing w:after="0" w:line="270" w:lineRule="auto"/>
        <w:rPr>
          <w:sz w:val="20"/>
          <w:szCs w:val="20"/>
          <w:color w:val="auto"/>
        </w:rPr>
      </w:pPr>
      <w:r>
        <w:rPr>
          <w:rFonts w:ascii="Arial" w:cs="Arial" w:eastAsia="Arial" w:hAnsi="Arial"/>
          <w:sz w:val="17"/>
          <w:szCs w:val="17"/>
          <w:color w:val="auto"/>
        </w:rPr>
        <w:t>Securing additional financing may divert our management from our day-to-day activities, which may adversely affect our ability to develop and commercialize any of our product candidates. In addition, we cannot guarantee that future financing will be available in sufficient amounts or on terms acceptable to us, if at all. If we are unable to obtain funding, we would be forced to delay, reduce or eliminate our research and development programs, which would adversely affect our business prospects. In addition, if we are unable to raise capital, we will also need to implement cost reductions, and any failure to effectively do so will harm our business, results of operations and future prospects. The perception that we may not be able to continue as a going concern may cause others to choose not to deal with us due to concerns about our ability to meet our contractual obligations. If we are unable to continue as a going concern, investors could lose all or part of their investment in our Company.</w:t>
      </w:r>
    </w:p>
    <w:p>
      <w:pPr>
        <w:spacing w:after="0" w:line="181" w:lineRule="exact"/>
        <w:rPr>
          <w:sz w:val="20"/>
          <w:szCs w:val="20"/>
          <w:color w:val="auto"/>
        </w:rPr>
      </w:pPr>
    </w:p>
    <w:p>
      <w:pPr>
        <w:ind w:left="40" w:right="339"/>
        <w:spacing w:after="0" w:line="308" w:lineRule="auto"/>
        <w:rPr>
          <w:sz w:val="20"/>
          <w:szCs w:val="20"/>
          <w:color w:val="auto"/>
        </w:rPr>
      </w:pPr>
      <w:r>
        <w:rPr>
          <w:rFonts w:ascii="Arial" w:cs="Arial" w:eastAsia="Arial" w:hAnsi="Arial"/>
          <w:sz w:val="17"/>
          <w:szCs w:val="17"/>
          <w:b w:val="1"/>
          <w:bCs w:val="1"/>
          <w:i w:val="1"/>
          <w:iCs w:val="1"/>
          <w:color w:val="auto"/>
        </w:rPr>
        <w:t>We will need substantial additional funding, and if we are unable to raise capital when needed, we could be forced to delay, reduce or eliminate our product development programs or commercialization efforts.</w:t>
      </w:r>
    </w:p>
    <w:p>
      <w:pPr>
        <w:spacing w:after="0" w:line="146" w:lineRule="exact"/>
        <w:rPr>
          <w:sz w:val="20"/>
          <w:szCs w:val="20"/>
          <w:color w:val="auto"/>
        </w:rPr>
      </w:pPr>
    </w:p>
    <w:p>
      <w:pPr>
        <w:ind w:left="40" w:right="119" w:firstLine="324"/>
        <w:spacing w:after="0" w:line="279" w:lineRule="auto"/>
        <w:rPr>
          <w:sz w:val="20"/>
          <w:szCs w:val="20"/>
          <w:color w:val="auto"/>
        </w:rPr>
      </w:pPr>
      <w:r>
        <w:rPr>
          <w:rFonts w:ascii="Arial" w:cs="Arial" w:eastAsia="Arial" w:hAnsi="Arial"/>
          <w:sz w:val="17"/>
          <w:szCs w:val="17"/>
          <w:color w:val="auto"/>
        </w:rPr>
        <w:t>We anticipate that our expenses will increase substantially if and as we continue to develop and conduct clinical trials with respect to BXCL501, BXCL701 and our other product candidates; seek to identify and develop additional product candidates; acquire or in-license other product candidates or technologies; seek regulatory and marketing approvals for our product candidates that successfully complete clinical trials, if any; establish sales, marketing,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0" w:name="page31"/>
    <w:bookmarkEnd w:id="3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spacing w:after="0" w:line="293" w:lineRule="auto"/>
        <w:rPr>
          <w:sz w:val="20"/>
          <w:szCs w:val="20"/>
          <w:color w:val="auto"/>
        </w:rPr>
      </w:pPr>
      <w:r>
        <w:rPr>
          <w:rFonts w:ascii="Arial" w:cs="Arial" w:eastAsia="Arial" w:hAnsi="Arial"/>
          <w:sz w:val="16"/>
          <w:szCs w:val="16"/>
          <w:color w:val="auto"/>
        </w:rPr>
        <w:t>distribution and other commercial infrastructure in the future to commercialize various products for which we may obtain marketing approval, if any; require the manufacture of larger quantities of product candidates for clinical development and, potentially, commercialization; maintain, expand and protect our intellectual property portfolio; hire and retain additional personnel, such as clinical, quality control and scientific personnel; add operational, financial and management information systems and personnel, including personnel to support our product development and help us comply with our obligations as a public company; and add equipment and physical infrastructure to support our research and development programs.</w:t>
      </w:r>
    </w:p>
    <w:p>
      <w:pPr>
        <w:spacing w:after="0" w:line="164" w:lineRule="exact"/>
        <w:rPr>
          <w:sz w:val="20"/>
          <w:szCs w:val="20"/>
          <w:color w:val="auto"/>
        </w:rPr>
      </w:pPr>
    </w:p>
    <w:p>
      <w:pPr>
        <w:ind w:left="40" w:right="59" w:firstLine="324"/>
        <w:spacing w:after="0" w:line="268" w:lineRule="auto"/>
        <w:rPr>
          <w:sz w:val="20"/>
          <w:szCs w:val="20"/>
          <w:color w:val="auto"/>
        </w:rPr>
      </w:pPr>
      <w:r>
        <w:rPr>
          <w:rFonts w:ascii="Arial" w:cs="Arial" w:eastAsia="Arial" w:hAnsi="Arial"/>
          <w:sz w:val="17"/>
          <w:szCs w:val="17"/>
          <w:color w:val="auto"/>
        </w:rPr>
        <w:t>We expect that our current cash and cash equivalents will be used primarily to fund our ongoing research and development efforts over at least the next 12 months from the date of this report. We will be required to expend significant funds in order to advance the development of BXCL501, BXCL701 and our other product candidates. In addition, while we may seek one or more collaborators for future development of our current product candidate or any future product candidates that we may develop for one or more indications, we may not be able to enter into a collaboration for any of our product candidates for such indications on suitable terms, on a timely basis or at all. In any event, the net proceeds of our prior equity offerings and our existing cash will not be sufficient to fund all of the efforts that we plan to undertake or to fund the completion of development of our product candidates or our other preclinical programs. Accordingly, we will be required to obtain further funding through public or private equity offerings, debt financings, collaborations and licensing arrangements or other sources. Further financing may not be available to us on acceptable terms, or at all. Additionally, market volatility resulting from the COVID-19 pandemic or other factors could also adversely impact our ability to access capital as and when needed. Our failure to raise capital as and when needed would have a negative impact on our financial condition and our ability to pursue our business strategy.</w:t>
      </w:r>
    </w:p>
    <w:p>
      <w:pPr>
        <w:spacing w:after="0" w:line="186" w:lineRule="exact"/>
        <w:rPr>
          <w:sz w:val="20"/>
          <w:szCs w:val="20"/>
          <w:color w:val="auto"/>
        </w:rPr>
      </w:pPr>
    </w:p>
    <w:p>
      <w:pPr>
        <w:ind w:left="40" w:right="99" w:firstLine="324"/>
        <w:spacing w:after="0" w:line="275" w:lineRule="auto"/>
        <w:rPr>
          <w:sz w:val="20"/>
          <w:szCs w:val="20"/>
          <w:color w:val="auto"/>
        </w:rPr>
      </w:pPr>
      <w:r>
        <w:rPr>
          <w:rFonts w:ascii="Arial" w:cs="Arial" w:eastAsia="Arial" w:hAnsi="Arial"/>
          <w:sz w:val="17"/>
          <w:szCs w:val="17"/>
          <w:color w:val="auto"/>
        </w:rPr>
        <w:t>Our estimate as to how long we expect our existing cash to be able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176" w:lineRule="exact"/>
        <w:rPr>
          <w:sz w:val="20"/>
          <w:szCs w:val="20"/>
          <w:color w:val="auto"/>
        </w:rPr>
      </w:pPr>
    </w:p>
    <w:p>
      <w:pPr>
        <w:ind w:left="1020" w:right="199" w:hanging="328"/>
        <w:spacing w:after="0" w:line="258"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of BXCL501, BXCL701 and our other product candidates;</w:t>
      </w:r>
    </w:p>
    <w:p>
      <w:pPr>
        <w:spacing w:after="0" w:line="1" w:lineRule="exact"/>
        <w:rPr>
          <w:rFonts w:ascii="Arial" w:cs="Arial" w:eastAsia="Arial" w:hAnsi="Arial"/>
          <w:sz w:val="18"/>
          <w:szCs w:val="18"/>
          <w:color w:val="auto"/>
        </w:rPr>
      </w:pPr>
    </w:p>
    <w:p>
      <w:pPr>
        <w:ind w:left="1020" w:right="739" w:hanging="328"/>
        <w:spacing w:after="0" w:line="250"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enter into and the terms and timing of any collaborations, licensing agreements or other arrangements;</w:t>
      </w:r>
    </w:p>
    <w:p>
      <w:pPr>
        <w:ind w:left="1020" w:hanging="32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timing and outcome of seeking regulatory approvals;</w:t>
      </w:r>
    </w:p>
    <w:p>
      <w:pPr>
        <w:spacing w:after="0" w:line="9" w:lineRule="exact"/>
        <w:rPr>
          <w:rFonts w:ascii="Arial" w:cs="Arial" w:eastAsia="Arial" w:hAnsi="Arial"/>
          <w:sz w:val="18"/>
          <w:szCs w:val="18"/>
          <w:color w:val="auto"/>
        </w:rPr>
      </w:pPr>
    </w:p>
    <w:p>
      <w:pPr>
        <w:ind w:left="1020" w:right="159" w:hanging="328"/>
        <w:spacing w:after="0" w:line="265"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costs of commercialization activities for any of our product candidates that receive marketing approval to the extent such costs are not the responsibility of any future collaborators, including the costs and timing of establishing product sales, marketing, distribution and manufacturing capabilities;</w:t>
      </w:r>
    </w:p>
    <w:p>
      <w:pPr>
        <w:ind w:left="1020" w:right="139" w:hanging="328"/>
        <w:spacing w:after="0" w:line="250"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as well as potentially establish a commercial infrastructure;</w:t>
      </w:r>
    </w:p>
    <w:p>
      <w:pPr>
        <w:ind w:left="1020" w:hanging="32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 received from commercial sales, if any, of our current and future product candidates;</w:t>
      </w:r>
    </w:p>
    <w:p>
      <w:pPr>
        <w:spacing w:after="0" w:line="9" w:lineRule="exact"/>
        <w:rPr>
          <w:rFonts w:ascii="Arial" w:cs="Arial" w:eastAsia="Arial" w:hAnsi="Arial"/>
          <w:sz w:val="18"/>
          <w:szCs w:val="18"/>
          <w:color w:val="auto"/>
        </w:rPr>
      </w:pPr>
    </w:p>
    <w:p>
      <w:pPr>
        <w:ind w:left="1020" w:right="219" w:hanging="328"/>
        <w:spacing w:after="0" w:line="250"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 related claims;</w:t>
      </w:r>
    </w:p>
    <w:p>
      <w:pPr>
        <w:ind w:left="1020" w:hanging="32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future product candidates that we pursue and their development requirements;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regulatory policies or laws that may affect our operations;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changes in physician acceptance or medical society recommendations that may affect commercial efforts;</w:t>
      </w:r>
    </w:p>
    <w:p>
      <w:pPr>
        <w:spacing w:after="0" w:line="32" w:lineRule="exact"/>
        <w:rPr>
          <w:rFonts w:ascii="Arial" w:cs="Arial" w:eastAsia="Arial" w:hAnsi="Arial"/>
          <w:sz w:val="16"/>
          <w:szCs w:val="16"/>
          <w:color w:val="auto"/>
        </w:rPr>
      </w:pPr>
    </w:p>
    <w:p>
      <w:pPr>
        <w:ind w:left="1020" w:hanging="32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acquiring potential new product candidates or technology; and</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the Discovery and Development of Product Candidates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We have limited experience in drug discovery and drug development, and we have never had a drug approved.</w:t>
      </w:r>
    </w:p>
    <w:p>
      <w:pPr>
        <w:spacing w:after="0" w:line="248" w:lineRule="exact"/>
        <w:rPr>
          <w:sz w:val="20"/>
          <w:szCs w:val="20"/>
          <w:color w:val="auto"/>
        </w:rPr>
      </w:pPr>
    </w:p>
    <w:p>
      <w:pPr>
        <w:ind w:left="40" w:right="59" w:firstLine="324"/>
        <w:spacing w:after="0" w:line="308" w:lineRule="auto"/>
        <w:rPr>
          <w:sz w:val="20"/>
          <w:szCs w:val="20"/>
          <w:color w:val="auto"/>
        </w:rPr>
      </w:pPr>
      <w:r>
        <w:rPr>
          <w:rFonts w:ascii="Arial" w:cs="Arial" w:eastAsia="Arial" w:hAnsi="Arial"/>
          <w:sz w:val="17"/>
          <w:szCs w:val="17"/>
          <w:color w:val="auto"/>
        </w:rPr>
        <w:t>Prior to the acquisition of our product candidates, we were not involved in and had no control over their preclinical and clinical development. In addition, we are relying upon the parties we have acquired our product candidates from to</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1" w:name="page32"/>
    <w:bookmarkEnd w:id="3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spacing w:after="0" w:line="296" w:lineRule="auto"/>
        <w:rPr>
          <w:sz w:val="20"/>
          <w:szCs w:val="20"/>
          <w:color w:val="auto"/>
        </w:rPr>
      </w:pPr>
      <w:r>
        <w:rPr>
          <w:rFonts w:ascii="Arial" w:cs="Arial" w:eastAsia="Arial" w:hAnsi="Arial"/>
          <w:sz w:val="16"/>
          <w:szCs w:val="16"/>
          <w:color w:val="auto"/>
        </w:rPr>
        <w:t>have conducted such research and development in accordance with the applicable protocol, legal, regulatory and scientific standards, having accurately reported the results of all clinical trials conducted prior to our acquisition of the applicable product candidate, and having correctly collected and interpreted the data from these studies and trials. To the extent any of these has not occurred, our expected development time and costs may be increased, which could adversely affect our prospects for marketing approval of, and receiving any future revenue from, these product candidates.</w:t>
      </w:r>
    </w:p>
    <w:p>
      <w:pPr>
        <w:spacing w:after="0" w:line="161" w:lineRule="exact"/>
        <w:rPr>
          <w:sz w:val="20"/>
          <w:szCs w:val="20"/>
          <w:color w:val="auto"/>
        </w:rPr>
      </w:pPr>
    </w:p>
    <w:p>
      <w:pPr>
        <w:ind w:left="40" w:right="119"/>
        <w:spacing w:after="0" w:line="259" w:lineRule="auto"/>
        <w:rPr>
          <w:sz w:val="20"/>
          <w:szCs w:val="20"/>
          <w:color w:val="auto"/>
        </w:rPr>
      </w:pPr>
      <w:r>
        <w:rPr>
          <w:rFonts w:ascii="Arial" w:cs="Arial" w:eastAsia="Arial" w:hAnsi="Arial"/>
          <w:sz w:val="18"/>
          <w:szCs w:val="18"/>
          <w:b w:val="1"/>
          <w:bCs w:val="1"/>
          <w:i w:val="1"/>
          <w:iCs w:val="1"/>
          <w:color w:val="auto"/>
        </w:rPr>
        <w:t>In the near term, we are dependent on the success of BXCL501 and BXCL701. If we are unable to complete the clinical development of, obtain marketing approval for or successfully commercialize BXCL501, BXCL701 and our other product candidates, either alone or with a collaborator, or if we experience significant delays in doing so, our business could be substantially harmed.</w:t>
      </w:r>
    </w:p>
    <w:p>
      <w:pPr>
        <w:spacing w:after="0" w:line="187" w:lineRule="exact"/>
        <w:rPr>
          <w:sz w:val="20"/>
          <w:szCs w:val="20"/>
          <w:color w:val="auto"/>
        </w:rPr>
      </w:pPr>
    </w:p>
    <w:p>
      <w:pPr>
        <w:ind w:left="40" w:right="79" w:firstLine="324"/>
        <w:spacing w:after="0" w:line="257" w:lineRule="auto"/>
        <w:rPr>
          <w:sz w:val="20"/>
          <w:szCs w:val="20"/>
          <w:color w:val="auto"/>
        </w:rPr>
      </w:pPr>
      <w:r>
        <w:rPr>
          <w:rFonts w:ascii="Arial" w:cs="Arial" w:eastAsia="Arial" w:hAnsi="Arial"/>
          <w:sz w:val="18"/>
          <w:szCs w:val="18"/>
          <w:color w:val="auto"/>
        </w:rPr>
        <w:t>We currently do not have any products that have received regulatory approval and may never be able to develop marketable product candidates. We are investing a significant portion of our efforts and financial resources in the development of BXCL501, BXCL701 and our other product candidates. Our prospects are substantially dependent on our ability, or that of any future collaborator, to develop, obtain marketing approval for and successfully commercialize product candidates in one or more disease indications.</w:t>
      </w:r>
    </w:p>
    <w:p>
      <w:pPr>
        <w:spacing w:after="0" w:line="188" w:lineRule="exact"/>
        <w:rPr>
          <w:sz w:val="20"/>
          <w:szCs w:val="20"/>
          <w:color w:val="auto"/>
        </w:rPr>
      </w:pPr>
    </w:p>
    <w:p>
      <w:pPr>
        <w:ind w:left="40" w:right="319" w:firstLine="324"/>
        <w:spacing w:after="0" w:line="277" w:lineRule="auto"/>
        <w:rPr>
          <w:sz w:val="20"/>
          <w:szCs w:val="20"/>
          <w:color w:val="auto"/>
        </w:rPr>
      </w:pPr>
      <w:r>
        <w:rPr>
          <w:rFonts w:ascii="Arial" w:cs="Arial" w:eastAsia="Arial" w:hAnsi="Arial"/>
          <w:sz w:val="18"/>
          <w:szCs w:val="18"/>
          <w:color w:val="auto"/>
        </w:rPr>
        <w:t>The success of BXCL501, BXCL701 and our other product candidates will depend on several factors, including the following:</w:t>
      </w:r>
    </w:p>
    <w:p>
      <w:pPr>
        <w:spacing w:after="0" w:line="170" w:lineRule="exact"/>
        <w:rPr>
          <w:sz w:val="20"/>
          <w:szCs w:val="20"/>
          <w:color w:val="auto"/>
        </w:rPr>
      </w:pPr>
    </w:p>
    <w:p>
      <w:pPr>
        <w:ind w:left="1020" w:right="779" w:hanging="328"/>
        <w:spacing w:after="0" w:line="258"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acceptance of an IND application by the FDA authorizing us to conduct clinical trials of our product candidates in the United States;</w:t>
      </w:r>
    </w:p>
    <w:p>
      <w:pPr>
        <w:spacing w:after="0" w:line="1" w:lineRule="exact"/>
        <w:rPr>
          <w:rFonts w:ascii="Arial" w:cs="Arial" w:eastAsia="Arial" w:hAnsi="Arial"/>
          <w:sz w:val="18"/>
          <w:szCs w:val="18"/>
          <w:color w:val="auto"/>
        </w:rPr>
      </w:pPr>
    </w:p>
    <w:p>
      <w:pPr>
        <w:ind w:left="1020" w:right="199" w:hanging="328"/>
        <w:spacing w:after="0" w:line="250"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initiation, progress, timing, costs and results of clinical trials of our product candidates and potential product candidates;</w:t>
      </w:r>
    </w:p>
    <w:p>
      <w:pPr>
        <w:ind w:left="1020" w:right="819" w:hanging="328"/>
        <w:spacing w:after="0" w:line="250"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demonstration of safety and efficacy of our product candidates to the satisfaction of the FDA or any comparable foreign regulatory authority and sufficient for marketing approval;</w:t>
      </w:r>
    </w:p>
    <w:p>
      <w:pPr>
        <w:ind w:left="1020" w:hanging="328"/>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performance of our current and future collaborators;</w:t>
      </w:r>
    </w:p>
    <w:p>
      <w:pPr>
        <w:spacing w:after="0" w:line="9" w:lineRule="exact"/>
        <w:rPr>
          <w:rFonts w:ascii="Arial" w:cs="Arial" w:eastAsia="Arial" w:hAnsi="Arial"/>
          <w:sz w:val="18"/>
          <w:szCs w:val="18"/>
          <w:color w:val="auto"/>
        </w:rPr>
      </w:pPr>
    </w:p>
    <w:p>
      <w:pPr>
        <w:ind w:left="1020" w:right="639" w:hanging="328"/>
        <w:spacing w:after="0" w:line="250"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nature of any required post-marketing clinical trials or other commitments to applicable regulatory authorities;</w:t>
      </w:r>
    </w:p>
    <w:p>
      <w:pPr>
        <w:ind w:left="1020" w:hanging="328"/>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establishment of supply arrangements with third-party raw materials suppliers and manufacturers;</w:t>
      </w:r>
    </w:p>
    <w:p>
      <w:pPr>
        <w:spacing w:after="0" w:line="9" w:lineRule="exact"/>
        <w:rPr>
          <w:rFonts w:ascii="Arial" w:cs="Arial" w:eastAsia="Arial" w:hAnsi="Arial"/>
          <w:sz w:val="18"/>
          <w:szCs w:val="18"/>
          <w:color w:val="auto"/>
        </w:rPr>
      </w:pPr>
    </w:p>
    <w:p>
      <w:pPr>
        <w:ind w:left="1020" w:right="799" w:hanging="328"/>
        <w:spacing w:after="0" w:line="250"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establishment of arrangements with third-party manufacturers to obtain finished drug product that is appropriately packaged for sale;</w:t>
      </w:r>
    </w:p>
    <w:p>
      <w:pPr>
        <w:ind w:left="1020" w:right="79" w:hanging="328"/>
        <w:spacing w:after="0" w:line="250"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adequate ongoing availability of raw materials and drug product for clinical development and any commercial sales;</w:t>
      </w:r>
    </w:p>
    <w:p>
      <w:pPr>
        <w:ind w:left="1020" w:right="159" w:hanging="328"/>
        <w:spacing w:after="0" w:line="250"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and maintaining patent, trade secret protection and regulatory exclusivity, both in the United States and internationally;</w:t>
      </w:r>
    </w:p>
    <w:p>
      <w:pPr>
        <w:ind w:left="1020" w:hanging="328"/>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protection of our rights in our intellectual property portfolio;</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 launch of commercial sales following any marketing approval;</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commercial acceptance by patients, the medical community and third-party payors; and</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211" w:lineRule="exact"/>
        <w:rPr>
          <w:sz w:val="20"/>
          <w:szCs w:val="20"/>
          <w:color w:val="auto"/>
        </w:rPr>
      </w:pPr>
    </w:p>
    <w:p>
      <w:pPr>
        <w:ind w:left="40" w:right="59" w:firstLine="324"/>
        <w:spacing w:after="0" w:line="255" w:lineRule="auto"/>
        <w:rPr>
          <w:sz w:val="20"/>
          <w:szCs w:val="20"/>
          <w:color w:val="auto"/>
        </w:rPr>
      </w:pPr>
      <w:r>
        <w:rPr>
          <w:rFonts w:ascii="Arial" w:cs="Arial" w:eastAsia="Arial" w:hAnsi="Arial"/>
          <w:sz w:val="18"/>
          <w:szCs w:val="18"/>
          <w:color w:val="auto"/>
        </w:rPr>
        <w:t>Many of these factors are beyond our control, including the results of clinical trials, the time required for the FDA or any comparable foreign regulatory authorities to review any regulatory submissions we may make, potential threats to our intellectual property rights and the manufacturing, marketing and sales efforts of any future collaborator. If we are unable to develop, receive marketing approval for and successfully commercialize BXCL501, BXCL701 and our other product candidates, on our own or with any future collaborator, or experience delays as a result of any of these factors or otherwise, our business could be substantially harmed.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2" w:name="page33"/>
    <w:bookmarkEnd w:id="3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39"/>
        <w:spacing w:after="0" w:line="263"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84" w:lineRule="exact"/>
        <w:rPr>
          <w:sz w:val="20"/>
          <w:szCs w:val="20"/>
          <w:color w:val="auto"/>
        </w:rPr>
      </w:pPr>
    </w:p>
    <w:p>
      <w:pPr>
        <w:ind w:left="40" w:right="139" w:firstLine="324"/>
        <w:spacing w:after="0" w:line="289" w:lineRule="auto"/>
        <w:rPr>
          <w:sz w:val="20"/>
          <w:szCs w:val="20"/>
          <w:color w:val="auto"/>
        </w:rPr>
      </w:pPr>
      <w:r>
        <w:rPr>
          <w:rFonts w:ascii="Arial" w:cs="Arial" w:eastAsia="Arial" w:hAnsi="Arial"/>
          <w:sz w:val="16"/>
          <w:szCs w:val="16"/>
          <w:color w:val="auto"/>
        </w:rPr>
        <w:t>From time to time, we may publicly disclose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66" w:lineRule="exact"/>
        <w:rPr>
          <w:sz w:val="20"/>
          <w:szCs w:val="20"/>
          <w:color w:val="auto"/>
        </w:rPr>
      </w:pPr>
    </w:p>
    <w:p>
      <w:pPr>
        <w:ind w:left="40" w:right="79" w:firstLine="324"/>
        <w:spacing w:after="0" w:line="257"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 Further, disclosure of interim data by us or by our competitors could result in volatility in the price of our common stock.</w:t>
      </w:r>
    </w:p>
    <w:p>
      <w:pPr>
        <w:spacing w:after="0" w:line="188" w:lineRule="exact"/>
        <w:rPr>
          <w:sz w:val="20"/>
          <w:szCs w:val="20"/>
          <w:color w:val="auto"/>
        </w:rPr>
      </w:pPr>
    </w:p>
    <w:p>
      <w:pPr>
        <w:ind w:left="40" w:right="139" w:firstLine="324"/>
        <w:spacing w:after="0" w:line="273"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78" w:lineRule="exact"/>
        <w:rPr>
          <w:sz w:val="20"/>
          <w:szCs w:val="20"/>
          <w:color w:val="auto"/>
        </w:rPr>
      </w:pPr>
    </w:p>
    <w:p>
      <w:pPr>
        <w:ind w:left="40" w:right="319" w:firstLine="324"/>
        <w:spacing w:after="0" w:line="311" w:lineRule="auto"/>
        <w:rPr>
          <w:sz w:val="20"/>
          <w:szCs w:val="20"/>
          <w:color w:val="auto"/>
        </w:rPr>
      </w:pPr>
      <w:r>
        <w:rPr>
          <w:rFonts w:ascii="Arial" w:cs="Arial" w:eastAsia="Arial" w:hAnsi="Arial"/>
          <w:sz w:val="16"/>
          <w:szCs w:val="16"/>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49" w:lineRule="exact"/>
        <w:rPr>
          <w:sz w:val="20"/>
          <w:szCs w:val="20"/>
          <w:color w:val="auto"/>
        </w:rPr>
      </w:pPr>
    </w:p>
    <w:p>
      <w:pPr>
        <w:ind w:left="40" w:right="279"/>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expensive and inherently unpredictable, and if we are ultimately unable to obtain regulatory approval for our product candidates, our business will be substantially harmed.</w:t>
      </w:r>
    </w:p>
    <w:p>
      <w:pPr>
        <w:spacing w:after="0" w:line="184" w:lineRule="exact"/>
        <w:rPr>
          <w:sz w:val="20"/>
          <w:szCs w:val="20"/>
          <w:color w:val="auto"/>
        </w:rPr>
      </w:pPr>
    </w:p>
    <w:p>
      <w:pPr>
        <w:ind w:left="40" w:right="59" w:firstLine="324"/>
        <w:spacing w:after="0" w:line="268" w:lineRule="auto"/>
        <w:rPr>
          <w:sz w:val="20"/>
          <w:szCs w:val="20"/>
          <w:color w:val="auto"/>
        </w:rPr>
      </w:pPr>
      <w:r>
        <w:rPr>
          <w:rFonts w:ascii="Arial" w:cs="Arial" w:eastAsia="Arial" w:hAnsi="Arial"/>
          <w:sz w:val="17"/>
          <w:szCs w:val="17"/>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It is not uncommon for companies in the biopharmaceutical industry to suffer significant setbacks in advanced clinical trials due to nonclinical findings made while clinical studies were underway and safety or efficacy observations made in clinical studies, including previously unreported adverse events. Our future clinical trial results may not be successful, and notwithstanding any potential promising results in earlier studies, we cannot be certain that we will not face similar setbacks. The historical failure rate for product candidates in our industry is high.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existing product candidates or any product candidates we may seek to develop in the future will ever obtain regulatory approval.</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3" w:name="page34"/>
    <w:bookmarkEnd w:id="3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225" w:lineRule="exact"/>
        <w:rPr>
          <w:sz w:val="20"/>
          <w:szCs w:val="20"/>
          <w:color w:val="auto"/>
        </w:rPr>
      </w:pPr>
    </w:p>
    <w:p>
      <w:pPr>
        <w:ind w:left="1020" w:right="159" w:hanging="328"/>
        <w:spacing w:after="0" w:line="258"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 w:lineRule="exact"/>
        <w:rPr>
          <w:rFonts w:ascii="Arial" w:cs="Arial" w:eastAsia="Arial" w:hAnsi="Arial"/>
          <w:sz w:val="18"/>
          <w:szCs w:val="18"/>
          <w:color w:val="auto"/>
        </w:rPr>
      </w:pPr>
    </w:p>
    <w:p>
      <w:pPr>
        <w:ind w:left="1020" w:right="179" w:hanging="328"/>
        <w:spacing w:after="0" w:line="250"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ind w:left="1020" w:right="839" w:hanging="328"/>
        <w:spacing w:after="0" w:line="250"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1020" w:right="539" w:hanging="328"/>
        <w:spacing w:after="0" w:line="250"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ind w:left="1020" w:right="119" w:hanging="328"/>
        <w:spacing w:after="0" w:line="250"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New Drug Application, or NDA, or other submission or to obtain regulatory approval in the United States or elsewhere; the FDA or comparable foreign regulatory authorities may disagree that our changes to branded reference drugs meet the criteria for the 505(b)(2) regulatory pathway or foreign regulatory pathways;</w:t>
      </w:r>
    </w:p>
    <w:p>
      <w:pPr>
        <w:spacing w:after="0" w:line="1" w:lineRule="exact"/>
        <w:rPr>
          <w:rFonts w:ascii="Arial" w:cs="Arial" w:eastAsia="Arial" w:hAnsi="Arial"/>
          <w:sz w:val="18"/>
          <w:szCs w:val="18"/>
          <w:color w:val="auto"/>
        </w:rPr>
      </w:pPr>
    </w:p>
    <w:p>
      <w:pPr>
        <w:ind w:left="1020" w:right="399" w:hanging="328"/>
        <w:spacing w:after="0" w:line="281"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or facilities of third-party manufacturers with which we contract for clinical and commercial supplies; and</w:t>
      </w:r>
    </w:p>
    <w:p>
      <w:pPr>
        <w:spacing w:after="0" w:line="1" w:lineRule="exact"/>
        <w:rPr>
          <w:rFonts w:ascii="Arial" w:cs="Arial" w:eastAsia="Arial" w:hAnsi="Arial"/>
          <w:sz w:val="16"/>
          <w:szCs w:val="16"/>
          <w:color w:val="auto"/>
        </w:rPr>
      </w:pPr>
    </w:p>
    <w:p>
      <w:pPr>
        <w:ind w:left="1020" w:right="59" w:hanging="328"/>
        <w:spacing w:after="0" w:line="260"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85" w:lineRule="exact"/>
        <w:rPr>
          <w:sz w:val="20"/>
          <w:szCs w:val="20"/>
          <w:color w:val="auto"/>
        </w:rPr>
      </w:pPr>
    </w:p>
    <w:p>
      <w:pPr>
        <w:ind w:left="40" w:right="259" w:firstLine="324"/>
        <w:spacing w:after="0" w:line="255" w:lineRule="auto"/>
        <w:rPr>
          <w:sz w:val="20"/>
          <w:szCs w:val="20"/>
          <w:color w:val="auto"/>
        </w:rPr>
      </w:pPr>
      <w:r>
        <w:rPr>
          <w:rFonts w:ascii="Arial" w:cs="Arial" w:eastAsia="Arial" w:hAnsi="Arial"/>
          <w:sz w:val="18"/>
          <w:szCs w:val="18"/>
          <w:color w:val="auto"/>
        </w:rPr>
        <w:t>We have limited experience in completing clinical trials of any of our product candidates. Consequently, we may not have the necessary capabilities, including adequate staffing, to successfully manage the execution and completion of any clinical trials we initiate in a way that leads to our obtaining marketing approval for our product candidates in a timely manner, or at all. This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92" w:lineRule="exact"/>
        <w:rPr>
          <w:sz w:val="20"/>
          <w:szCs w:val="20"/>
          <w:color w:val="auto"/>
        </w:rPr>
      </w:pPr>
    </w:p>
    <w:p>
      <w:pPr>
        <w:ind w:left="40" w:right="59" w:firstLine="324"/>
        <w:spacing w:after="0" w:line="255"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may approve a product candidate with a label that does not include the labeling claims necessary or desirable for the successful commercialization of that product candidate or may restrict its distribution. Any of the foregoing scenarios could materially harm the commercial prospects for our product candidates.</w:t>
      </w:r>
    </w:p>
    <w:p>
      <w:pPr>
        <w:spacing w:after="0" w:line="192" w:lineRule="exact"/>
        <w:rPr>
          <w:sz w:val="20"/>
          <w:szCs w:val="20"/>
          <w:color w:val="auto"/>
        </w:rPr>
      </w:pPr>
    </w:p>
    <w:p>
      <w:pPr>
        <w:ind w:left="40" w:right="119" w:firstLine="324"/>
        <w:spacing w:after="0" w:line="290" w:lineRule="auto"/>
        <w:rPr>
          <w:sz w:val="20"/>
          <w:szCs w:val="20"/>
          <w:color w:val="auto"/>
        </w:rPr>
      </w:pPr>
      <w:r>
        <w:rPr>
          <w:rFonts w:ascii="Arial" w:cs="Arial" w:eastAsia="Arial" w:hAnsi="Arial"/>
          <w:sz w:val="16"/>
          <w:szCs w:val="16"/>
          <w:color w:val="auto"/>
        </w:rPr>
        <w:t>We have not previously submitted an NDA to the FDA or similar drug approval filings to comparable foreign authorities, for any product candidate, and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 Even if we successfully obtain regulatory approvals to market one or more of our product candidates, our revenues will be dependent, in part, upon the size of the markets in the territories for which we gain regulatory approval and have commercial rights. If the markets for patients that we are targeting for our product candidates are not as significant as we estimate, we may not generate significant revenues from sales of such products, if approved.</w:t>
      </w:r>
    </w:p>
    <w:p>
      <w:pPr>
        <w:spacing w:after="0" w:line="165" w:lineRule="exact"/>
        <w:rPr>
          <w:sz w:val="20"/>
          <w:szCs w:val="20"/>
          <w:color w:val="auto"/>
        </w:rPr>
      </w:pPr>
    </w:p>
    <w:p>
      <w:pPr>
        <w:ind w:left="40" w:right="159" w:firstLine="324"/>
        <w:spacing w:after="0" w:line="296" w:lineRule="auto"/>
        <w:rPr>
          <w:sz w:val="20"/>
          <w:szCs w:val="20"/>
          <w:color w:val="auto"/>
        </w:rPr>
      </w:pPr>
      <w:r>
        <w:rPr>
          <w:rFonts w:ascii="Arial" w:cs="Arial" w:eastAsia="Arial" w:hAnsi="Arial"/>
          <w:sz w:val="16"/>
          <w:szCs w:val="16"/>
          <w:color w:val="auto"/>
        </w:rPr>
        <w:t>We plan to seek regulatory approval to commercialize our product candidates both in the United States, the European Union and in additional foreign countries. While the scope of regulatory approval is similar in other countries,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4" w:name="page35"/>
    <w:bookmarkEnd w:id="3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Clinical trials are expensive, time-consuming and difficult to design and implement, and involve an uncertain outcome</w:t>
      </w:r>
    </w:p>
    <w:p>
      <w:pPr>
        <w:spacing w:after="0" w:line="260" w:lineRule="exact"/>
        <w:rPr>
          <w:sz w:val="20"/>
          <w:szCs w:val="20"/>
          <w:color w:val="auto"/>
        </w:rPr>
      </w:pPr>
    </w:p>
    <w:p>
      <w:pPr>
        <w:ind w:left="40" w:right="79" w:firstLine="324"/>
        <w:spacing w:after="0" w:line="271" w:lineRule="auto"/>
        <w:rPr>
          <w:sz w:val="20"/>
          <w:szCs w:val="20"/>
          <w:color w:val="auto"/>
        </w:rPr>
      </w:pPr>
      <w:r>
        <w:rPr>
          <w:rFonts w:ascii="Arial" w:cs="Arial" w:eastAsia="Arial" w:hAnsi="Arial"/>
          <w:sz w:val="17"/>
          <w:szCs w:val="17"/>
          <w:color w:val="auto"/>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Clinical testing is expensive and can take many years to complete, and its outcome is inherently uncertain. Failure can occur at any time during the clinical trial process. Although we are planning for certain clinical trials relating to BXCL501, BXCL701 and our other product candidates, there can be no assurance that the FDA will accept our proposed trial designs. We may experience delays in our clinical trials and we do not know whether planned clinical trials will begin on time, need to be redesigned, enroll patients on time or be completed on schedule, if at all. Clinical trials can be delayed for a variety of reasons, including delays related to:</w:t>
      </w:r>
    </w:p>
    <w:p>
      <w:pPr>
        <w:spacing w:after="0" w:line="178" w:lineRule="exact"/>
        <w:rPr>
          <w:sz w:val="20"/>
          <w:szCs w:val="20"/>
          <w:color w:val="auto"/>
        </w:rPr>
      </w:pPr>
    </w:p>
    <w:p>
      <w:pPr>
        <w:ind w:left="1020" w:right="259" w:hanging="328"/>
        <w:spacing w:after="0" w:line="258"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as to the design or implementation of our clinical studies;</w:t>
      </w:r>
    </w:p>
    <w:p>
      <w:pPr>
        <w:spacing w:after="0" w:line="1" w:lineRule="exact"/>
        <w:rPr>
          <w:rFonts w:ascii="Arial" w:cs="Arial" w:eastAsia="Arial" w:hAnsi="Arial"/>
          <w:sz w:val="18"/>
          <w:szCs w:val="18"/>
          <w:color w:val="auto"/>
        </w:rPr>
      </w:pPr>
    </w:p>
    <w:p>
      <w:pPr>
        <w:ind w:left="1020" w:right="519" w:hanging="328"/>
        <w:spacing w:after="0" w:line="250"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regulatory authorizations to commence a trial or consensus with regulatory authorities on trial designs;</w:t>
      </w:r>
    </w:p>
    <w:p>
      <w:pPr>
        <w:jc w:val="both"/>
        <w:ind w:left="1020" w:right="519" w:hanging="328"/>
        <w:spacing w:after="0" w:line="250"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or CROs, and clinical trial sites, the terms of which can be subject to extensive negotiation and may vary significantly among different CROs and trial sites;</w:t>
      </w:r>
    </w:p>
    <w:p>
      <w:pPr>
        <w:spacing w:after="0" w:line="1" w:lineRule="exact"/>
        <w:rPr>
          <w:rFonts w:ascii="Arial" w:cs="Arial" w:eastAsia="Arial" w:hAnsi="Arial"/>
          <w:sz w:val="18"/>
          <w:szCs w:val="18"/>
          <w:color w:val="auto"/>
        </w:rPr>
      </w:pPr>
    </w:p>
    <w:p>
      <w:pPr>
        <w:ind w:left="1020" w:hanging="328"/>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healthcare resources to combat epidemics, such as the COVID-19 pandemic;</w:t>
      </w:r>
    </w:p>
    <w:p>
      <w:pPr>
        <w:spacing w:after="0" w:line="9" w:lineRule="exact"/>
        <w:rPr>
          <w:rFonts w:ascii="Arial" w:cs="Arial" w:eastAsia="Arial" w:hAnsi="Arial"/>
          <w:sz w:val="18"/>
          <w:szCs w:val="18"/>
          <w:color w:val="auto"/>
        </w:rPr>
      </w:pPr>
    </w:p>
    <w:p>
      <w:pPr>
        <w:ind w:left="1020" w:right="219" w:hanging="328"/>
        <w:spacing w:after="0" w:line="250"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institutional review board, or IRB, approval at each site, or independent ethics committee, or IEC, approval at any sites outside the United States;</w:t>
      </w:r>
    </w:p>
    <w:p>
      <w:pPr>
        <w:ind w:left="1020" w:hanging="328"/>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dependence on the needs and timing of third party collaborators;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to clinical trial protocols;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 in a timely manner and in sufficient numbers;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addressing patient safety concerns that arise during the course of a trial;</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9" w:lineRule="exact"/>
        <w:rPr>
          <w:rFonts w:ascii="Arial" w:cs="Arial" w:eastAsia="Arial" w:hAnsi="Arial"/>
          <w:sz w:val="18"/>
          <w:szCs w:val="18"/>
          <w:color w:val="auto"/>
        </w:rPr>
      </w:pPr>
    </w:p>
    <w:p>
      <w:pPr>
        <w:ind w:left="1020" w:right="119" w:hanging="328"/>
        <w:spacing w:after="0" w:line="250"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imposition of a clinical hold by regulatory authorities, including as a result of unforeseen safety issues or side effects or failure of trial sites to adhere to regulatory requirements;</w:t>
      </w:r>
    </w:p>
    <w:p>
      <w:pPr>
        <w:ind w:left="1020" w:right="99" w:hanging="328"/>
        <w:spacing w:after="0" w:line="250"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occurrence of serious adverse events in trials of the same class of agents conducted by other companies or institutions;</w:t>
      </w:r>
    </w:p>
    <w:p>
      <w:pPr>
        <w:ind w:left="1020" w:right="639" w:hanging="328"/>
        <w:spacing w:after="0" w:line="250"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subjects choosing an alternative treatment for the indications for which we are developing our product candidates, or participating in competing trials;</w:t>
      </w:r>
    </w:p>
    <w:p>
      <w:pPr>
        <w:ind w:left="1020" w:hanging="328"/>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adding a sufficient number of clinical trial sites;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for use in clinical trials;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9" w:lineRule="exact"/>
        <w:rPr>
          <w:rFonts w:ascii="Arial" w:cs="Arial" w:eastAsia="Arial" w:hAnsi="Arial"/>
          <w:sz w:val="18"/>
          <w:szCs w:val="18"/>
          <w:color w:val="auto"/>
        </w:rPr>
      </w:pPr>
    </w:p>
    <w:p>
      <w:pPr>
        <w:ind w:left="1020" w:right="659" w:hanging="328"/>
        <w:spacing w:after="0" w:line="250"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selection of clinical end points that require prolonged periods of clinical observation or analysis of the resulting data;</w:t>
      </w:r>
    </w:p>
    <w:p>
      <w:pPr>
        <w:ind w:left="1020" w:right="179" w:hanging="328"/>
        <w:spacing w:after="0" w:line="265"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facility manufacturing our product candidates or any of their components being ordered by the FDA or comparable foreign regulatory authorities to temporarily or permanently shut down due to violations of current good manufacturing practice, or cGMP, regulations or other applicable requirements, or infections or cross-contaminations of product candidates in the manufacturing process;</w:t>
      </w:r>
    </w:p>
    <w:p>
      <w:pPr>
        <w:ind w:left="1020" w:hanging="328"/>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changes to our manufacturing process that may be necessary or desired;</w:t>
      </w:r>
    </w:p>
    <w:p>
      <w:pPr>
        <w:spacing w:after="0" w:line="9" w:lineRule="exact"/>
        <w:rPr>
          <w:rFonts w:ascii="Arial" w:cs="Arial" w:eastAsia="Arial" w:hAnsi="Arial"/>
          <w:sz w:val="18"/>
          <w:szCs w:val="18"/>
          <w:color w:val="auto"/>
        </w:rPr>
      </w:pPr>
    </w:p>
    <w:p>
      <w:pPr>
        <w:ind w:left="1020" w:right="319" w:hanging="328"/>
        <w:spacing w:after="0" w:line="250"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third-party clinical investigators losing the licenses or permits necessary to perform our clinical trials, not performing our clinical trials on our anticipated schedule or consistent with the clinical trial protocol, good clinical practice, or GCP, or other regulatory requirements; or</w:t>
      </w:r>
    </w:p>
    <w:p>
      <w:pPr>
        <w:spacing w:after="0" w:line="1" w:lineRule="exact"/>
        <w:rPr>
          <w:rFonts w:ascii="Arial" w:cs="Arial" w:eastAsia="Arial" w:hAnsi="Arial"/>
          <w:sz w:val="18"/>
          <w:szCs w:val="18"/>
          <w:color w:val="auto"/>
        </w:rPr>
      </w:pPr>
    </w:p>
    <w:p>
      <w:pPr>
        <w:ind w:left="1020" w:right="99" w:hanging="328"/>
        <w:spacing w:after="0" w:line="253"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third-party contractors not performing data collection or analysis in a timely or accurate manner; or 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5" w:name="page36"/>
    <w:bookmarkEnd w:id="3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39" w:firstLine="324"/>
        <w:spacing w:after="0" w:line="289" w:lineRule="auto"/>
        <w:rPr>
          <w:sz w:val="20"/>
          <w:szCs w:val="20"/>
          <w:color w:val="auto"/>
        </w:rPr>
      </w:pPr>
      <w:r>
        <w:rPr>
          <w:rFonts w:ascii="Arial" w:cs="Arial" w:eastAsia="Arial" w:hAnsi="Arial"/>
          <w:sz w:val="16"/>
          <w:szCs w:val="16"/>
          <w:color w:val="auto"/>
        </w:rPr>
        <w:t>We could encounter delays if a clinical trial is suspended or terminated by us, by the IRBs of the institutions in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Furthermore, we rely on CROs and clinical trial sites to ensure the proper and timely conduct of our clinical trials and, while we have agreements governing their committed activities, we have limited influence over their actual performance.</w:t>
      </w:r>
    </w:p>
    <w:p>
      <w:pPr>
        <w:spacing w:after="0" w:line="166" w:lineRule="exact"/>
        <w:rPr>
          <w:sz w:val="20"/>
          <w:szCs w:val="20"/>
          <w:color w:val="auto"/>
        </w:rPr>
      </w:pPr>
    </w:p>
    <w:p>
      <w:pPr>
        <w:ind w:left="40" w:right="119" w:firstLine="324"/>
        <w:spacing w:after="0" w:line="257" w:lineRule="auto"/>
        <w:rPr>
          <w:sz w:val="20"/>
          <w:szCs w:val="20"/>
          <w:color w:val="auto"/>
        </w:rPr>
      </w:pPr>
      <w:r>
        <w:rPr>
          <w:rFonts w:ascii="Arial" w:cs="Arial" w:eastAsia="Arial" w:hAnsi="Arial"/>
          <w:sz w:val="18"/>
          <w:szCs w:val="18"/>
          <w:color w:val="auto"/>
        </w:rPr>
        <w:t>Further, conducting clinical trials in foreign countries, as we may do for our current and future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88" w:lineRule="exact"/>
        <w:rPr>
          <w:sz w:val="20"/>
          <w:szCs w:val="20"/>
          <w:color w:val="auto"/>
        </w:rPr>
      </w:pPr>
    </w:p>
    <w:p>
      <w:pPr>
        <w:ind w:left="40" w:right="99" w:firstLine="324"/>
        <w:spacing w:after="0" w:line="291" w:lineRule="auto"/>
        <w:rPr>
          <w:sz w:val="20"/>
          <w:szCs w:val="20"/>
          <w:color w:val="auto"/>
        </w:rPr>
      </w:pPr>
      <w:r>
        <w:rPr>
          <w:rFonts w:ascii="Arial" w:cs="Arial" w:eastAsia="Arial" w:hAnsi="Arial"/>
          <w:sz w:val="16"/>
          <w:szCs w:val="16"/>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66" w:lineRule="exact"/>
        <w:rPr>
          <w:sz w:val="20"/>
          <w:szCs w:val="20"/>
          <w:color w:val="auto"/>
        </w:rPr>
      </w:pPr>
    </w:p>
    <w:p>
      <w:pPr>
        <w:ind w:left="40" w:right="539"/>
        <w:spacing w:after="0" w:line="263" w:lineRule="auto"/>
        <w:rPr>
          <w:sz w:val="20"/>
          <w:szCs w:val="20"/>
          <w:color w:val="auto"/>
        </w:rPr>
      </w:pPr>
      <w:r>
        <w:rPr>
          <w:rFonts w:ascii="Arial" w:cs="Arial" w:eastAsia="Arial" w:hAnsi="Arial"/>
          <w:sz w:val="18"/>
          <w:szCs w:val="18"/>
          <w:b w:val="1"/>
          <w:bCs w:val="1"/>
          <w:i w:val="1"/>
          <w:iCs w:val="1"/>
          <w:color w:val="auto"/>
        </w:rPr>
        <w:t>We depend on enrollment of patients in our clinical trials in order for us to continue development of our product candidates. If we are unable to enroll patients in our clinical trials, our research and development efforts could be adversely affected.</w:t>
      </w:r>
    </w:p>
    <w:p>
      <w:pPr>
        <w:spacing w:after="0" w:line="184" w:lineRule="exact"/>
        <w:rPr>
          <w:sz w:val="20"/>
          <w:szCs w:val="20"/>
          <w:color w:val="auto"/>
        </w:rPr>
      </w:pPr>
    </w:p>
    <w:p>
      <w:pPr>
        <w:ind w:left="40" w:right="59" w:firstLine="324"/>
        <w:spacing w:after="0" w:line="285" w:lineRule="auto"/>
        <w:rPr>
          <w:sz w:val="20"/>
          <w:szCs w:val="20"/>
          <w:color w:val="auto"/>
        </w:rPr>
      </w:pPr>
      <w:r>
        <w:rPr>
          <w:rFonts w:ascii="Arial" w:cs="Arial" w:eastAsia="Arial" w:hAnsi="Arial"/>
          <w:sz w:val="16"/>
          <w:szCs w:val="16"/>
          <w:color w:val="auto"/>
        </w:rPr>
        <w:t>The timely completion of clinical trials in accordance with their protocols depends, among other things, on our ability to enroll a sufficient number of patients who remain in the study until its conclusion. We may experience difficulties in patient enrollment in our clinical trials for a variety of reasons. Patient enrollment is affected by many factors including the size and nature of the patient population, the proximity of patients to clinical sites, the eligibility criteria for the trial, the design of the clinical trial, the size of the patient population required for analysis of the trial’s primary endpoints, the proximity of patients to study sites, our ability to recruit clinical trial investigators with the appropriate competencies and experience, our ability to obtain and maintain patient consents, the risk that patients enrolled in clinical trials will drop out of the trials before completion, and competing clinical trials and clinicians’ and patients’ perceptions as to the potential advantages of the drug being studied in relation to other available therapies, including any new drugs that may be approved for the indications we are investigating. Our ability to enroll patients in our clinical trials may be impacted by governmental restrictions and diversion of healthcare resources resulting from the COVID-19 pandemic. Many pharmaceutical companies are conducting clinical trials in patients with the disease indications that our potential drug products target. As a result, we must compete with them for clinical sites, physicians and the limited number of patients who fulfill the stringent requirements for participation in clinical trials. Also, due to the confidential nature of clinical trials, we do not know how many of the eligible patients may be enrolled in competing studies and who are consequently not available to us for our clinical trials. Our clinical trials may be delayed or terminated due to the inability to enroll enough patients. The delay or inability to meet planned patient enrollment may result in increased costs and delay or termination of our trials, which could have a harmful effect on our ability to develop products.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6" w:name="page37"/>
    <w:bookmarkEnd w:id="3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319"/>
        <w:spacing w:after="0" w:line="263"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84" w:lineRule="exact"/>
        <w:rPr>
          <w:sz w:val="20"/>
          <w:szCs w:val="20"/>
          <w:color w:val="auto"/>
        </w:rPr>
      </w:pPr>
    </w:p>
    <w:p>
      <w:pPr>
        <w:ind w:left="40" w:right="59" w:firstLine="324"/>
        <w:spacing w:after="0" w:line="266" w:lineRule="auto"/>
        <w:rPr>
          <w:sz w:val="20"/>
          <w:szCs w:val="20"/>
          <w:color w:val="auto"/>
        </w:rPr>
      </w:pPr>
      <w:r>
        <w:rPr>
          <w:rFonts w:ascii="Arial" w:cs="Arial" w:eastAsia="Arial" w:hAnsi="Arial"/>
          <w:sz w:val="17"/>
          <w:szCs w:val="17"/>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The clinical evaluation of BXCL501, BXCL701 and our other product candidates in patients is still in the early stages and it is possible that there may be side effects associated with their use. To date, based on information available in the package insert for Dex, patients treated with Dex have experienced drug-related side effects including hypotension, transient hypertension, bradycardia, dry mouth, acute respiratory distress syndrome, respiratory failure and agitation with hypotension, bradycardia and dry mouth considered serious adverse events. In addition, based on the investigator brochure for Talabostat, patients treated with Talabostat have experienced edema/peripheral swelling, hypotension, dizziness, hypovolemia fatigue, nausea, vomiting, pyrexia rigors and rash with edema and fatigue representing the most frequently observed serious adverse events. Results of our trials could reveal a high and unacceptable severity and prevalence of these or other side effects. In our Phase 2 clinical trial for the treatment of emergent Neuroendocrine Prostate Cancer, one patient experienced acidosis with a fatal outcome. Although the clinical investigator could not determine that the fatality was related to treatment with BXCL701, it is possible that BXCL701 could be tied to unacceptable side effects in the future. In such an event, we, the FDA, the IRBs at the institutions in which our studies are conducted, or the DSMB could suspend or terminate our clinical trials or the FDA or comparable foreign regulatory authorities could order us to cease clinical trials or deny approval of our product candidates for any or all targeted indications. For example, the FDA placed Point Therapeutics, Inc.’s IND for BXCL701 on clinical hold following an increase in observed mortality in patients receiving BXCL701 in a Phase 3 trial in patients with non-small cell lung cancer. Though we believe that this result was caused by, among other things, an imbalance in the disease severity of patients enrolled in the active arm of the clinical trial, there is no guarantee that excess mortality will not be observed in future clinical studies. Treatment-related side effects could also affect patient recruitment or the ability of enrolled patients to complete the clinical trial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198" w:lineRule="exact"/>
        <w:rPr>
          <w:sz w:val="20"/>
          <w:szCs w:val="20"/>
          <w:color w:val="auto"/>
        </w:rPr>
      </w:pPr>
    </w:p>
    <w:p>
      <w:pPr>
        <w:ind w:left="40" w:right="299" w:firstLine="324"/>
        <w:spacing w:after="0" w:line="263"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84" w:lineRule="exact"/>
        <w:rPr>
          <w:sz w:val="20"/>
          <w:szCs w:val="20"/>
          <w:color w:val="auto"/>
        </w:rPr>
      </w:pPr>
    </w:p>
    <w:p>
      <w:pPr>
        <w:ind w:left="1020" w:hanging="328"/>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products;</w:t>
      </w:r>
    </w:p>
    <w:p>
      <w:pPr>
        <w:spacing w:after="0" w:line="23" w:lineRule="exact"/>
        <w:rPr>
          <w:rFonts w:ascii="Arial" w:cs="Arial" w:eastAsia="Arial" w:hAnsi="Arial"/>
          <w:sz w:val="18"/>
          <w:szCs w:val="18"/>
          <w:color w:val="auto"/>
        </w:rPr>
      </w:pPr>
    </w:p>
    <w:p>
      <w:pPr>
        <w:ind w:left="1020" w:hanging="328"/>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may be required to recall a product or change the way such a product is administered to patients;</w:t>
      </w:r>
    </w:p>
    <w:p>
      <w:pPr>
        <w:spacing w:after="0" w:line="20" w:lineRule="exact"/>
        <w:rPr>
          <w:rFonts w:ascii="Arial" w:cs="Arial" w:eastAsia="Arial" w:hAnsi="Arial"/>
          <w:sz w:val="17"/>
          <w:szCs w:val="17"/>
          <w:color w:val="auto"/>
        </w:rPr>
      </w:pPr>
    </w:p>
    <w:p>
      <w:pPr>
        <w:ind w:left="1020" w:right="639" w:hanging="328"/>
        <w:spacing w:after="0" w:line="250"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or distribution of the particular product or the manufacturing processes for the product or any component thereof;</w:t>
      </w:r>
    </w:p>
    <w:p>
      <w:pPr>
        <w:ind w:left="1020" w:right="719" w:hanging="328"/>
        <w:spacing w:after="0" w:line="250"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such as a “black box” warning or contraindication;</w:t>
      </w:r>
    </w:p>
    <w:p>
      <w:pPr>
        <w:ind w:left="1020" w:right="899" w:hanging="328"/>
        <w:spacing w:after="0" w:line="265"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may be required to implement Risk Evaluation and Mitigation Strategies, or REMS, or create a medication guide outlining the risks of such side effects for distribution to patients;</w:t>
      </w:r>
    </w:p>
    <w:p>
      <w:pPr>
        <w:ind w:left="1020" w:hanging="328"/>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product may become less competitive; and</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jc w:val="both"/>
        <w:ind w:left="40" w:right="559" w:firstLine="324"/>
        <w:spacing w:after="0" w:line="263"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or for particular indications of a product candidate, if approved, and could significantly harm our business, results of operations and prospects.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7" w:name="page38"/>
    <w:bookmarkEnd w:id="3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39"/>
        <w:spacing w:after="0" w:line="308" w:lineRule="auto"/>
        <w:rPr>
          <w:sz w:val="20"/>
          <w:szCs w:val="20"/>
          <w:color w:val="auto"/>
        </w:rPr>
      </w:pPr>
      <w:r>
        <w:rPr>
          <w:rFonts w:ascii="Arial" w:cs="Arial" w:eastAsia="Arial" w:hAnsi="Arial"/>
          <w:sz w:val="17"/>
          <w:szCs w:val="17"/>
          <w:b w:val="1"/>
          <w:bCs w:val="1"/>
          <w:i w:val="1"/>
          <w:iCs w:val="1"/>
          <w:color w:val="auto"/>
        </w:rPr>
        <w:t>BioXcel’s approach to the discovery and development of product candidates based on EvolverAI is novel and unproven, and we do not know whether we will be able to develop any products of commercial value.</w:t>
      </w:r>
    </w:p>
    <w:p>
      <w:pPr>
        <w:spacing w:after="0" w:line="146" w:lineRule="exact"/>
        <w:rPr>
          <w:sz w:val="20"/>
          <w:szCs w:val="20"/>
          <w:color w:val="auto"/>
        </w:rPr>
      </w:pPr>
    </w:p>
    <w:p>
      <w:pPr>
        <w:ind w:left="40" w:right="59" w:firstLine="324"/>
        <w:spacing w:after="0" w:line="268" w:lineRule="auto"/>
        <w:rPr>
          <w:sz w:val="20"/>
          <w:szCs w:val="20"/>
          <w:color w:val="auto"/>
        </w:rPr>
      </w:pPr>
      <w:r>
        <w:rPr>
          <w:rFonts w:ascii="Arial" w:cs="Arial" w:eastAsia="Arial" w:hAnsi="Arial"/>
          <w:sz w:val="17"/>
          <w:szCs w:val="17"/>
          <w:color w:val="auto"/>
        </w:rPr>
        <w:t>We are leveraging EvolverAI to create a pipeline of neuroscience and immuno-oncology product candidates for patients whose diseases have not been adequately addressed to date by other approaches and to design and conduct efficient clinical trials with a higher likelihood of success. While we believe that applying EvolverAI to create medicines for defined patient populations may potentially enable drug research and clinical development that is more efficient than conventional drug research and development, our approach is both novel and unproven. Because our approach is both novel and unproven, the cost and time needed to develop our product candidates is difficult to predict, and our efforts may not result in the discovery and development of commercially viable medicines. We may also be incorrect about the effects of our product candidates on the diseases of our defined patient populations, which may limit the utility of our approach or the perception of the utility of our approach. Furthermore, our estimates of our defined patient populations available for study and treatment may be lower than expected, which could adversely affect our ability to conduct clinical trials and may also adversely affect the size of any market for medicines we may successfully commercialize. Our approach may not result in time savings, higher success rates or reduced costs as we expect it to, and if not, we may not attract collaborators or develop new drugs as quickly or cost effectively as expected and therefore we may not be able to commercialize our approach as originally expected.</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EvolverAI may fail to help us discover and develop additional potential product candidates.</w:t>
      </w:r>
    </w:p>
    <w:p>
      <w:pPr>
        <w:spacing w:after="0" w:line="225" w:lineRule="exact"/>
        <w:rPr>
          <w:sz w:val="20"/>
          <w:szCs w:val="20"/>
          <w:color w:val="auto"/>
        </w:rPr>
      </w:pPr>
    </w:p>
    <w:p>
      <w:pPr>
        <w:ind w:left="40" w:right="79" w:firstLine="324"/>
        <w:spacing w:after="0" w:line="259" w:lineRule="auto"/>
        <w:rPr>
          <w:sz w:val="20"/>
          <w:szCs w:val="20"/>
          <w:color w:val="auto"/>
        </w:rPr>
      </w:pPr>
      <w:r>
        <w:rPr>
          <w:rFonts w:ascii="Arial" w:cs="Arial" w:eastAsia="Arial" w:hAnsi="Arial"/>
          <w:sz w:val="18"/>
          <w:szCs w:val="18"/>
          <w:color w:val="auto"/>
        </w:rPr>
        <w:t>Any drug discovery that we are conducting using EvolverAI may not be successful in identifying compounds that have commercial value or therapeutic utility. EvolverAI may initially show promise in identifying potential product candidates, yet fail to yield viable product candidates for clinical development or commercialization for a number of reasons, including:</w:t>
      </w:r>
    </w:p>
    <w:p>
      <w:pPr>
        <w:spacing w:after="0" w:line="187" w:lineRule="exact"/>
        <w:rPr>
          <w:sz w:val="20"/>
          <w:szCs w:val="20"/>
          <w:color w:val="auto"/>
        </w:rPr>
      </w:pPr>
    </w:p>
    <w:p>
      <w:pPr>
        <w:ind w:left="1020" w:right="199" w:hanging="328"/>
        <w:spacing w:after="0" w:line="268"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research programs to identify new product candidates will require substantial technical, financial and human resources, and we may be unsuccessful in our efforts to identify new product candidates. 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p>
      <w:pPr>
        <w:spacing w:after="0" w:line="2" w:lineRule="exact"/>
        <w:rPr>
          <w:rFonts w:ascii="Arial" w:cs="Arial" w:eastAsia="Arial" w:hAnsi="Arial"/>
          <w:sz w:val="17"/>
          <w:szCs w:val="17"/>
          <w:color w:val="auto"/>
        </w:rPr>
      </w:pPr>
    </w:p>
    <w:p>
      <w:pPr>
        <w:ind w:left="1020" w:hanging="32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compounds found through EvolverAI may not demonstrate efficacy, safety or tolerability;</w:t>
      </w:r>
    </w:p>
    <w:p>
      <w:pPr>
        <w:spacing w:after="0" w:line="9" w:lineRule="exact"/>
        <w:rPr>
          <w:rFonts w:ascii="Arial" w:cs="Arial" w:eastAsia="Arial" w:hAnsi="Arial"/>
          <w:sz w:val="18"/>
          <w:szCs w:val="18"/>
          <w:color w:val="auto"/>
        </w:rPr>
      </w:pPr>
    </w:p>
    <w:p>
      <w:pPr>
        <w:ind w:left="1020" w:right="839" w:hanging="328"/>
        <w:spacing w:after="0" w:line="250"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or other characteristics that indicate that they are unlikely to receive marketing approval and achieve market acceptance;</w:t>
      </w:r>
    </w:p>
    <w:p>
      <w:pPr>
        <w:spacing w:after="0" w:line="1" w:lineRule="exact"/>
        <w:rPr>
          <w:rFonts w:ascii="Arial" w:cs="Arial" w:eastAsia="Arial" w:hAnsi="Arial"/>
          <w:sz w:val="18"/>
          <w:szCs w:val="18"/>
          <w:color w:val="auto"/>
        </w:rPr>
      </w:pPr>
    </w:p>
    <w:p>
      <w:pPr>
        <w:ind w:left="1020" w:right="79" w:hanging="328"/>
        <w:spacing w:after="0" w:line="250"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competitors may develop alternative therapies that render our potential product candidates non-competitive or less attractive; or</w:t>
      </w:r>
    </w:p>
    <w:p>
      <w:pPr>
        <w:ind w:left="1020" w:hanging="32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potential product candidate may not be capable of being produced at an acceptable cost.</w:t>
      </w:r>
    </w:p>
    <w:p>
      <w:pPr>
        <w:spacing w:after="0" w:line="211"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b w:val="1"/>
          <w:bCs w:val="1"/>
          <w:i w:val="1"/>
          <w:iCs w:val="1"/>
          <w:color w:val="auto"/>
        </w:rPr>
        <w:t>We have obtained Fast Track Designation for BXCL501 for the treatment of acute agitation, and we may seek Fast Track designation for other indications or for our other product candidates, but we might not receive such designations, and even if we do, such designations may not actually lead to a faster development or regulatory review or approval process.</w:t>
      </w:r>
    </w:p>
    <w:p>
      <w:pPr>
        <w:spacing w:after="0" w:line="187"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If a product is intended for the treatment of a serious condition and nonclinical or clinical data demonstrate the potential to address unmet medical need for this condition, a product sponsor may apply for FDA Fast Track designation. We have obtained Fast Track designation for BXCL501 for the treatment of acute agitation, and we may seek Fast Track designation for other indications for BXCL701 or for one or more of our other product candidates, but we might not receive such designations from the FDA. However, even if we receive Fast Track designation,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8" w:name="page39"/>
    <w:bookmarkEnd w:id="3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spacing w:after="0" w:line="327" w:lineRule="auto"/>
        <w:rPr>
          <w:sz w:val="20"/>
          <w:szCs w:val="20"/>
          <w:color w:val="auto"/>
        </w:rPr>
      </w:pPr>
      <w:r>
        <w:rPr>
          <w:rFonts w:ascii="Arial" w:cs="Arial" w:eastAsia="Arial" w:hAnsi="Arial"/>
          <w:sz w:val="15"/>
          <w:szCs w:val="15"/>
          <w:b w:val="1"/>
          <w:bCs w:val="1"/>
          <w:i w:val="1"/>
          <w:iCs w:val="1"/>
          <w:color w:val="auto"/>
        </w:rPr>
        <w:t>If the FDA does not conclude that our product candidates satisfy the requirements for the 505(b)(2) regulatory approval pathway, or if the requirements for approval of any of our product candidates under Section 505(b)(2) are not as we expect, the approval pathway for our product candidates will likely take significantly longer, cost significantly more and encounter significantly greater complications and risks than anticipated, and in any case may not be successful.</w:t>
      </w:r>
    </w:p>
    <w:p>
      <w:pPr>
        <w:spacing w:after="0" w:line="140" w:lineRule="exact"/>
        <w:rPr>
          <w:sz w:val="20"/>
          <w:szCs w:val="20"/>
          <w:color w:val="auto"/>
        </w:rPr>
      </w:pPr>
    </w:p>
    <w:p>
      <w:pPr>
        <w:ind w:left="40" w:right="159" w:firstLine="324"/>
        <w:spacing w:after="0" w:line="268" w:lineRule="auto"/>
        <w:rPr>
          <w:sz w:val="20"/>
          <w:szCs w:val="20"/>
          <w:color w:val="auto"/>
        </w:rPr>
      </w:pPr>
      <w:r>
        <w:rPr>
          <w:rFonts w:ascii="Arial" w:cs="Arial" w:eastAsia="Arial" w:hAnsi="Arial"/>
          <w:sz w:val="17"/>
          <w:szCs w:val="17"/>
          <w:color w:val="auto"/>
        </w:rPr>
        <w:t>We intend to seek FDA approval through the 505(b)(2) regulatory pathway for certain of our product candidates, including BXCL501. The Hatch-Waxman Act added Section 505(b)(2) to the FDCA. Section 505(b)(2) permits the filing of an NDA where at least some of the information required for approval comes from studies that were not conducted by or for the applicant. If the FDA does not allow us to pursue the 505(b)(2) regulatory pathway for our product candidates as anticipated, we may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Moreover, the inability to pursue the 505(b)(2) regulatory pathway could result in new competitive products reaching the market faster than our product candidates, which could materially adversely impact our competitive position and prospects. Even if we are allowed to pursue the 505(b)(2) regulatory pathway for a product candidate, we cannot assure you that we will receive the requisite or timely approvals for commercialization of such product candidate. In addition, we expect that our competitors will file citizens’ petitions with the FDA in an attempt to persuade the FDA that our product candidates, or the clinical studies that support their approval, contain deficiencies. Such actions by our competitors could delay or even prevent the FDA from approving any NDA that we submit under Section 505(b)(2).</w:t>
      </w:r>
    </w:p>
    <w:p>
      <w:pPr>
        <w:spacing w:after="0" w:line="184"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Even if we obtain regulatory approval for BXCL501, BXCL701 or any product candidate, we will still face extensive and ongoing regulatory requirements and obligations and any product candidates, if approved, may face future development and regulatory difficulties.</w:t>
      </w:r>
    </w:p>
    <w:p>
      <w:pPr>
        <w:spacing w:after="0" w:line="184" w:lineRule="exact"/>
        <w:rPr>
          <w:sz w:val="20"/>
          <w:szCs w:val="20"/>
          <w:color w:val="auto"/>
        </w:rPr>
      </w:pPr>
    </w:p>
    <w:p>
      <w:pPr>
        <w:ind w:left="40" w:right="79" w:firstLine="324"/>
        <w:spacing w:after="0" w:line="271" w:lineRule="auto"/>
        <w:rPr>
          <w:sz w:val="20"/>
          <w:szCs w:val="20"/>
          <w:color w:val="auto"/>
        </w:rPr>
      </w:pPr>
      <w:r>
        <w:rPr>
          <w:rFonts w:ascii="Arial" w:cs="Arial" w:eastAsia="Arial" w:hAnsi="Arial"/>
          <w:sz w:val="17"/>
          <w:szCs w:val="17"/>
          <w:color w:val="auto"/>
        </w:rPr>
        <w:t>Any product candidate for which we obtain marketing approval, along with the manufacturing processes, post-approval clinical data, labeling, packaging, distribution, adverse event reporting, storage, recordkeeping, export, import, advertising and promotional activities for such product, among other things, will be subject to extensive and ongoing requirements of and review by the FDA and other regulatory authorities. These requirements include submissions of safety and other post-marketing information and reports, establishment registration and drug listing requirements, continued compliance with cGMP requirements relating to manufacturing, quality control, quality assurance and corresponding maintenance of records and documents, requirements regarding the distribution of samples to physicians and recordkeeping and GCP requirements for any clinical trials that we conduct post-approval.</w:t>
      </w:r>
    </w:p>
    <w:p>
      <w:pPr>
        <w:spacing w:after="0" w:line="178" w:lineRule="exact"/>
        <w:rPr>
          <w:sz w:val="20"/>
          <w:szCs w:val="20"/>
          <w:color w:val="auto"/>
        </w:rPr>
      </w:pPr>
    </w:p>
    <w:p>
      <w:pPr>
        <w:ind w:left="40" w:right="79" w:firstLine="324"/>
        <w:spacing w:after="0" w:line="271" w:lineRule="auto"/>
        <w:rPr>
          <w:sz w:val="20"/>
          <w:szCs w:val="20"/>
          <w:color w:val="auto"/>
        </w:rPr>
      </w:pPr>
      <w:r>
        <w:rPr>
          <w:rFonts w:ascii="Arial" w:cs="Arial" w:eastAsia="Arial" w:hAnsi="Arial"/>
          <w:sz w:val="17"/>
          <w:szCs w:val="17"/>
          <w:color w:val="auto"/>
        </w:rPr>
        <w:t>Even if marketing approval of a product candidate is granted, the approval may be subject to limitations on the indicated uses for which the product candidate may be marketed or to the conditions of approval, including a requirement to implement a REMS. If any of our product candidates receives marketing approval, the accompanying label may limit the approved indicated use of the product candidate, which could limit sales of the product candidate. The FDA may also impose requirements for costly post-marketing studies or clinical trials and surveillance to monitor the safety or efficacy of a product. Violations of the Federal Food, Drug, and Cosmetic Act, or FDCA, relating to the promotion of prescription drugs may lead to FDA enforcement actions and investigations alleging violations of federal and state healthcare fraud and abuse laws, as well as state consumer protection laws.</w:t>
      </w:r>
    </w:p>
    <w:p>
      <w:pPr>
        <w:spacing w:after="0" w:line="178" w:lineRule="exact"/>
        <w:rPr>
          <w:sz w:val="20"/>
          <w:szCs w:val="20"/>
          <w:color w:val="auto"/>
        </w:rPr>
      </w:pPr>
    </w:p>
    <w:p>
      <w:pPr>
        <w:ind w:left="40" w:right="139" w:firstLine="324"/>
        <w:spacing w:after="0" w:line="342" w:lineRule="auto"/>
        <w:rPr>
          <w:sz w:val="20"/>
          <w:szCs w:val="20"/>
          <w:color w:val="auto"/>
        </w:rPr>
      </w:pPr>
      <w:r>
        <w:rPr>
          <w:rFonts w:ascii="Arial" w:cs="Arial" w:eastAsia="Arial" w:hAnsi="Arial"/>
          <w:sz w:val="16"/>
          <w:szCs w:val="16"/>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124" w:lineRule="exact"/>
        <w:rPr>
          <w:sz w:val="20"/>
          <w:szCs w:val="20"/>
          <w:color w:val="auto"/>
        </w:rPr>
      </w:pPr>
    </w:p>
    <w:p>
      <w:pPr>
        <w:ind w:left="1020" w:hanging="328"/>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on manufacturing such products;</w:t>
      </w:r>
    </w:p>
    <w:p>
      <w:pPr>
        <w:spacing w:after="0" w:line="23" w:lineRule="exact"/>
        <w:rPr>
          <w:rFonts w:ascii="Arial" w:cs="Arial" w:eastAsia="Arial" w:hAnsi="Arial"/>
          <w:sz w:val="18"/>
          <w:szCs w:val="18"/>
          <w:color w:val="auto"/>
        </w:rPr>
      </w:pPr>
    </w:p>
    <w:p>
      <w:pPr>
        <w:ind w:left="1020" w:hanging="328"/>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on the labeling or marketing of products;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on product manufacturing, distribution or use;</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9" w:name="page40"/>
    <w:bookmarkEnd w:id="3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hanging="328"/>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3" w:lineRule="exact"/>
        <w:rPr>
          <w:rFonts w:ascii="Arial" w:cs="Arial" w:eastAsia="Arial" w:hAnsi="Arial"/>
          <w:sz w:val="18"/>
          <w:szCs w:val="18"/>
          <w:color w:val="auto"/>
        </w:rPr>
      </w:pPr>
    </w:p>
    <w:p>
      <w:pPr>
        <w:ind w:left="1020" w:hanging="328"/>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00" w:lineRule="exact"/>
        <w:rPr>
          <w:sz w:val="20"/>
          <w:szCs w:val="20"/>
          <w:color w:val="auto"/>
        </w:rPr>
      </w:pPr>
    </w:p>
    <w:p>
      <w:pPr>
        <w:spacing w:after="0" w:line="227" w:lineRule="exact"/>
        <w:rPr>
          <w:sz w:val="20"/>
          <w:szCs w:val="20"/>
          <w:color w:val="auto"/>
        </w:rPr>
      </w:pPr>
    </w:p>
    <w:p>
      <w:pPr>
        <w:ind w:left="40" w:right="319" w:firstLine="324"/>
        <w:spacing w:after="0" w:line="296" w:lineRule="auto"/>
        <w:rPr>
          <w:sz w:val="20"/>
          <w:szCs w:val="20"/>
          <w:color w:val="auto"/>
        </w:rPr>
      </w:pPr>
      <w:r>
        <w:rPr>
          <w:rFonts w:ascii="Arial" w:cs="Arial" w:eastAsia="Arial" w:hAnsi="Arial"/>
          <w:sz w:val="16"/>
          <w:szCs w:val="16"/>
          <w:color w:val="auto"/>
        </w:rPr>
        <w:t>Further, the FDA’s policies may change, and additional government regulations may be enacted that could impose extensive and ongoing regulatory requirements and obligations on any product candidate for which we obtain marketing approval.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61" w:lineRule="exact"/>
        <w:rPr>
          <w:sz w:val="20"/>
          <w:szCs w:val="20"/>
          <w:color w:val="auto"/>
        </w:rPr>
      </w:pPr>
    </w:p>
    <w:p>
      <w:pPr>
        <w:ind w:left="40" w:right="99" w:firstLine="324"/>
        <w:spacing w:after="0" w:line="289"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or executive action, either in the United States or abroad. For example, certain policies of the current presidential administration may impact our business and industry. Namely, the current presidential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actions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166" w:lineRule="exact"/>
        <w:rPr>
          <w:sz w:val="20"/>
          <w:szCs w:val="20"/>
          <w:color w:val="auto"/>
        </w:rPr>
      </w:pPr>
    </w:p>
    <w:p>
      <w:pPr>
        <w:ind w:left="40" w:right="119"/>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70" w:lineRule="exact"/>
        <w:rPr>
          <w:sz w:val="20"/>
          <w:szCs w:val="20"/>
          <w:color w:val="auto"/>
        </w:rPr>
      </w:pPr>
    </w:p>
    <w:p>
      <w:pPr>
        <w:ind w:left="40" w:right="79" w:firstLine="324"/>
        <w:spacing w:after="0" w:line="286" w:lineRule="auto"/>
        <w:rPr>
          <w:sz w:val="20"/>
          <w:szCs w:val="20"/>
          <w:color w:val="auto"/>
        </w:rPr>
      </w:pPr>
      <w:r>
        <w:rPr>
          <w:rFonts w:ascii="Arial" w:cs="Arial" w:eastAsia="Arial" w:hAnsi="Arial"/>
          <w:sz w:val="16"/>
          <w:szCs w:val="16"/>
          <w:color w:val="auto"/>
        </w:rPr>
        <w:t>If we are found to have improperly promoted off-label uses of our products or product candidates, if approved, we may become subject to significant liability. Such enforcement has become more common in the industry. The FDA and other regulatory agencies strictly regulate the promotional claims that may be made about prescription drug products, such as our product candidates, if approved. In particular, a product may not be promoted for uses that are not approved by the FDA or such other regulatory agencies as reflected in the product’s approved labeling. If we receive marketing approval for our product candidates for our proposed indications, physicians may nevertheless use our products for their patients in a manner that is inconsistent with the approved label, if the physicians personally believe in their professional medical judgment it could be used in such manner. However, if we are found to have promoted our products for any off-label uses, the federal government could levy civil, criminal and/or administrative penalties, and seek fines against us. The FDA or other regulatory authorities could also request that we enter into a consent decree or a corporate integrity agreement, or seek a permanent injunction against us under which specified promotional conduct is monitored, changed or curtailed. If we cannot successfully manage the promotion of our product candidates, if approved, we could become subject to significant liability, which would materially adversely affect our business and financial condition.</w:t>
      </w:r>
    </w:p>
    <w:p>
      <w:pPr>
        <w:spacing w:after="0" w:line="174" w:lineRule="exact"/>
        <w:rPr>
          <w:sz w:val="20"/>
          <w:szCs w:val="20"/>
          <w:color w:val="auto"/>
        </w:rPr>
      </w:pPr>
    </w:p>
    <w:p>
      <w:pPr>
        <w:ind w:left="40" w:right="639"/>
        <w:spacing w:after="0" w:line="286" w:lineRule="auto"/>
        <w:rPr>
          <w:sz w:val="20"/>
          <w:szCs w:val="20"/>
          <w:color w:val="auto"/>
        </w:rPr>
      </w:pPr>
      <w:r>
        <w:rPr>
          <w:rFonts w:ascii="Arial" w:cs="Arial" w:eastAsia="Arial" w:hAnsi="Arial"/>
          <w:sz w:val="17"/>
          <w:szCs w:val="17"/>
          <w:b w:val="1"/>
          <w:bCs w:val="1"/>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spacing w:after="0" w:line="165" w:lineRule="exact"/>
        <w:rPr>
          <w:sz w:val="20"/>
          <w:szCs w:val="20"/>
          <w:color w:val="auto"/>
        </w:rPr>
      </w:pPr>
    </w:p>
    <w:p>
      <w:pPr>
        <w:ind w:left="40" w:right="179" w:firstLine="324"/>
        <w:spacing w:after="0" w:line="275"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76" w:lineRule="exact"/>
        <w:rPr>
          <w:sz w:val="20"/>
          <w:szCs w:val="20"/>
          <w:color w:val="auto"/>
        </w:rPr>
      </w:pPr>
    </w:p>
    <w:p>
      <w:pPr>
        <w:ind w:left="40" w:right="99" w:firstLine="324"/>
        <w:spacing w:after="0" w:line="311"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0" w:name="page41"/>
    <w:bookmarkEnd w:id="4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219"/>
        <w:spacing w:after="0" w:line="286" w:lineRule="auto"/>
        <w:rPr>
          <w:sz w:val="20"/>
          <w:szCs w:val="20"/>
          <w:color w:val="auto"/>
        </w:rPr>
      </w:pPr>
      <w:r>
        <w:rPr>
          <w:rFonts w:ascii="Arial" w:cs="Arial" w:eastAsia="Arial" w:hAnsi="Arial"/>
          <w:sz w:val="17"/>
          <w:szCs w:val="17"/>
          <w:color w:val="auto"/>
        </w:rPr>
        <w:t>and certain regulatory agencies, such as the FDA, have had to furlough critical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65" w:lineRule="exact"/>
        <w:rPr>
          <w:sz w:val="20"/>
          <w:szCs w:val="20"/>
          <w:color w:val="auto"/>
        </w:rPr>
      </w:pPr>
    </w:p>
    <w:p>
      <w:pPr>
        <w:ind w:left="40" w:right="619"/>
        <w:spacing w:after="0" w:line="277" w:lineRule="auto"/>
        <w:rPr>
          <w:sz w:val="20"/>
          <w:szCs w:val="20"/>
          <w:color w:val="auto"/>
        </w:rPr>
      </w:pPr>
      <w:r>
        <w:rPr>
          <w:rFonts w:ascii="Arial" w:cs="Arial" w:eastAsia="Arial" w:hAnsi="Arial"/>
          <w:sz w:val="18"/>
          <w:szCs w:val="18"/>
          <w:b w:val="1"/>
          <w:bCs w:val="1"/>
          <w:i w:val="1"/>
          <w:iCs w:val="1"/>
          <w:color w:val="auto"/>
        </w:rPr>
        <w:t>We may be subject to extensive regulations outside the United States and may not obtain marketing approvals for products in Europe and other jurisdictions.</w:t>
      </w:r>
    </w:p>
    <w:p>
      <w:pPr>
        <w:spacing w:after="0" w:line="170" w:lineRule="exact"/>
        <w:rPr>
          <w:sz w:val="20"/>
          <w:szCs w:val="20"/>
          <w:color w:val="auto"/>
        </w:rPr>
      </w:pPr>
    </w:p>
    <w:p>
      <w:pPr>
        <w:ind w:left="40" w:right="79" w:firstLine="324"/>
        <w:spacing w:after="0" w:line="272" w:lineRule="auto"/>
        <w:rPr>
          <w:sz w:val="20"/>
          <w:szCs w:val="20"/>
          <w:color w:val="auto"/>
        </w:rPr>
      </w:pPr>
      <w:r>
        <w:rPr>
          <w:rFonts w:ascii="Arial" w:cs="Arial" w:eastAsia="Arial" w:hAnsi="Arial"/>
          <w:sz w:val="17"/>
          <w:szCs w:val="17"/>
          <w:color w:val="auto"/>
        </w:rPr>
        <w:t>In addition to regulations in the United States, should we or our collaborators pursue marketing approvals for BXCL501, BXCL701 and our other product candidates internationally, we and our collaborators will be subject to a variety of regulations in other jurisdictions governing, among other things, clinical trials and any commercial sales and distribution of our products. Whether or not we, or our collaborators, obtain FDA approval for a product, we must obtain the requisite approvals from regulatory authorities in foreign countries prior to the commencement of clinical trials or marketing of the product in those countries. The requirements and process governing the conduct of clinical trials, product licensing, pricing and reimbursement vary from country to country.</w:t>
      </w:r>
    </w:p>
    <w:p>
      <w:pPr>
        <w:spacing w:after="0" w:line="177" w:lineRule="exact"/>
        <w:rPr>
          <w:sz w:val="20"/>
          <w:szCs w:val="20"/>
          <w:color w:val="auto"/>
        </w:rPr>
      </w:pPr>
    </w:p>
    <w:p>
      <w:pPr>
        <w:ind w:left="40" w:right="99" w:firstLine="324"/>
        <w:spacing w:after="0" w:line="296" w:lineRule="auto"/>
        <w:rPr>
          <w:sz w:val="20"/>
          <w:szCs w:val="20"/>
          <w:color w:val="auto"/>
        </w:rPr>
      </w:pPr>
      <w:r>
        <w:rPr>
          <w:rFonts w:ascii="Arial" w:cs="Arial" w:eastAsia="Arial" w:hAnsi="Arial"/>
          <w:sz w:val="16"/>
          <w:szCs w:val="16"/>
          <w:color w:val="auto"/>
        </w:rPr>
        <w:t>We expect to pursue marketing approvals for BXCL501, BXCL701 and our other product candidates in Europe and other jurisdictions outside the United States with collaborative partners. The time and process required to obtain regulatory approvals and reimbursement in Europe and other jurisdictions may be different from those in the United States regulatory and approval in one jurisdiction does not ensure approvals in any other jurisdiction; however, negative regulatory decisions in any jurisdiction may have a negative impact on the regulatory process in other jurisdictions.</w:t>
      </w:r>
    </w:p>
    <w:p>
      <w:pPr>
        <w:spacing w:after="0" w:line="161" w:lineRule="exact"/>
        <w:rPr>
          <w:sz w:val="20"/>
          <w:szCs w:val="20"/>
          <w:color w:val="auto"/>
        </w:rPr>
      </w:pPr>
    </w:p>
    <w:p>
      <w:pPr>
        <w:ind w:left="40" w:right="159" w:firstLine="324"/>
        <w:spacing w:after="0" w:line="269" w:lineRule="auto"/>
        <w:rPr>
          <w:sz w:val="20"/>
          <w:szCs w:val="20"/>
          <w:color w:val="auto"/>
        </w:rPr>
      </w:pPr>
      <w:r>
        <w:rPr>
          <w:rFonts w:ascii="Arial" w:cs="Arial" w:eastAsia="Arial" w:hAnsi="Arial"/>
          <w:sz w:val="17"/>
          <w:szCs w:val="17"/>
          <w:color w:val="auto"/>
        </w:rPr>
        <w:t>Following a national referendum and enactment of legislation by the government of the United Kingdom, the United Kingdom withdrew from the European Union, or Brexit, on January 31, 2020 and entered into a transition period during which it will continue its ongoing and complex negotiations with the European Union relating to the future trading relationship between the parties. Significant political and economic uncertainty remains about whether the terms of the relationship will differ materially from the terms before withdrawal, as well as about the possibility that a so-called “no deal” separation will occur if negotiations are not completed by the end of the transition period.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182" w:lineRule="exact"/>
        <w:rPr>
          <w:sz w:val="20"/>
          <w:szCs w:val="20"/>
          <w:color w:val="auto"/>
        </w:rPr>
      </w:pPr>
    </w:p>
    <w:p>
      <w:pPr>
        <w:ind w:left="40" w:right="279"/>
        <w:spacing w:after="0" w:line="263" w:lineRule="auto"/>
        <w:rPr>
          <w:sz w:val="20"/>
          <w:szCs w:val="20"/>
          <w:color w:val="auto"/>
        </w:rPr>
      </w:pPr>
      <w:r>
        <w:rPr>
          <w:rFonts w:ascii="Arial" w:cs="Arial" w:eastAsia="Arial" w:hAnsi="Arial"/>
          <w:sz w:val="18"/>
          <w:szCs w:val="18"/>
          <w:b w:val="1"/>
          <w:bCs w:val="1"/>
          <w:i w:val="1"/>
          <w:iCs w:val="1"/>
          <w:color w:val="auto"/>
        </w:rPr>
        <w:t>If we are found in violation of federal or state “fraud and abuse” laws, we may be required to pay a penalty and/or be suspended from participation in federal or state health care programs, which may adversely affect our business, financial condition and results of operations.</w:t>
      </w:r>
    </w:p>
    <w:p>
      <w:pPr>
        <w:spacing w:after="0" w:line="184" w:lineRule="exact"/>
        <w:rPr>
          <w:sz w:val="20"/>
          <w:szCs w:val="20"/>
          <w:color w:val="auto"/>
        </w:rPr>
      </w:pPr>
    </w:p>
    <w:p>
      <w:pPr>
        <w:ind w:left="40" w:right="159" w:firstLine="324"/>
        <w:spacing w:after="0" w:line="259" w:lineRule="auto"/>
        <w:rPr>
          <w:sz w:val="20"/>
          <w:szCs w:val="20"/>
          <w:color w:val="auto"/>
        </w:rPr>
      </w:pPr>
      <w:r>
        <w:rPr>
          <w:rFonts w:ascii="Arial" w:cs="Arial" w:eastAsia="Arial" w:hAnsi="Arial"/>
          <w:sz w:val="18"/>
          <w:szCs w:val="18"/>
          <w:color w:val="auto"/>
        </w:rPr>
        <w:t>In the United States, we will be subject to various federal and state health care “fraud and abuse” laws, including anti-kickback laws, false claims laws and other laws intended to reduce fraud and abuse in federal and state health care programs, which could affect us, particularly upon successful commercialization of our products in the United States. These laws include:</w:t>
      </w:r>
    </w:p>
    <w:p>
      <w:pPr>
        <w:spacing w:after="0" w:line="187" w:lineRule="exact"/>
        <w:rPr>
          <w:sz w:val="20"/>
          <w:szCs w:val="20"/>
          <w:color w:val="auto"/>
        </w:rPr>
      </w:pPr>
    </w:p>
    <w:p>
      <w:pPr>
        <w:ind w:left="1020" w:right="99" w:hanging="328"/>
        <w:spacing w:after="0" w:line="288" w:lineRule="auto"/>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federal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 care program, such as Medicare or Medicaid. A person or entity does not need to have actual knowledge of this statute or specific intent to violate it to have committed a violation. Under federal government regulations, some arrangements, known as safe harbors, are deemed not to violate the federal Anti-Kickback Statute. Although we seek to structure our business arrangements in compliance with all applicable requirements, these laws are broadly written, and it is often difficult to determine precisely how the law will be applied in specific circumstances. Accordingly, it is possible that our practices may be challenged under the federal Anti-Kickback Statute;</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1" w:name="page42"/>
    <w:bookmarkEnd w:id="4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right="159" w:hanging="328"/>
        <w:spacing w:after="0" w:line="289"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false claims laws prohibit anyone from knowingly and willfully presenting or causing to be presented for payment to third-party payers, including government payers, claims for reimbursed drugs or services that are false or fraudulent, claims for items or services that were not provided as claimed, or claims for medically unnecessary items or services. Cases have been brought under false claims laws alleging that off-label promotion of pharmaceutical products or the provision of kickbacks has resulted in the submission of false claims to governmental health care programs. In addition, the government may assert that a claim including items or services resulting from a violation of the federal Anti-Kickback Statute constitutes a false or fraudulent claim for purposes of the false claims laws. Further, private individuals have the ability to bring actions on behalf of the government under the federal False Claims Act;</w:t>
      </w:r>
    </w:p>
    <w:p>
      <w:pPr>
        <w:spacing w:after="0" w:line="166" w:lineRule="exact"/>
        <w:rPr>
          <w:rFonts w:ascii="Arial" w:cs="Arial" w:eastAsia="Arial" w:hAnsi="Arial"/>
          <w:sz w:val="16"/>
          <w:szCs w:val="16"/>
          <w:color w:val="auto"/>
        </w:rPr>
      </w:pPr>
    </w:p>
    <w:p>
      <w:pPr>
        <w:ind w:left="1020" w:right="79" w:hanging="328"/>
        <w:spacing w:after="0" w:line="293"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Health Insurance Portability and Accountability Act of 1996, or HIPAA, prohibits persons or entities from knowingly and willfully executing a scheme to defraud any health care benefit program, including private payers, or knowingly and willfully falsifying, concealing or covering up a material fact or making any materially false, fictitious or fraudulent statement in connection with the delivery of or payment for health care benefits, items or services. Similar to the federal Anti- Kickback Statute, a person or entity does not need to have actual knowledge of these statutes or specific intent to violate them to have committed a violation;</w:t>
      </w:r>
    </w:p>
    <w:p>
      <w:pPr>
        <w:spacing w:after="0" w:line="164" w:lineRule="exact"/>
        <w:rPr>
          <w:rFonts w:ascii="Arial" w:cs="Arial" w:eastAsia="Arial" w:hAnsi="Arial"/>
          <w:sz w:val="16"/>
          <w:szCs w:val="16"/>
          <w:color w:val="auto"/>
        </w:rPr>
      </w:pPr>
    </w:p>
    <w:p>
      <w:pPr>
        <w:ind w:left="1020" w:right="179" w:hanging="328"/>
        <w:spacing w:after="0" w:line="301"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57" w:lineRule="exact"/>
        <w:rPr>
          <w:rFonts w:ascii="Arial" w:cs="Arial" w:eastAsia="Arial" w:hAnsi="Arial"/>
          <w:sz w:val="16"/>
          <w:szCs w:val="16"/>
          <w:color w:val="auto"/>
        </w:rPr>
      </w:pPr>
    </w:p>
    <w:p>
      <w:pPr>
        <w:ind w:left="1020" w:right="259" w:hanging="328"/>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0" w:lineRule="exact"/>
        <w:rPr>
          <w:rFonts w:ascii="Arial" w:cs="Arial" w:eastAsia="Arial" w:hAnsi="Arial"/>
          <w:sz w:val="18"/>
          <w:szCs w:val="18"/>
          <w:color w:val="auto"/>
        </w:rPr>
      </w:pPr>
    </w:p>
    <w:p>
      <w:pPr>
        <w:ind w:left="1020" w:right="419" w:hanging="328"/>
        <w:spacing w:after="0" w:line="263"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which governs the conduct of certain electronic healthcare transactions and protects the security and privacy of protected health information;</w:t>
      </w:r>
    </w:p>
    <w:p>
      <w:pPr>
        <w:spacing w:after="0" w:line="183" w:lineRule="exact"/>
        <w:rPr>
          <w:rFonts w:ascii="Arial" w:cs="Arial" w:eastAsia="Arial" w:hAnsi="Arial"/>
          <w:sz w:val="18"/>
          <w:szCs w:val="18"/>
          <w:color w:val="auto"/>
        </w:rPr>
      </w:pPr>
    </w:p>
    <w:p>
      <w:pPr>
        <w:ind w:left="1020" w:right="139" w:hanging="328"/>
        <w:spacing w:after="0" w:line="273" w:lineRule="auto"/>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federal physician sunshine requirements under the ACA, which requires certain manufacturers of drugs, devices, biologics, and medical supplies to report annually to the Centers for Medicare &amp; Medicaid Services, or CMS, information related to payments and other transfers of value to physicians (defined to include doctors, dentists, optometrists, podiatrists and chiropractors), certain other healthcare providers starting in 2022, and teaching hospitals, and ownership and investment interests held by physicians and other healthcare providers and their immediate family members;</w:t>
      </w:r>
    </w:p>
    <w:p>
      <w:pPr>
        <w:spacing w:after="0" w:line="177" w:lineRule="exact"/>
        <w:rPr>
          <w:rFonts w:ascii="Arial" w:cs="Arial" w:eastAsia="Arial" w:hAnsi="Arial"/>
          <w:sz w:val="17"/>
          <w:szCs w:val="17"/>
          <w:color w:val="auto"/>
        </w:rPr>
      </w:pPr>
    </w:p>
    <w:p>
      <w:pPr>
        <w:ind w:left="1020" w:right="79" w:hanging="328"/>
        <w:spacing w:after="0" w:line="269" w:lineRule="auto"/>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state law equivalents of each of the above federal laws, such as anti-kickback and false claims laws which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pricing information; and state laws governing the privacy and security of health information (or personal information generally) in certain circumstances, many of which differ from each other in significant ways, thus complicating compliance efforts; and</w:t>
      </w:r>
    </w:p>
    <w:p>
      <w:pPr>
        <w:spacing w:after="0" w:line="185" w:lineRule="exact"/>
        <w:rPr>
          <w:rFonts w:ascii="Arial" w:cs="Arial" w:eastAsia="Arial" w:hAnsi="Arial"/>
          <w:sz w:val="17"/>
          <w:szCs w:val="17"/>
          <w:color w:val="auto"/>
        </w:rPr>
      </w:pPr>
    </w:p>
    <w:p>
      <w:pPr>
        <w:ind w:left="1020" w:right="319" w:hanging="328"/>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European and other foreign law equivalents of each of the laws, including reporting requirements detailing interactions with and payments to healthcare providers.</w:t>
      </w:r>
    </w:p>
    <w:p>
      <w:pPr>
        <w:spacing w:after="0" w:line="170" w:lineRule="exact"/>
        <w:rPr>
          <w:sz w:val="20"/>
          <w:szCs w:val="20"/>
          <w:color w:val="auto"/>
        </w:rPr>
      </w:pPr>
    </w:p>
    <w:p>
      <w:pPr>
        <w:ind w:left="40" w:right="339" w:firstLine="324"/>
        <w:spacing w:after="0" w:line="342" w:lineRule="auto"/>
        <w:rPr>
          <w:sz w:val="20"/>
          <w:szCs w:val="20"/>
          <w:color w:val="auto"/>
        </w:rPr>
      </w:pPr>
      <w:r>
        <w:rPr>
          <w:rFonts w:ascii="Arial" w:cs="Arial" w:eastAsia="Arial" w:hAnsi="Arial"/>
          <w:sz w:val="16"/>
          <w:szCs w:val="16"/>
          <w:color w:val="auto"/>
        </w:rPr>
        <w:t>The risk of our being found in violation of these laws is increased by the fact that many of them have not been fully interpreted by the regulatory authorities or the courts, and their provisions are open to a variety of interpretations. Any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2" w:name="page43"/>
    <w:bookmarkEnd w:id="4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19"/>
        <w:spacing w:after="0" w:line="271" w:lineRule="auto"/>
        <w:rPr>
          <w:sz w:val="20"/>
          <w:szCs w:val="20"/>
          <w:color w:val="auto"/>
        </w:rPr>
      </w:pPr>
      <w:r>
        <w:rPr>
          <w:rFonts w:ascii="Arial" w:cs="Arial" w:eastAsia="Arial" w:hAnsi="Arial"/>
          <w:sz w:val="17"/>
          <w:szCs w:val="17"/>
          <w:color w:val="auto"/>
        </w:rPr>
        <w:t>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additional reporting obligations and oversight if we become subject to a corporate integrity agreement or other agreement to resolve allegations of non-compliance with these laws, and imprisonment, any of which could adversely affect our ability to market our products and adversely impact our financial results.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be unable to maintain sufficient clinical trial liability insurance.</w:t>
      </w:r>
    </w:p>
    <w:p>
      <w:pPr>
        <w:spacing w:after="0" w:line="225" w:lineRule="exact"/>
        <w:rPr>
          <w:sz w:val="20"/>
          <w:szCs w:val="20"/>
          <w:color w:val="auto"/>
        </w:rPr>
      </w:pPr>
    </w:p>
    <w:p>
      <w:pPr>
        <w:ind w:left="40" w:right="119" w:firstLine="324"/>
        <w:spacing w:after="0" w:line="287" w:lineRule="auto"/>
        <w:rPr>
          <w:sz w:val="20"/>
          <w:szCs w:val="20"/>
          <w:color w:val="auto"/>
        </w:rPr>
      </w:pPr>
      <w:r>
        <w:rPr>
          <w:rFonts w:ascii="Arial" w:cs="Arial" w:eastAsia="Arial" w:hAnsi="Arial"/>
          <w:sz w:val="16"/>
          <w:szCs w:val="16"/>
          <w:color w:val="auto"/>
        </w:rPr>
        <w:t>Our inability to retain sufficient clinical trial liability insurance at an acceptable cost to protect against potential liability claims could prevent or inhibit our ability to conduct clinical trials for product candidates we develop. We may be unable to obtain appropriate levels of such insurance. Even if we do secure clinical trial liability insurance for our programs, we may not be able to achieve sufficient levels of such insurance. Any claim that may be brought against us could result in a court judgment or settlement in an amount that is not covered, in whole or in part, by our insurance or that is in excess of the limits of our insurance coverage. We expect we will supplement our clinical trial coverage with product liability coverage in connection with the commercial launch of BXCL501, BXCL701 or other product candidates we develop in the future; however, we may be unable to obtain such increased coverage on acceptable terms or at all. If we are found liable in a clinical trial lawsuit or a product liability lawsuit in the future,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229" w:lineRule="exact"/>
        <w:rPr>
          <w:sz w:val="20"/>
          <w:szCs w:val="20"/>
          <w:color w:val="auto"/>
        </w:rPr>
      </w:pPr>
    </w:p>
    <w:p>
      <w:pPr>
        <w:ind w:left="40" w:right="419"/>
        <w:spacing w:after="0" w:line="277" w:lineRule="auto"/>
        <w:rPr>
          <w:sz w:val="20"/>
          <w:szCs w:val="20"/>
          <w:color w:val="auto"/>
        </w:rPr>
      </w:pPr>
      <w:r>
        <w:rPr>
          <w:rFonts w:ascii="Arial" w:cs="Arial" w:eastAsia="Arial" w:hAnsi="Arial"/>
          <w:sz w:val="18"/>
          <w:szCs w:val="18"/>
          <w:b w:val="1"/>
          <w:bCs w:val="1"/>
          <w:i w:val="1"/>
          <w:iCs w:val="1"/>
          <w:color w:val="auto"/>
        </w:rPr>
        <w:t>If our products do not gain market acceptance, our business will suffer because we might not be able to fund future operations.</w:t>
      </w:r>
    </w:p>
    <w:p>
      <w:pPr>
        <w:spacing w:after="0" w:line="170" w:lineRule="exact"/>
        <w:rPr>
          <w:sz w:val="20"/>
          <w:szCs w:val="20"/>
          <w:color w:val="auto"/>
        </w:rPr>
      </w:pPr>
    </w:p>
    <w:p>
      <w:pPr>
        <w:ind w:left="40" w:right="339" w:firstLine="324"/>
        <w:spacing w:after="0" w:line="277" w:lineRule="auto"/>
        <w:rPr>
          <w:sz w:val="20"/>
          <w:szCs w:val="20"/>
          <w:color w:val="auto"/>
        </w:rPr>
      </w:pPr>
      <w:r>
        <w:rPr>
          <w:rFonts w:ascii="Arial" w:cs="Arial" w:eastAsia="Arial" w:hAnsi="Arial"/>
          <w:sz w:val="18"/>
          <w:szCs w:val="18"/>
          <w:color w:val="auto"/>
        </w:rPr>
        <w:t>A number of factors may affect the market acceptance of our products or any other products we develop or acquire, including, among others:</w:t>
      </w:r>
    </w:p>
    <w:p>
      <w:pPr>
        <w:spacing w:after="0" w:line="170" w:lineRule="exact"/>
        <w:rPr>
          <w:sz w:val="20"/>
          <w:szCs w:val="20"/>
          <w:color w:val="auto"/>
        </w:rPr>
      </w:pPr>
    </w:p>
    <w:p>
      <w:pPr>
        <w:ind w:left="1020" w:hanging="328"/>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price of our products relative to other products for the same or similar treatments;</w:t>
      </w:r>
    </w:p>
    <w:p>
      <w:pPr>
        <w:spacing w:after="0" w:line="23" w:lineRule="exact"/>
        <w:rPr>
          <w:rFonts w:ascii="Arial" w:cs="Arial" w:eastAsia="Arial" w:hAnsi="Arial"/>
          <w:sz w:val="18"/>
          <w:szCs w:val="18"/>
          <w:color w:val="auto"/>
        </w:rPr>
      </w:pPr>
    </w:p>
    <w:p>
      <w:pPr>
        <w:ind w:left="1020" w:right="279" w:hanging="328"/>
        <w:spacing w:after="0" w:line="250"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perception by patients, physicians and other members of the health care community of the effectiveness and safety of our products for their indicated applications and treatments;</w:t>
      </w:r>
    </w:p>
    <w:p>
      <w:pPr>
        <w:ind w:left="1020" w:hanging="328"/>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fund our sales and marketing efforts; and</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11" w:lineRule="exact"/>
        <w:rPr>
          <w:sz w:val="20"/>
          <w:szCs w:val="20"/>
          <w:color w:val="auto"/>
        </w:rPr>
      </w:pPr>
    </w:p>
    <w:p>
      <w:pPr>
        <w:ind w:left="40" w:right="99" w:firstLine="324"/>
        <w:spacing w:after="0" w:line="263" w:lineRule="auto"/>
        <w:rPr>
          <w:sz w:val="20"/>
          <w:szCs w:val="20"/>
          <w:color w:val="auto"/>
        </w:rPr>
      </w:pPr>
      <w:r>
        <w:rPr>
          <w:rFonts w:ascii="Arial" w:cs="Arial" w:eastAsia="Arial" w:hAnsi="Arial"/>
          <w:sz w:val="18"/>
          <w:szCs w:val="18"/>
          <w:color w:val="auto"/>
        </w:rPr>
        <w:t>If our products do not gain market acceptance, we may not be able to fund future operations, including developing, testing and obtaining regulatory approval for new product candidates and expanding our sales and marketing efforts for our approved products, which would cause our business to suffer.</w:t>
      </w:r>
    </w:p>
    <w:p>
      <w:pPr>
        <w:spacing w:after="0" w:line="184" w:lineRule="exact"/>
        <w:rPr>
          <w:sz w:val="20"/>
          <w:szCs w:val="20"/>
          <w:color w:val="auto"/>
        </w:rPr>
      </w:pPr>
    </w:p>
    <w:p>
      <w:pPr>
        <w:ind w:left="40" w:right="239"/>
        <w:spacing w:after="0" w:line="327" w:lineRule="auto"/>
        <w:rPr>
          <w:sz w:val="20"/>
          <w:szCs w:val="20"/>
          <w:color w:val="auto"/>
        </w:rPr>
      </w:pPr>
      <w:r>
        <w:rPr>
          <w:rFonts w:ascii="Arial" w:cs="Arial" w:eastAsia="Arial" w:hAnsi="Arial"/>
          <w:sz w:val="15"/>
          <w:szCs w:val="15"/>
          <w:b w:val="1"/>
          <w:bCs w:val="1"/>
          <w:i w:val="1"/>
          <w:iCs w:val="1"/>
          <w:color w:val="auto"/>
        </w:rPr>
        <w:t>We have been granted Orphan Drug Designation for BXCL701 for the treatment of pancreatic cancer, melanoma and acute myeloid leukemia and may seek Orphan Drug Designation for other indications or product candidates, and we may be unable to maintain the benefits associated with Orphan Drug Designation, including the potential for market exclusivity, and may not receive Orphan Drug Designation for other indications or for our other product candidates.</w:t>
      </w:r>
    </w:p>
    <w:p>
      <w:pPr>
        <w:spacing w:after="0" w:line="140" w:lineRule="exact"/>
        <w:rPr>
          <w:sz w:val="20"/>
          <w:szCs w:val="20"/>
          <w:color w:val="auto"/>
        </w:rPr>
      </w:pPr>
    </w:p>
    <w:p>
      <w:pPr>
        <w:ind w:left="40" w:right="99" w:firstLine="324"/>
        <w:spacing w:after="0" w:line="291" w:lineRule="auto"/>
        <w:rPr>
          <w:sz w:val="20"/>
          <w:szCs w:val="20"/>
          <w:color w:val="auto"/>
        </w:rPr>
      </w:pPr>
      <w:r>
        <w:rPr>
          <w:rFonts w:ascii="Arial" w:cs="Arial" w:eastAsia="Arial" w:hAnsi="Arial"/>
          <w:sz w:val="16"/>
          <w:szCs w:val="16"/>
          <w:color w:val="auto"/>
        </w:rPr>
        <w:t>Regulatory authorities in some jurisdictions, including the United States and Europe, may designate drugs intended for relatively small patient populations as orphan drugs. Under the Orphan Drug Act, the FDA may designate a drug as an orphan drug if it is a drug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In addition, if a product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3" w:name="page44"/>
    <w:bookmarkEnd w:id="4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spacing w:after="0" w:line="253" w:lineRule="auto"/>
        <w:rPr>
          <w:sz w:val="20"/>
          <w:szCs w:val="20"/>
          <w:color w:val="auto"/>
        </w:rPr>
      </w:pPr>
      <w:r>
        <w:rPr>
          <w:rFonts w:ascii="Arial" w:cs="Arial" w:eastAsia="Arial" w:hAnsi="Arial"/>
          <w:sz w:val="18"/>
          <w:szCs w:val="18"/>
          <w:color w:val="auto"/>
        </w:rPr>
        <w:t>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ten years in Europe. The European exclusivity period can be reduced to six years if a drug no longer meets the criteria for orphan drug designation or if the drug is sufficiently profitable so that market exclusivity is no longer justified. In September 2019, the FDA granted Orphan Drug Designation to BXCL701 for the treatment of acute myeloid leukemia. Prior to 2019, the FDA granted Orphan Drug Designation to BXCL for the treatment of pancreatic cancer and melanoma. We may seek Orphan Drug Designations for BXCL in other indications or for our other product candidates. There can be no assurances that we will be able to obtain such designations.</w:t>
      </w:r>
    </w:p>
    <w:p>
      <w:pPr>
        <w:spacing w:after="0" w:line="194" w:lineRule="exact"/>
        <w:rPr>
          <w:sz w:val="20"/>
          <w:szCs w:val="20"/>
          <w:color w:val="auto"/>
        </w:rPr>
      </w:pPr>
    </w:p>
    <w:p>
      <w:pPr>
        <w:ind w:left="40" w:right="59" w:firstLine="324"/>
        <w:spacing w:after="0" w:line="267" w:lineRule="auto"/>
        <w:rPr>
          <w:sz w:val="20"/>
          <w:szCs w:val="20"/>
          <w:color w:val="auto"/>
        </w:rPr>
      </w:pPr>
      <w:r>
        <w:rPr>
          <w:rFonts w:ascii="Arial" w:cs="Arial" w:eastAsia="Arial" w:hAnsi="Arial"/>
          <w:sz w:val="17"/>
          <w:szCs w:val="17"/>
          <w:color w:val="auto"/>
        </w:rPr>
        <w:t>Even if we, or any future collaborators, obtain orphan drug designation for a product candidate, we, or they,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and it is possible that another company also holding orphan drug designation for the same product candidate will receive marketing approval for the same indication before we do. If that were to happen, our applications for that indication may not be approved until the competing company’s period of exclusivity expires.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drug any advantage in the regulatory review or approval process, nor does it prevent competitors from obtaining approval of the same product candidate as ours for indications other than those in which we have been granted orphan drug designation.</w:t>
      </w:r>
    </w:p>
    <w:p>
      <w:pPr>
        <w:spacing w:after="0" w:line="188" w:lineRule="exact"/>
        <w:rPr>
          <w:sz w:val="20"/>
          <w:szCs w:val="20"/>
          <w:color w:val="auto"/>
        </w:rPr>
      </w:pPr>
    </w:p>
    <w:p>
      <w:pPr>
        <w:ind w:left="40" w:right="639"/>
        <w:spacing w:after="0" w:line="277" w:lineRule="auto"/>
        <w:rPr>
          <w:sz w:val="20"/>
          <w:szCs w:val="20"/>
          <w:color w:val="auto"/>
        </w:rPr>
      </w:pPr>
      <w:r>
        <w:rPr>
          <w:rFonts w:ascii="Arial" w:cs="Arial" w:eastAsia="Arial" w:hAnsi="Arial"/>
          <w:sz w:val="18"/>
          <w:szCs w:val="18"/>
          <w:b w:val="1"/>
          <w:bCs w:val="1"/>
          <w:i w:val="1"/>
          <w:iCs w:val="1"/>
          <w:color w:val="auto"/>
        </w:rPr>
        <w:t>If we are unable to develop satisfactory sales and marketing capabilities, we may not succeed in commercializing BXCL501, BXCL701 or any other product candidate.</w:t>
      </w:r>
    </w:p>
    <w:p>
      <w:pPr>
        <w:spacing w:after="0" w:line="170" w:lineRule="exact"/>
        <w:rPr>
          <w:sz w:val="20"/>
          <w:szCs w:val="20"/>
          <w:color w:val="auto"/>
        </w:rPr>
      </w:pPr>
    </w:p>
    <w:p>
      <w:pPr>
        <w:ind w:left="40" w:right="79" w:firstLine="324"/>
        <w:spacing w:after="0" w:line="287" w:lineRule="auto"/>
        <w:rPr>
          <w:sz w:val="20"/>
          <w:szCs w:val="20"/>
          <w:color w:val="auto"/>
        </w:rPr>
      </w:pPr>
      <w:r>
        <w:rPr>
          <w:rFonts w:ascii="Arial" w:cs="Arial" w:eastAsia="Arial" w:hAnsi="Arial"/>
          <w:sz w:val="16"/>
          <w:szCs w:val="16"/>
          <w:color w:val="auto"/>
        </w:rPr>
        <w:t>We have no experience in marketing and selling drug products. We have not entered into arrangements for the sale and marketing of BXCL501, BXCL701 or any other product candidate. Typically, pharmaceutical companies would employ groups of sales representatives and associated sales and marketing staff numbering in the hundreds to thousands of individuals to call on this large number of physicians and hospitals. We may seek to collaborate with a third party to market our drugs or may seek to market and sell our drugs by ourselves. If we seek to collaborate with a third party, we cannot be sure that a collaborative agreement can be reached on terms acceptable to us. If we seek to market and sell our drugs directly, we will need to hire additional personnel skilled in marketing and sales. We cannot be sure that we will be able to acquire, or establish third party relationships to provide, any or all of these marketing and sales capabilities. The establishment of a direct sales force or a contract sales force or a combination direct and contract sales force to market our products will be expensive and time-consuming and could delay any product launch. Further, we can give no assurances that we may be able to maintain a direct and/or contract sales force for any period of time or that our sales efforts will be sufficient to grow our revenues or that our sales efforts will ever lead to profits.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operate in a highly competitive and rapidly changing industry.</w:t>
      </w:r>
    </w:p>
    <w:p>
      <w:pPr>
        <w:spacing w:after="0" w:line="225" w:lineRule="exact"/>
        <w:rPr>
          <w:sz w:val="20"/>
          <w:szCs w:val="20"/>
          <w:color w:val="auto"/>
        </w:rPr>
      </w:pPr>
    </w:p>
    <w:p>
      <w:pPr>
        <w:ind w:left="40" w:right="299" w:firstLine="324"/>
        <w:spacing w:after="0" w:line="296" w:lineRule="auto"/>
        <w:rPr>
          <w:sz w:val="20"/>
          <w:szCs w:val="20"/>
          <w:color w:val="auto"/>
        </w:rPr>
      </w:pPr>
      <w:r>
        <w:rPr>
          <w:rFonts w:ascii="Arial" w:cs="Arial" w:eastAsia="Arial" w:hAnsi="Arial"/>
          <w:sz w:val="16"/>
          <w:szCs w:val="16"/>
          <w:color w:val="auto"/>
        </w:rPr>
        <w:t>Biopharmaceutical product development is highly competitive and subject to rapid and significant technological advancements. Our success is highly dependent upon our ability to in-license, acquire, develop and obtain regulatory approval for new and innovative products on a cost-effective basis and to market them successfully. In doing so, we face and will continue to face intense competition from a variety of businesses, including large, fully integrated, well-established pharmaceutical companies who already possess a large share of the market, specialty pharmaceutical and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4" w:name="page45"/>
    <w:bookmarkEnd w:id="4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899"/>
        <w:spacing w:after="0" w:line="277" w:lineRule="auto"/>
        <w:rPr>
          <w:sz w:val="20"/>
          <w:szCs w:val="20"/>
          <w:color w:val="auto"/>
        </w:rPr>
      </w:pPr>
      <w:r>
        <w:rPr>
          <w:rFonts w:ascii="Arial" w:cs="Arial" w:eastAsia="Arial" w:hAnsi="Arial"/>
          <w:sz w:val="18"/>
          <w:szCs w:val="18"/>
          <w:color w:val="auto"/>
        </w:rPr>
        <w:t>biopharmaceutical companies, academic institutions, government agencies and other private and public research institutions in the United States, the European Union and other jurisdictions.</w:t>
      </w:r>
    </w:p>
    <w:p>
      <w:pPr>
        <w:spacing w:after="0" w:line="170" w:lineRule="exact"/>
        <w:rPr>
          <w:sz w:val="20"/>
          <w:szCs w:val="20"/>
          <w:color w:val="auto"/>
        </w:rPr>
      </w:pPr>
    </w:p>
    <w:p>
      <w:pPr>
        <w:ind w:left="40" w:right="259" w:firstLine="324"/>
        <w:spacing w:after="0" w:line="272"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These third parties compete with us in recruiting and retaining qualified scientific and management personnel, establishing clinical trial sites and patient registration for clinical trials, as well as in acquiring technologies complementary to, or necessary for, our programs. Mergers and acquisitions in the biopharmaceutical industry could result in even more resources being concentrated among a small number of our competitors.</w:t>
      </w:r>
    </w:p>
    <w:p>
      <w:pPr>
        <w:spacing w:after="0" w:line="177" w:lineRule="exact"/>
        <w:rPr>
          <w:sz w:val="20"/>
          <w:szCs w:val="20"/>
          <w:color w:val="auto"/>
        </w:rPr>
      </w:pPr>
    </w:p>
    <w:p>
      <w:pPr>
        <w:ind w:left="40" w:right="279" w:firstLine="324"/>
        <w:spacing w:after="0" w:line="259" w:lineRule="auto"/>
        <w:rPr>
          <w:sz w:val="20"/>
          <w:szCs w:val="20"/>
          <w:color w:val="auto"/>
        </w:rPr>
      </w:pPr>
      <w:r>
        <w:rPr>
          <w:rFonts w:ascii="Arial" w:cs="Arial" w:eastAsia="Arial" w:hAnsi="Arial"/>
          <w:sz w:val="18"/>
          <w:szCs w:val="18"/>
          <w:color w:val="auto"/>
        </w:rPr>
        <w:t>Competition may further increase as a result of advances in the commercial applicability of technologies and greater availability of capital for investment in these industries. Our competitors may succeed in developing, acquiring or licensing, on an exclusive basis, products that are more effective or less costly than any product candidate that we may develop.</w:t>
      </w:r>
    </w:p>
    <w:p>
      <w:pPr>
        <w:spacing w:after="0" w:line="187" w:lineRule="exact"/>
        <w:rPr>
          <w:sz w:val="20"/>
          <w:szCs w:val="20"/>
          <w:color w:val="auto"/>
        </w:rPr>
      </w:pPr>
    </w:p>
    <w:p>
      <w:pPr>
        <w:ind w:left="40" w:right="299" w:firstLine="324"/>
        <w:spacing w:after="0" w:line="293" w:lineRule="auto"/>
        <w:rPr>
          <w:sz w:val="20"/>
          <w:szCs w:val="20"/>
          <w:color w:val="auto"/>
        </w:rPr>
      </w:pPr>
      <w:r>
        <w:rPr>
          <w:rFonts w:ascii="Arial" w:cs="Arial" w:eastAsia="Arial" w:hAnsi="Arial"/>
          <w:sz w:val="16"/>
          <w:szCs w:val="16"/>
          <w:color w:val="auto"/>
        </w:rPr>
        <w:t>Established biopharmaceutical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FDA approval for or commercializing drugs before we do, which would have an adverse impact on our business and results of operations.</w:t>
      </w:r>
    </w:p>
    <w:p>
      <w:pPr>
        <w:spacing w:after="0" w:line="164" w:lineRule="exact"/>
        <w:rPr>
          <w:sz w:val="20"/>
          <w:szCs w:val="20"/>
          <w:color w:val="auto"/>
        </w:rPr>
      </w:pPr>
    </w:p>
    <w:p>
      <w:pPr>
        <w:ind w:left="40" w:right="79" w:firstLine="324"/>
        <w:spacing w:after="0" w:line="263" w:lineRule="auto"/>
        <w:rPr>
          <w:sz w:val="20"/>
          <w:szCs w:val="20"/>
          <w:color w:val="auto"/>
        </w:rPr>
      </w:pPr>
      <w:r>
        <w:rPr>
          <w:rFonts w:ascii="Arial" w:cs="Arial" w:eastAsia="Arial" w:hAnsi="Arial"/>
          <w:sz w:val="18"/>
          <w:szCs w:val="18"/>
          <w:color w:val="auto"/>
        </w:rPr>
        <w:t>The availability of our competitors’ products could limit the demand and the price we are able to charge for any product candidate we commercialize, if any. The inability to compete with existing or subsequently introduced drugs would harm our business, financial condition and results of operations.</w:t>
      </w:r>
    </w:p>
    <w:p>
      <w:pPr>
        <w:spacing w:after="0" w:line="184" w:lineRule="exact"/>
        <w:rPr>
          <w:sz w:val="20"/>
          <w:szCs w:val="20"/>
          <w:color w:val="auto"/>
        </w:rPr>
      </w:pPr>
    </w:p>
    <w:p>
      <w:pPr>
        <w:ind w:left="40" w:right="439"/>
        <w:spacing w:after="0" w:line="342" w:lineRule="auto"/>
        <w:rPr>
          <w:sz w:val="20"/>
          <w:szCs w:val="20"/>
          <w:color w:val="auto"/>
        </w:rPr>
      </w:pPr>
      <w:r>
        <w:rPr>
          <w:rFonts w:ascii="Arial" w:cs="Arial" w:eastAsia="Arial" w:hAnsi="Arial"/>
          <w:sz w:val="16"/>
          <w:szCs w:val="16"/>
          <w:b w:val="1"/>
          <w:bCs w:val="1"/>
          <w:i w:val="1"/>
          <w:iCs w:val="1"/>
          <w:color w:val="auto"/>
        </w:rPr>
        <w:t>Even if we obtain regulatory approvals to commercialize BXCL501, BXCL701 or our other product candidates, our product candidates may not be accepted by physicians or the medical community in general.</w:t>
      </w:r>
    </w:p>
    <w:p>
      <w:pPr>
        <w:spacing w:after="0" w:line="124" w:lineRule="exact"/>
        <w:rPr>
          <w:sz w:val="20"/>
          <w:szCs w:val="20"/>
          <w:color w:val="auto"/>
        </w:rPr>
      </w:pPr>
    </w:p>
    <w:p>
      <w:pPr>
        <w:ind w:left="40" w:right="59" w:firstLine="324"/>
        <w:spacing w:after="0" w:line="275" w:lineRule="auto"/>
        <w:rPr>
          <w:sz w:val="20"/>
          <w:szCs w:val="20"/>
          <w:color w:val="auto"/>
        </w:rPr>
      </w:pPr>
      <w:r>
        <w:rPr>
          <w:rFonts w:ascii="Arial" w:cs="Arial" w:eastAsia="Arial" w:hAnsi="Arial"/>
          <w:sz w:val="17"/>
          <w:szCs w:val="17"/>
          <w:color w:val="auto"/>
        </w:rPr>
        <w:t>There can be no assurance that BXCL501, BXCL701 and our other product candidates or any other product candidate successfully developed by us, independently or with partners, will be accepted by physicians, hospitals and other health care facilities. BXCL501, BXCL701 and any future product candidates we develop will compete with a number of products manufactured and marketed by major pharmaceutical and biotech companies. The degree of market acceptance of any drugs we develop depends on a number of factors, including:</w:t>
      </w:r>
    </w:p>
    <w:p>
      <w:pPr>
        <w:spacing w:after="0" w:line="176" w:lineRule="exact"/>
        <w:rPr>
          <w:sz w:val="20"/>
          <w:szCs w:val="20"/>
          <w:color w:val="auto"/>
        </w:rPr>
      </w:pPr>
    </w:p>
    <w:p>
      <w:pPr>
        <w:ind w:left="1020" w:right="819" w:hanging="328"/>
        <w:spacing w:after="0" w:line="258"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demonstration of the clinical efficacy and safety of BXCL501, BXCL701 and our other product candidates;</w:t>
      </w:r>
    </w:p>
    <w:p>
      <w:pPr>
        <w:spacing w:after="0" w:line="1" w:lineRule="exact"/>
        <w:rPr>
          <w:rFonts w:ascii="Arial" w:cs="Arial" w:eastAsia="Arial" w:hAnsi="Arial"/>
          <w:sz w:val="18"/>
          <w:szCs w:val="18"/>
          <w:color w:val="auto"/>
        </w:rPr>
      </w:pPr>
    </w:p>
    <w:p>
      <w:pPr>
        <w:ind w:left="1020" w:hanging="328"/>
        <w:spacing w:after="0"/>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timing of market approval and commercial launch of BXCL501, BXCL701 and our other product candidates;</w:t>
      </w:r>
    </w:p>
    <w:p>
      <w:pPr>
        <w:spacing w:after="0" w:line="32" w:lineRule="exact"/>
        <w:rPr>
          <w:rFonts w:ascii="Arial" w:cs="Arial" w:eastAsia="Arial" w:hAnsi="Arial"/>
          <w:sz w:val="16"/>
          <w:szCs w:val="16"/>
          <w:color w:val="auto"/>
        </w:rPr>
      </w:pPr>
    </w:p>
    <w:p>
      <w:pPr>
        <w:ind w:left="1020" w:hanging="328"/>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clinical indication(s) for which BXCL501, BXCL701 and our other product candidates are approved;</w:t>
      </w:r>
    </w:p>
    <w:p>
      <w:pPr>
        <w:spacing w:after="0" w:line="20" w:lineRule="exact"/>
        <w:rPr>
          <w:rFonts w:ascii="Arial" w:cs="Arial" w:eastAsia="Arial" w:hAnsi="Arial"/>
          <w:sz w:val="17"/>
          <w:szCs w:val="17"/>
          <w:color w:val="auto"/>
        </w:rPr>
      </w:pPr>
    </w:p>
    <w:p>
      <w:pPr>
        <w:ind w:left="1020" w:hanging="328"/>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label and package insert requirements;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advantages and disadvantages of our product candidates compared to existing therapies;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continued interest in and growth of the market for anti-cancer or anti-agitation drugs;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strength of sales, marketing, and distribution support;</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pricing in absolute terms and relative to alternative treatments;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changes in health care laws, regulations, and medical policies; and</w:t>
      </w:r>
    </w:p>
    <w:p>
      <w:pPr>
        <w:spacing w:after="0" w:line="9" w:lineRule="exact"/>
        <w:rPr>
          <w:rFonts w:ascii="Arial" w:cs="Arial" w:eastAsia="Arial" w:hAnsi="Arial"/>
          <w:sz w:val="18"/>
          <w:szCs w:val="18"/>
          <w:color w:val="auto"/>
        </w:rPr>
      </w:pPr>
    </w:p>
    <w:p>
      <w:pPr>
        <w:ind w:left="1020" w:right="79" w:hanging="328"/>
        <w:spacing w:after="0" w:line="260"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availability of reimbursement codes and coverage in select jurisdictions, and future changes to reimbursement policies of government and third-party payors.</w:t>
      </w:r>
    </w:p>
    <w:p>
      <w:pPr>
        <w:spacing w:after="0" w:line="185" w:lineRule="exact"/>
        <w:rPr>
          <w:sz w:val="20"/>
          <w:szCs w:val="20"/>
          <w:color w:val="auto"/>
        </w:rPr>
      </w:pPr>
    </w:p>
    <w:p>
      <w:pPr>
        <w:ind w:left="40" w:right="159" w:firstLine="324"/>
        <w:spacing w:after="0" w:line="311"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 for which we obtain regulatory approval. In the United States and markets in other countries, sales of any products for which we receive regulatory approval for commercial sale will depend in part on the availability of reimbursement from third-party</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5" w:name="page46"/>
    <w:bookmarkEnd w:id="4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319"/>
        <w:spacing w:after="0" w:line="277" w:lineRule="auto"/>
        <w:rPr>
          <w:sz w:val="20"/>
          <w:szCs w:val="20"/>
          <w:color w:val="auto"/>
        </w:rPr>
      </w:pPr>
      <w:r>
        <w:rPr>
          <w:rFonts w:ascii="Arial" w:cs="Arial" w:eastAsia="Arial" w:hAnsi="Arial"/>
          <w:sz w:val="18"/>
          <w:szCs w:val="18"/>
          <w:color w:val="auto"/>
        </w:rPr>
        <w:t>payors. Third-party payors include government health administrative authorities, managed care providers, private health insurers and other organizations.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Healthcare reform measures could hinder or prevent our product candidates’ commercial success.</w:t>
      </w:r>
    </w:p>
    <w:p>
      <w:pPr>
        <w:spacing w:after="0" w:line="225" w:lineRule="exact"/>
        <w:rPr>
          <w:sz w:val="20"/>
          <w:szCs w:val="20"/>
          <w:color w:val="auto"/>
        </w:rPr>
      </w:pPr>
    </w:p>
    <w:p>
      <w:pPr>
        <w:ind w:left="40" w:right="139" w:firstLine="324"/>
        <w:spacing w:after="0" w:line="293" w:lineRule="auto"/>
        <w:rPr>
          <w:sz w:val="20"/>
          <w:szCs w:val="20"/>
          <w:color w:val="auto"/>
        </w:rPr>
      </w:pPr>
      <w:r>
        <w:rPr>
          <w:rFonts w:ascii="Arial" w:cs="Arial" w:eastAsia="Arial" w:hAnsi="Arial"/>
          <w:sz w:val="16"/>
          <w:szCs w:val="16"/>
          <w:color w:val="auto"/>
        </w:rPr>
        <w:t>The U.S. government and other governments have shown significant interest in pursuing healthcare reform. Any government-adopted reform measures could adversely impact the pricing of healthcare products and services in the United States or internationally and the amount of reimbursement available from governmental agencies or other third-party payors. The continuing efforts of the U.S. and foreign governments, insurance companies, managed care organizations and other payors of health care services to contain or reduce health care costs may adversely affect our ability to set prices for our products which we believe are fair, and our ability to generate revenues and achieve and maintain profitability.</w:t>
      </w:r>
    </w:p>
    <w:p>
      <w:pPr>
        <w:spacing w:after="0" w:line="164" w:lineRule="exact"/>
        <w:rPr>
          <w:sz w:val="20"/>
          <w:szCs w:val="20"/>
          <w:color w:val="auto"/>
        </w:rPr>
      </w:pPr>
    </w:p>
    <w:p>
      <w:pPr>
        <w:ind w:left="40" w:right="179" w:firstLine="324"/>
        <w:spacing w:after="0" w:line="271" w:lineRule="auto"/>
        <w:rPr>
          <w:sz w:val="20"/>
          <w:szCs w:val="20"/>
          <w:color w:val="auto"/>
        </w:rPr>
      </w:pPr>
      <w:r>
        <w:rPr>
          <w:rFonts w:ascii="Arial" w:cs="Arial" w:eastAsia="Arial" w:hAnsi="Arial"/>
          <w:sz w:val="17"/>
          <w:szCs w:val="17"/>
          <w:color w:val="auto"/>
        </w:rPr>
        <w:t>New laws, regulations and judicial decisions, or new interpretations of existing laws, regulations and decisions, that relate to healthcare availability, methods of delivery or payment for products and services, or sales, marketing or pricing, may limit our potential revenue, and we may need to revise our research and development programs. The pricing and reimbursement environment may change in the future and become more challenging due to several reasons, including policies advanced by the current executive administration in the United States, new healthcare legislation or fiscal challenges faced by government health administration authorities. Specifically, in both the United States and some foreign jurisdictions, there have been a number of legislative and regulatory proposals to change the health care system in ways that could affect our ability to sell our products profitably.</w:t>
      </w:r>
    </w:p>
    <w:p>
      <w:pPr>
        <w:spacing w:after="0" w:line="178" w:lineRule="exact"/>
        <w:rPr>
          <w:sz w:val="20"/>
          <w:szCs w:val="20"/>
          <w:color w:val="auto"/>
        </w:rPr>
      </w:pPr>
    </w:p>
    <w:p>
      <w:pPr>
        <w:ind w:left="40" w:right="79" w:firstLine="324"/>
        <w:spacing w:after="0" w:line="268" w:lineRule="auto"/>
        <w:rPr>
          <w:sz w:val="20"/>
          <w:szCs w:val="20"/>
          <w:color w:val="auto"/>
        </w:rPr>
      </w:pPr>
      <w:r>
        <w:rPr>
          <w:rFonts w:ascii="Arial" w:cs="Arial" w:eastAsia="Arial" w:hAnsi="Arial"/>
          <w:sz w:val="17"/>
          <w:szCs w:val="17"/>
          <w:color w:val="auto"/>
        </w:rPr>
        <w:t>For example, the Patient Protection and Affordable Care Act, as amended by the Health Care and Education Reconciliation Act, or the ACA has substantially changed the way healthcare is financed by both government health plans and private insurers, and significantly impacts the pharmaceutical industry. The ACA contains a number of provisions that are expected to impact our business and operations in ways that may negatively affect our potential revenues in the future. For example, the ACA imposes a non-deductible excise tax on pharmaceutical manufacturers or importers that sell branded prescription drugs to government programs which we believe will increase the cost of our products. In addition, as part of the ACA’s provisions closing a funding gap that currently exists in the Medicare Part D prescription drug program, we will be required to provide a discount on branded prescription drugs equal to 50% of the government-negotiated price, for drugs provided to certain beneficiaries who fall within the donut hole. Similarly, ACA increases the level of Medicaid rebates payable by manufacturers of brand-name drugs from 15.1% to 23.1% and requires collection of rebates for drugs paid by Medicaid managed care organizations. The ACA also includes significant changes to the 340B drug discount program including expansion of the list of eligible covered entities that may purchase drugs under the program. At the same time, the expansion in eligibility for health insurance benefits created under ACA is expected to increase the number of patients with insurance coverage who may receive our products. While it is too early to predict all the specific effects the ACA or any future healthcare reform legislation will have on our business, they could have a material adverse effect on our business and financial condition.</w:t>
      </w:r>
    </w:p>
    <w:p>
      <w:pPr>
        <w:spacing w:after="0" w:line="180" w:lineRule="exact"/>
        <w:rPr>
          <w:sz w:val="20"/>
          <w:szCs w:val="20"/>
          <w:color w:val="auto"/>
        </w:rPr>
      </w:pPr>
    </w:p>
    <w:p>
      <w:pPr>
        <w:ind w:left="40" w:right="99" w:firstLine="324"/>
        <w:spacing w:after="0" w:line="269" w:lineRule="auto"/>
        <w:rPr>
          <w:sz w:val="20"/>
          <w:szCs w:val="20"/>
          <w:color w:val="auto"/>
        </w:rPr>
      </w:pPr>
      <w:r>
        <w:rPr>
          <w:rFonts w:ascii="Arial" w:cs="Arial" w:eastAsia="Arial" w:hAnsi="Arial"/>
          <w:sz w:val="17"/>
          <w:szCs w:val="17"/>
          <w:color w:val="auto"/>
        </w:rPr>
        <w:t>Since its enactment, there have been judicial and Congressional challenges to certain aspects of the Affordable Care Act, and we expect there will be additional challenges and amendments to the ACA in the future. For example, the Tax Cuts and Jobs Act, or the Tax Act, was enacted, which, among other things, removes penalties for not complying with the ACA’s individual mandate to carry health insurance. On December 14, 2018, a U.S. District Court Judge in the Northern District of Texas, ruled that the individual mandate is a critical and inseverable feature of the ACA, and therefore, because it was repealed as part of the Tax Act, the remaining provisions of the ACA are invalid as well. On December 18, 2019, the U.S. Court of Appeals for the 5th Circuit upheld the District Court’s decision that the individual mandate was unconstitutional but remanded the case back to the District Court to determine whether the remaining provisions of the ACA are invalid as well. It is unclear how these decisions, subsequent appeals, if any, or other efforts to challenge, repeal or replace the ACA will impact the law, or our business or financial condition.</w:t>
      </w:r>
    </w:p>
    <w:p>
      <w:pPr>
        <w:spacing w:after="0" w:line="185" w:lineRule="exact"/>
        <w:rPr>
          <w:sz w:val="20"/>
          <w:szCs w:val="20"/>
          <w:color w:val="auto"/>
        </w:rPr>
      </w:pPr>
    </w:p>
    <w:p>
      <w:pPr>
        <w:ind w:left="40" w:right="79" w:firstLine="324"/>
        <w:spacing w:after="0" w:line="301"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These changes include the Budget Control Act of 2011, which resulted in aggregate reductions of Medicare payments to providers of 2% per fiscal year, which went into effect on April 1, 2013 and, due to subsequent legislative amendments to the statute, will remain in effect through 2029 unless additional Congressional action is taken, as well as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6" w:name="page47"/>
    <w:bookmarkEnd w:id="4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spacing w:after="0" w:line="263" w:lineRule="auto"/>
        <w:rPr>
          <w:sz w:val="20"/>
          <w:szCs w:val="20"/>
          <w:color w:val="auto"/>
        </w:rPr>
      </w:pPr>
      <w:r>
        <w:rPr>
          <w:rFonts w:ascii="Arial" w:cs="Arial" w:eastAsia="Arial" w:hAnsi="Arial"/>
          <w:sz w:val="18"/>
          <w:szCs w:val="18"/>
          <w:color w:val="auto"/>
        </w:rPr>
        <w:t>the American Taxpayer Relief Act of 2012, which, among other things, further reduced Medicare payments to several types of providers, including hospitals, and increased the statute of limitations period for the government to recover overpayments to providers from three to five years.</w:t>
      </w:r>
    </w:p>
    <w:p>
      <w:pPr>
        <w:spacing w:after="0" w:line="184" w:lineRule="exact"/>
        <w:rPr>
          <w:sz w:val="20"/>
          <w:szCs w:val="20"/>
          <w:color w:val="auto"/>
        </w:rPr>
      </w:pPr>
    </w:p>
    <w:p>
      <w:pPr>
        <w:ind w:left="40" w:right="99" w:firstLine="324"/>
        <w:spacing w:after="0" w:line="290" w:lineRule="auto"/>
        <w:rPr>
          <w:sz w:val="20"/>
          <w:szCs w:val="20"/>
          <w:color w:val="auto"/>
        </w:rPr>
      </w:pPr>
      <w:r>
        <w:rPr>
          <w:rFonts w:ascii="Arial" w:cs="Arial" w:eastAsia="Arial" w:hAnsi="Arial"/>
          <w:sz w:val="16"/>
          <w:szCs w:val="16"/>
          <w:color w:val="auto"/>
        </w:rPr>
        <w:t>Recently, there has also been heightened government scrutiny over the manner in which manufacturers set prices for their marketed products, which has resulted in several Congressional inquiries and proposed and enacted legislation designed to, among other things, reform government program reimbursement methodologies.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Furthermore, there has been increased interest by third party payors and governmental authorities in reference pricing systems and publication of discounts and list prices.</w:t>
      </w:r>
    </w:p>
    <w:p>
      <w:pPr>
        <w:spacing w:after="0" w:line="165" w:lineRule="exact"/>
        <w:rPr>
          <w:sz w:val="20"/>
          <w:szCs w:val="20"/>
          <w:color w:val="auto"/>
        </w:rPr>
      </w:pPr>
    </w:p>
    <w:p>
      <w:pPr>
        <w:ind w:left="40" w:right="59" w:firstLine="324"/>
        <w:spacing w:after="0" w:line="254" w:lineRule="auto"/>
        <w:rPr>
          <w:sz w:val="20"/>
          <w:szCs w:val="20"/>
          <w:color w:val="auto"/>
        </w:rPr>
      </w:pPr>
      <w:r>
        <w:rPr>
          <w:rFonts w:ascii="Arial" w:cs="Arial" w:eastAsia="Arial" w:hAnsi="Arial"/>
          <w:sz w:val="18"/>
          <w:szCs w:val="18"/>
          <w:color w:val="auto"/>
        </w:rPr>
        <w:t>It is likely that federal and state legislatures within the United States and foreign governments will continue to consider changes to existing healthcare legislation.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adequate coverage and reimbursement approval for a product, our ability to generate revenues and achieve or maintain profitability, and the level of taxes that we are required to pay.</w:t>
      </w:r>
    </w:p>
    <w:p>
      <w:pPr>
        <w:spacing w:after="0" w:line="192" w:lineRule="exact"/>
        <w:rPr>
          <w:sz w:val="20"/>
          <w:szCs w:val="20"/>
          <w:color w:val="auto"/>
        </w:rPr>
      </w:pPr>
    </w:p>
    <w:p>
      <w:pPr>
        <w:ind w:left="40" w:right="59" w:firstLine="324"/>
        <w:spacing w:after="0" w:line="270" w:lineRule="auto"/>
        <w:rPr>
          <w:sz w:val="20"/>
          <w:szCs w:val="20"/>
          <w:color w:val="auto"/>
        </w:rPr>
      </w:pPr>
      <w:r>
        <w:rPr>
          <w:rFonts w:ascii="Arial" w:cs="Arial" w:eastAsia="Arial" w:hAnsi="Arial"/>
          <w:sz w:val="17"/>
          <w:szCs w:val="17"/>
          <w:color w:val="auto"/>
        </w:rPr>
        <w:t>Other third-party payors are increasingly challenging the prices charged for medical products and services. It will be time consuming and expensive for us to go through the process of seeking coverage and reimbursement from Medicare and private payors. Our proposed products may not be considered cost-effective, and coverage and reimbursement may not be available or sufficient to allow us to sell our proposed products on a profitable basis. Further federal and state proposals and health care reforms are likely which could limit the prices that can be charged for the product candidates that we develop and may further limit our commercial opportunities. Our results of operations could be materially adversely affected by proposed healthcare reforms, by the Medicare prescription drug coverage legislation, by the possible effect of such current or future legislation on amounts that private insurers will pay and by other health care reforms that may be enacted or adopted in the future.</w:t>
      </w:r>
    </w:p>
    <w:p>
      <w:pPr>
        <w:spacing w:after="0" w:line="181" w:lineRule="exact"/>
        <w:rPr>
          <w:sz w:val="20"/>
          <w:szCs w:val="20"/>
          <w:color w:val="auto"/>
        </w:rPr>
      </w:pPr>
    </w:p>
    <w:p>
      <w:pPr>
        <w:ind w:left="40" w:right="79" w:firstLine="324"/>
        <w:spacing w:after="0" w:line="273" w:lineRule="auto"/>
        <w:rPr>
          <w:sz w:val="20"/>
          <w:szCs w:val="20"/>
          <w:color w:val="auto"/>
        </w:rPr>
      </w:pPr>
      <w:r>
        <w:rPr>
          <w:rFonts w:ascii="Arial" w:cs="Arial" w:eastAsia="Arial" w:hAnsi="Arial"/>
          <w:sz w:val="17"/>
          <w:szCs w:val="17"/>
          <w:color w:val="auto"/>
        </w:rPr>
        <w:t>In September 2007, the Food and Drug Administration Amendments Act of 2007 was enacted, giving the FDA enhanced post-marketing authority, including the authority to require post-marketing studies and clinical trials, labeling changes based on new safety information, and compliance with risk evaluations and mitigation strategies approved by the FDA. The FDA’s exercise of this authority could result in delays or increased costs during product development, clinical trials and regulatory review, increased costs to assure compliance with post-approval regulatory requirements, and potential restrictions on the sale and/or distribution of approved products.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Relationship with BioXcel Corporation</w:t>
      </w:r>
    </w:p>
    <w:p>
      <w:pPr>
        <w:spacing w:after="0" w:line="229" w:lineRule="exact"/>
        <w:rPr>
          <w:sz w:val="20"/>
          <w:szCs w:val="20"/>
          <w:color w:val="auto"/>
        </w:rPr>
      </w:pPr>
    </w:p>
    <w:p>
      <w:pPr>
        <w:ind w:left="40" w:right="59"/>
        <w:spacing w:after="0" w:line="342" w:lineRule="auto"/>
        <w:rPr>
          <w:sz w:val="20"/>
          <w:szCs w:val="20"/>
          <w:color w:val="auto"/>
        </w:rPr>
      </w:pPr>
      <w:r>
        <w:rPr>
          <w:rFonts w:ascii="Arial" w:cs="Arial" w:eastAsia="Arial" w:hAnsi="Arial"/>
          <w:sz w:val="16"/>
          <w:szCs w:val="16"/>
          <w:b w:val="1"/>
          <w:bCs w:val="1"/>
          <w:i w:val="1"/>
          <w:iCs w:val="1"/>
          <w:color w:val="auto"/>
        </w:rPr>
        <w:t>BioXcel Corporation has significant influence over the direction of our business, and the concentrated ownership of our common stock will prevent you and other stockholders from influencing significant decisions.</w:t>
      </w:r>
    </w:p>
    <w:p>
      <w:pPr>
        <w:spacing w:after="0" w:line="124" w:lineRule="exact"/>
        <w:rPr>
          <w:sz w:val="20"/>
          <w:szCs w:val="20"/>
          <w:color w:val="auto"/>
        </w:rPr>
      </w:pPr>
    </w:p>
    <w:p>
      <w:pPr>
        <w:ind w:left="40" w:right="499" w:firstLine="324"/>
        <w:spacing w:after="0" w:line="259" w:lineRule="auto"/>
        <w:rPr>
          <w:sz w:val="20"/>
          <w:szCs w:val="20"/>
          <w:color w:val="auto"/>
        </w:rPr>
      </w:pPr>
      <w:r>
        <w:rPr>
          <w:rFonts w:ascii="Arial" w:cs="Arial" w:eastAsia="Arial" w:hAnsi="Arial"/>
          <w:sz w:val="18"/>
          <w:szCs w:val="18"/>
          <w:color w:val="auto"/>
        </w:rPr>
        <w:t>As of March 31, 2020, BioXcel owned approximately 45.5% of the economic interest and voting power of our outstanding common stock. Even though BioXcel controls less than a majority of the voting power of our outstanding common stock, it may influence the outcome of such corporate actions so long as it owns a significant portion of our common stock.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7" w:name="page48"/>
    <w:bookmarkEnd w:id="4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399"/>
        <w:spacing w:after="0" w:line="263" w:lineRule="auto"/>
        <w:rPr>
          <w:sz w:val="20"/>
          <w:szCs w:val="20"/>
          <w:color w:val="auto"/>
        </w:rPr>
      </w:pPr>
      <w:r>
        <w:rPr>
          <w:rFonts w:ascii="Arial" w:cs="Arial" w:eastAsia="Arial" w:hAnsi="Arial"/>
          <w:sz w:val="18"/>
          <w:szCs w:val="18"/>
          <w:b w:val="1"/>
          <w:bCs w:val="1"/>
          <w:i w:val="1"/>
          <w:iCs w:val="1"/>
          <w:color w:val="auto"/>
        </w:rPr>
        <w:t>Approval of commercial terms between us and BioXcel does not preclude the possibility of stockholder litigation, including but not limited to derivative litigation nominally against BioXcel and against its directors and officers and also against us and our directors and officers.</w:t>
      </w:r>
    </w:p>
    <w:p>
      <w:pPr>
        <w:spacing w:after="0" w:line="184" w:lineRule="exact"/>
        <w:rPr>
          <w:sz w:val="20"/>
          <w:szCs w:val="20"/>
          <w:color w:val="auto"/>
        </w:rPr>
      </w:pPr>
    </w:p>
    <w:p>
      <w:pPr>
        <w:ind w:left="40" w:right="159" w:firstLine="324"/>
        <w:spacing w:after="0" w:line="259" w:lineRule="auto"/>
        <w:rPr>
          <w:sz w:val="20"/>
          <w:szCs w:val="20"/>
          <w:color w:val="auto"/>
        </w:rPr>
      </w:pPr>
      <w:r>
        <w:rPr>
          <w:rFonts w:ascii="Arial" w:cs="Arial" w:eastAsia="Arial" w:hAnsi="Arial"/>
          <w:sz w:val="18"/>
          <w:szCs w:val="18"/>
          <w:color w:val="auto"/>
        </w:rPr>
        <w:t>The commercial terms of the Second Amended and Restated Shared Services Agreement dated March 6, 2020, or the Services Agreement, and the Amended and Restated Asset Contribution Agreement, or the Contribution Agreement, that we have entered into with BioXcel have not been negotiated on behalf of BioXcel by persons consisting solely of disinterested BioXcel directors.</w:t>
      </w:r>
    </w:p>
    <w:p>
      <w:pPr>
        <w:spacing w:after="0" w:line="187" w:lineRule="exact"/>
        <w:rPr>
          <w:sz w:val="20"/>
          <w:szCs w:val="20"/>
          <w:color w:val="auto"/>
        </w:rPr>
      </w:pPr>
    </w:p>
    <w:p>
      <w:pPr>
        <w:ind w:left="40" w:right="79" w:firstLine="324"/>
        <w:spacing w:after="0" w:line="269" w:lineRule="auto"/>
        <w:rPr>
          <w:sz w:val="20"/>
          <w:szCs w:val="20"/>
          <w:color w:val="auto"/>
        </w:rPr>
      </w:pPr>
      <w:r>
        <w:rPr>
          <w:rFonts w:ascii="Arial" w:cs="Arial" w:eastAsia="Arial" w:hAnsi="Arial"/>
          <w:sz w:val="17"/>
          <w:szCs w:val="17"/>
          <w:color w:val="auto"/>
        </w:rPr>
        <w:t>No assurance can be given that any stockholder of BioXcel will not claim in a lawsuit that such terms in fact are not in the best interests of BioXcel and its stockholders, that the directors and officers of BioXcel breached their fiduciary duties in connection with such agreements and that any disclosures by BioXcel to its stockholders regarding these agreements and the relationship between BioXcel and us did not satisfy applicable requirements. In any such instance, we and our directors and officers may also be named as defendants and we would have to defend ourselves and our directors and officers. While we will seek indemnification from BioXcel under the terms of these agreements against any damages or other costs, which could be substantial, no such indemnification has yet been agreed to or may be agreed to and be in effect. Further, any such litigation would be time-consuming and would divert focus and resources from the development of our product candidates and our business, including but not limited to possibly delaying our clinical trials due to our management having to spend time and attention on such litigation.</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continue to depend on BioXcel to provide us with certain services for our business.</w:t>
      </w:r>
    </w:p>
    <w:p>
      <w:pPr>
        <w:spacing w:after="0" w:line="225"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Certain administrative services required by us for the operation of our business have historically been provided by BioXcel, including services related to insurance and risk management, accounting and human resources. Under the Services Agreement, BioXcel has provided us with various services and will continue to do so until we are able to build our own capabilities in the transition areas. We believe it has been efficient for BioXcel to provide these services for us to facilitate the efficient operation of our business as we transition to becoming an independent, public company. At our election, or if BioXcel does not or is unable to perform its obligations under the Services Agreement, we will be required to provide these services ourselves or to obtain substitute arrangements with other third parties. Virtually all of these administrative services have transitioned to our control. However, we may be unable to continue to provide these services because of financial or other constraints or we may be unable to implement substitute arrangements on a timely basis on terms that are favorable to us, or at all.</w:t>
      </w:r>
    </w:p>
    <w:p>
      <w:pPr>
        <w:spacing w:after="0" w:line="185" w:lineRule="exact"/>
        <w:rPr>
          <w:sz w:val="20"/>
          <w:szCs w:val="20"/>
          <w:color w:val="auto"/>
        </w:rPr>
      </w:pPr>
    </w:p>
    <w:p>
      <w:pPr>
        <w:ind w:left="40" w:right="79" w:firstLine="324"/>
        <w:spacing w:after="0" w:line="271" w:lineRule="auto"/>
        <w:rPr>
          <w:sz w:val="20"/>
          <w:szCs w:val="20"/>
          <w:color w:val="auto"/>
        </w:rPr>
      </w:pPr>
      <w:r>
        <w:rPr>
          <w:rFonts w:ascii="Arial" w:cs="Arial" w:eastAsia="Arial" w:hAnsi="Arial"/>
          <w:sz w:val="17"/>
          <w:szCs w:val="17"/>
          <w:color w:val="auto"/>
        </w:rPr>
        <w:t>We exercise no control over the activities of BioXcel other than the contractual rights we have pursuant to our Services Agreement and Contribution Agreement. Because of our historical relationship with our Parent, our reputation is also tied to BioXcel. We may be subject to reputational harm, or our relationships with existing and potential clients, third-party research organizations, consultants and other business partners could be harmed if BioXcel or any of its affiliates, previously, or in the future, among other things, engages in poor business practices, restructures or files for bankruptcy, becomes subject to litigation or otherwise damages its reputation or business prospects. Any of these events might in turn adversely affect our reputation, revenues and/or business prospects, and may also adversely affect our access to EvolverAI and BioXcel’s collaborative services.</w:t>
      </w:r>
    </w:p>
    <w:p>
      <w:pPr>
        <w:spacing w:after="0" w:line="178" w:lineRule="exact"/>
        <w:rPr>
          <w:sz w:val="20"/>
          <w:szCs w:val="20"/>
          <w:color w:val="auto"/>
        </w:rPr>
      </w:pPr>
    </w:p>
    <w:p>
      <w:pPr>
        <w:ind w:left="40" w:right="79" w:firstLine="324"/>
        <w:spacing w:after="0" w:line="287" w:lineRule="auto"/>
        <w:rPr>
          <w:sz w:val="20"/>
          <w:szCs w:val="20"/>
          <w:color w:val="auto"/>
        </w:rPr>
      </w:pPr>
      <w:r>
        <w:rPr>
          <w:rFonts w:ascii="Arial" w:cs="Arial" w:eastAsia="Arial" w:hAnsi="Arial"/>
          <w:sz w:val="16"/>
          <w:szCs w:val="16"/>
          <w:color w:val="auto"/>
        </w:rPr>
        <w:t>We also rely, in part, on BioXcel and access to EvolverAI, a research and development engine created and owned by BioXcel, to identify, research and develop potential product candidates in neuroscience and immuno-oncology. The Company has negotiated a collaborative services agreement with BioXcel pursuant to which BioXcel shall perform product identification and related services for us utilizing EvolverAI. On March 6, 2020, by mutual agreement, we agreed to extend this arrangement by one year to December 31, 2020. In addition, BioXcel has granted us a first right to negotiate exclusive rights to any additional product candidates in the fields of neuroscience and immuno-oncology that BioXcel may identify on its own and not in connection with BioXcel’s provision of services to us under the Services Agreement. This option for first negotiation shall be valid for a period of five years from the date of our IPO. If our rights and access to BioXcel’s collaborative services and to EvolverAI were to become limited, terminated, or if we were otherwise precluded from conducting research and development using EvolverAI, or if BioXcel is unable to fulfill its obligations under the agreements, such development could materially adversely affect our future operating results, financial condition and prospects. Furthermore, certain individuals conducting services on our behalf are not our</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8" w:name="page49"/>
    <w:bookmarkEnd w:id="4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spacing w:after="0" w:line="254" w:lineRule="auto"/>
        <w:rPr>
          <w:sz w:val="20"/>
          <w:szCs w:val="20"/>
          <w:color w:val="auto"/>
        </w:rPr>
      </w:pPr>
      <w:r>
        <w:rPr>
          <w:rFonts w:ascii="Arial" w:cs="Arial" w:eastAsia="Arial" w:hAnsi="Arial"/>
          <w:sz w:val="18"/>
          <w:szCs w:val="18"/>
          <w:color w:val="auto"/>
        </w:rPr>
        <w:t>employees, and except for remedies available to us under our agreements with BioXcel, we cannot control whether or not they devote sufficient time, skill and resources to our ongoing development programs. We also cannot ensure that BioXcel retains sufficient resources of personnel or otherwise to conduct its operations. BioXcel may also have relationships with other commercial entities, including our competitors, for whom they may also be conducting research and development activities, which could impede their ability to devote appropriate time to our research and development programs. In addition, if we fail to comply with our diligence, payment or other obligations under the agreements, any such collaboration may terminate or we may not be able to successfully negotiate agreements for future product candidates or collaborations with BioXcel.</w:t>
      </w:r>
    </w:p>
    <w:p>
      <w:pPr>
        <w:spacing w:after="0" w:line="192" w:lineRule="exact"/>
        <w:rPr>
          <w:sz w:val="20"/>
          <w:szCs w:val="20"/>
          <w:color w:val="auto"/>
        </w:rPr>
      </w:pPr>
    </w:p>
    <w:p>
      <w:pPr>
        <w:ind w:left="40" w:right="319"/>
        <w:spacing w:after="0" w:line="308" w:lineRule="auto"/>
        <w:rPr>
          <w:sz w:val="20"/>
          <w:szCs w:val="20"/>
          <w:color w:val="auto"/>
        </w:rPr>
      </w:pPr>
      <w:r>
        <w:rPr>
          <w:rFonts w:ascii="Arial" w:cs="Arial" w:eastAsia="Arial" w:hAnsi="Arial"/>
          <w:sz w:val="17"/>
          <w:szCs w:val="17"/>
          <w:b w:val="1"/>
          <w:bCs w:val="1"/>
          <w:i w:val="1"/>
          <w:iCs w:val="1"/>
          <w:color w:val="auto"/>
        </w:rPr>
        <w:t>The ownership by our executive officers and our directors of shares of BioXcel common stock and rights to purchase BioXcel common stock may create, or may create the appearance of, conflicts of interest.</w:t>
      </w:r>
    </w:p>
    <w:p>
      <w:pPr>
        <w:spacing w:after="0" w:line="146" w:lineRule="exact"/>
        <w:rPr>
          <w:sz w:val="20"/>
          <w:szCs w:val="20"/>
          <w:color w:val="auto"/>
        </w:rPr>
      </w:pPr>
    </w:p>
    <w:p>
      <w:pPr>
        <w:ind w:left="40" w:right="119" w:firstLine="324"/>
        <w:spacing w:after="0" w:line="285" w:lineRule="auto"/>
        <w:rPr>
          <w:sz w:val="20"/>
          <w:szCs w:val="20"/>
          <w:color w:val="auto"/>
        </w:rPr>
      </w:pPr>
      <w:r>
        <w:rPr>
          <w:rFonts w:ascii="Arial" w:cs="Arial" w:eastAsia="Arial" w:hAnsi="Arial"/>
          <w:sz w:val="16"/>
          <w:szCs w:val="16"/>
          <w:color w:val="auto"/>
        </w:rPr>
        <w:t>The ownership by our executive officers and our directors of shares of BioXcel common stock, options to purchase shares of BioXcel common stock, or other equity awards of BioXcel may create, or may create the appearance of, conflicts of interest. Our Chief Executive Officer and director, Vimal Mehta, Ph.D., is Chief Executive Officer and Chairman of BioXcel. In addition, our director and Chief Digital Officer, Krishnan Nandabalan, Ph.D., serves as President, Chief Scientific Officer and a director of BioXcel. Because of Drs. Mehta and Nandabalan’s current positions with BioXcel, they own shares of BioXcel common stock, options to purchase shares of BioXcel common stock or other equity awards of BioXcel. As of March 31, 2020, Dr. Mehta and Dr. Nandabalan each owned approximately 42% of outstanding BioXcel voting stock. Ownership by our executive officers and directors of common stock or options to purchase common stock of BioXcel, or any other equity awards, creates, or, may create the appearance of, conflicts of interest when these individuals are faced with decisions that could have different implications for BioXcel than the decisions have for us, including decisions that relate to our Services Agreement, Contribution Agreement, as well as potential agreements relating to future product candidates and AI-related services or collaborations. In connection with the various agreements and transactions entered into in connection with our separation from BioXcel, or the Separation, our chief executive officer has agreed to recuse himself with respect to voting on any matter coming before either BioXcel’s or our board of directors related to our relationship with BioXcel, although he will still be permitted to participate in discussions and negotiations. Any perceived conflicts of interest resulting from investors questioning the independence of our management or the integrity of corporate governance procedures may materially affect our stock price.</w:t>
      </w:r>
    </w:p>
    <w:p>
      <w:pPr>
        <w:spacing w:after="0" w:line="174" w:lineRule="exact"/>
        <w:rPr>
          <w:sz w:val="20"/>
          <w:szCs w:val="20"/>
          <w:color w:val="auto"/>
        </w:rPr>
      </w:pPr>
    </w:p>
    <w:p>
      <w:pPr>
        <w:ind w:left="40" w:right="519"/>
        <w:spacing w:after="0" w:line="277" w:lineRule="auto"/>
        <w:rPr>
          <w:sz w:val="20"/>
          <w:szCs w:val="20"/>
          <w:color w:val="auto"/>
        </w:rPr>
      </w:pPr>
      <w:r>
        <w:rPr>
          <w:rFonts w:ascii="Arial" w:cs="Arial" w:eastAsia="Arial" w:hAnsi="Arial"/>
          <w:sz w:val="18"/>
          <w:szCs w:val="18"/>
          <w:b w:val="1"/>
          <w:bCs w:val="1"/>
          <w:i w:val="1"/>
          <w:iCs w:val="1"/>
          <w:color w:val="auto"/>
        </w:rPr>
        <w:t>Any disputes that arise between us and BioXcel with respect to our past and ongoing relationships could harm our business operations.</w:t>
      </w:r>
    </w:p>
    <w:p>
      <w:pPr>
        <w:spacing w:after="0" w:line="170" w:lineRule="exact"/>
        <w:rPr>
          <w:sz w:val="20"/>
          <w:szCs w:val="20"/>
          <w:color w:val="auto"/>
        </w:rPr>
      </w:pPr>
    </w:p>
    <w:p>
      <w:pPr>
        <w:ind w:left="40" w:right="619" w:firstLine="324"/>
        <w:spacing w:after="0" w:line="277" w:lineRule="auto"/>
        <w:rPr>
          <w:sz w:val="20"/>
          <w:szCs w:val="20"/>
          <w:color w:val="auto"/>
        </w:rPr>
      </w:pPr>
      <w:r>
        <w:rPr>
          <w:rFonts w:ascii="Arial" w:cs="Arial" w:eastAsia="Arial" w:hAnsi="Arial"/>
          <w:sz w:val="18"/>
          <w:szCs w:val="18"/>
          <w:color w:val="auto"/>
        </w:rPr>
        <w:t>Disputes may arise between BioXcel and us in a number of areas relating to our past and ongoing relationships, including:</w:t>
      </w:r>
    </w:p>
    <w:p>
      <w:pPr>
        <w:spacing w:after="0" w:line="170" w:lineRule="exact"/>
        <w:rPr>
          <w:sz w:val="20"/>
          <w:szCs w:val="20"/>
          <w:color w:val="auto"/>
        </w:rPr>
      </w:pPr>
    </w:p>
    <w:p>
      <w:pPr>
        <w:ind w:left="1020" w:right="79" w:hanging="328"/>
        <w:spacing w:after="0" w:line="274"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intellectual property, technology and business matters, including failure to make required technology transfers and failure to comply with non-compete provisions applicable to BioXcel and us;</w:t>
      </w:r>
    </w:p>
    <w:p>
      <w:pPr>
        <w:ind w:left="1020" w:hanging="328"/>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labor, tax, employee benefit, indemnification and other matters arising from the Separation;</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distribution and supply obligations;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employee retention and recruiting;</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combinations involving us;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or distributions by BioXcel of all or any portion of its ownership interest in us;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nature, quality and pricing of services BioXcel has agreed to provide us; and</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opportunities that may be attractive to both BioXcel and us.</w:t>
      </w:r>
    </w:p>
    <w:p>
      <w:pPr>
        <w:spacing w:after="0" w:line="211" w:lineRule="exact"/>
        <w:rPr>
          <w:sz w:val="20"/>
          <w:szCs w:val="20"/>
          <w:color w:val="auto"/>
        </w:rPr>
      </w:pPr>
    </w:p>
    <w:p>
      <w:pPr>
        <w:ind w:left="40" w:right="199" w:firstLine="324"/>
        <w:spacing w:after="0" w:line="259" w:lineRule="auto"/>
        <w:rPr>
          <w:sz w:val="20"/>
          <w:szCs w:val="20"/>
          <w:color w:val="auto"/>
        </w:rPr>
      </w:pPr>
      <w:r>
        <w:rPr>
          <w:rFonts w:ascii="Arial" w:cs="Arial" w:eastAsia="Arial" w:hAnsi="Arial"/>
          <w:sz w:val="18"/>
          <w:szCs w:val="18"/>
          <w:color w:val="auto"/>
        </w:rPr>
        <w:t>We entered into the Services Agreement with BioXcel related to the Separation of our business operations from those of BioXcel that contains certain limitations on BioXcel’s ability to control various aspects of our business and operations, notwithstanding BioXcel’s substantial ownership position. This agreement may be amended upon agreement between us and BioXcel.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9" w:name="page50"/>
    <w:bookmarkEnd w:id="4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79"/>
        <w:spacing w:after="0" w:line="277" w:lineRule="auto"/>
        <w:rPr>
          <w:sz w:val="20"/>
          <w:szCs w:val="20"/>
          <w:color w:val="auto"/>
        </w:rPr>
      </w:pPr>
      <w:r>
        <w:rPr>
          <w:rFonts w:ascii="Arial" w:cs="Arial" w:eastAsia="Arial" w:hAnsi="Arial"/>
          <w:sz w:val="18"/>
          <w:szCs w:val="18"/>
          <w:b w:val="1"/>
          <w:bCs w:val="1"/>
          <w:i w:val="1"/>
          <w:iCs w:val="1"/>
          <w:color w:val="auto"/>
        </w:rPr>
        <w:t>BioXcel may experience challenges with the acquisition, development, enhancement or deployment of technology necessary for EvolverAI.</w:t>
      </w:r>
    </w:p>
    <w:p>
      <w:pPr>
        <w:spacing w:after="0" w:line="170" w:lineRule="exact"/>
        <w:rPr>
          <w:sz w:val="20"/>
          <w:szCs w:val="20"/>
          <w:color w:val="auto"/>
        </w:rPr>
      </w:pPr>
    </w:p>
    <w:p>
      <w:pPr>
        <w:ind w:left="40" w:right="139" w:firstLine="324"/>
        <w:spacing w:after="0" w:line="285" w:lineRule="auto"/>
        <w:rPr>
          <w:sz w:val="20"/>
          <w:szCs w:val="20"/>
          <w:color w:val="auto"/>
        </w:rPr>
      </w:pPr>
      <w:r>
        <w:rPr>
          <w:rFonts w:ascii="Arial" w:cs="Arial" w:eastAsia="Arial" w:hAnsi="Arial"/>
          <w:sz w:val="16"/>
          <w:szCs w:val="16"/>
          <w:color w:val="auto"/>
        </w:rPr>
        <w:t>BioXcel operates in businesses that require sophisticated computer systems and software for data collection, data processing, cloud-based platforms, analytics, statistical projections and forecasting, mobile computing, social media analytics and other applications and technologies. BioXcel seeks to address its technology risks by increasing its reliance on the use of innovations by cross-industry technology leaders and adapt these for their pharmaceutical, specialty-pharma, biotech, biopharmaceutical, diagnostic, medical device and contract research and manufacturing clients. Some of the technologies supporting the industries they serve are changing rapidly and we must continue to adapt to these changes in a timely and effective manner at an acceptable cost. They also must continue to deliver data to its clients in forms that are easy to use while simultaneously providing clear answers to complex questions. There can be no guarantee that we or BioXcel will be able to develop, acquire or integrate new technologies, that these new technologies will meet our and BioXcel’s needs or achieve our expected goals, or that we will be able to do so as quickly or cost-effectively as our competitors. Significant technological change could render EvolverAI obsolete. BioXcel’s continued success will depend on its ability to adapt to changing technologies, manage and process ever-increasing amounts of data and information and improve the performance, features and reliability of its services in response to changing client and industry demands. BioXcel may experience difficulties that could delay or prevent the successful design, development, testing, and introduction of advanced versions of EvolverAI, limiting our ability to identify new product candidates. New services, or enhancements to existing EvolverAI services, may not adequately meet our requirements. Any of these failures could have a material adverse effect on our operating results and financial condition.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ind w:left="40" w:right="59"/>
        <w:spacing w:after="0" w:line="320" w:lineRule="auto"/>
        <w:rPr>
          <w:sz w:val="20"/>
          <w:szCs w:val="20"/>
          <w:color w:val="auto"/>
        </w:rPr>
      </w:pPr>
      <w:r>
        <w:rPr>
          <w:rFonts w:ascii="Arial" w:cs="Arial" w:eastAsia="Arial" w:hAnsi="Arial"/>
          <w:sz w:val="15"/>
          <w:szCs w:val="15"/>
          <w:b w:val="1"/>
          <w:bCs w:val="1"/>
          <w:i w:val="1"/>
          <w:iCs w:val="1"/>
          <w:color w:val="auto"/>
        </w:rPr>
        <w:t>We are substantially dependent on third parties for the manufacture of our clinical supplies of our product candidates, and we intend to rely on third parties to produce commercial supplies of any approved product candidate. Therefore, our development of our products could be stopped or delayed, and our commercialization of any future product could be stopped or delayed or made less profitable if third party manufacturers fail to obtain approval of the FDA or comparable regulatory authorities or fail to provide us with drug product in sufficient quantities or at acceptable prices.</w:t>
      </w:r>
    </w:p>
    <w:p>
      <w:pPr>
        <w:spacing w:after="0" w:line="146" w:lineRule="exact"/>
        <w:rPr>
          <w:sz w:val="20"/>
          <w:szCs w:val="20"/>
          <w:color w:val="auto"/>
        </w:rPr>
      </w:pPr>
    </w:p>
    <w:p>
      <w:pPr>
        <w:ind w:left="40" w:right="79" w:firstLine="324"/>
        <w:spacing w:after="0" w:line="288" w:lineRule="auto"/>
        <w:rPr>
          <w:sz w:val="20"/>
          <w:szCs w:val="20"/>
          <w:color w:val="auto"/>
        </w:rPr>
      </w:pPr>
      <w:r>
        <w:rPr>
          <w:rFonts w:ascii="Arial" w:cs="Arial" w:eastAsia="Arial" w:hAnsi="Arial"/>
          <w:sz w:val="16"/>
          <w:szCs w:val="16"/>
          <w:color w:val="auto"/>
        </w:rPr>
        <w:t>The manufacture of biotechnology and pharmaceutical products is complex and requires significant expertise, capital investment, process controls and know-how. Common difficulties in biotechnology and pharmaceutical manufacturing may include: sourcing and producing raw materials, transferring technology from chemistry and development activities to production activities, validating initial production designs, scaling manufacturing techniques, improving costs and yields, establishing and maintaining quality controls and stability requirements, eliminating contaminations and operator errors, and maintaining compliance with regulatory requirements. We do not currently have nor do we plan to acquire the infrastructure or capability internally to produce an adequate supply of compounds to meet future requirements for clinical trials and commercialization of our products or to produce our products in accordance with cGMP prescribed by the FDA. Drug manufacturing facilities are subject to inspection before the FDA will issue an approval to market a new drug product, and all of the manufacturers that we intend to use must adhere to the cGMP regulations prescribed by the FDA.</w:t>
      </w:r>
    </w:p>
    <w:p>
      <w:pPr>
        <w:spacing w:after="0" w:line="168" w:lineRule="exact"/>
        <w:rPr>
          <w:sz w:val="20"/>
          <w:szCs w:val="20"/>
          <w:color w:val="auto"/>
        </w:rPr>
      </w:pPr>
    </w:p>
    <w:p>
      <w:pPr>
        <w:ind w:left="40" w:right="79" w:firstLine="324"/>
        <w:spacing w:after="0" w:line="269" w:lineRule="auto"/>
        <w:rPr>
          <w:sz w:val="20"/>
          <w:szCs w:val="20"/>
          <w:color w:val="auto"/>
        </w:rPr>
      </w:pPr>
      <w:r>
        <w:rPr>
          <w:rFonts w:ascii="Arial" w:cs="Arial" w:eastAsia="Arial" w:hAnsi="Arial"/>
          <w:sz w:val="17"/>
          <w:szCs w:val="17"/>
          <w:color w:val="auto"/>
        </w:rPr>
        <w:t>We expect therefore to rely on third-party manufacturers for clinical supplies of our product candidates that we may develop. These third-party manufacturers will be required to comply with cGMPs, and other applicable laws and regulations. We will have no control over the ability of these third parties to comply with these requirements, or to maintain adequate quality control, quality assurance and qualified personnel. If the FDA or any other applicable regulatory authorities do not approve the facilities of these third parties for the manufacture of our other product candidates or any products that we may successfully develop, or if it withdraws any such approval,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Any of these factors would significantly impact our ability to develop, obtain regulatory approval for or market our product candidates and adversely affect our business.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0" w:name="page51"/>
    <w:bookmarkEnd w:id="5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firstLine="324"/>
        <w:spacing w:after="0" w:line="285" w:lineRule="auto"/>
        <w:rPr>
          <w:sz w:val="20"/>
          <w:szCs w:val="20"/>
          <w:color w:val="auto"/>
        </w:rPr>
      </w:pPr>
      <w:r>
        <w:rPr>
          <w:rFonts w:ascii="Arial" w:cs="Arial" w:eastAsia="Arial" w:hAnsi="Arial"/>
          <w:sz w:val="16"/>
          <w:szCs w:val="16"/>
          <w:color w:val="auto"/>
        </w:rPr>
        <w:t>We and/or our third-party manufacturers may be adversely affected by developments outside of our control, and these developments may delay or prevent further manufacturing of our products. Adverse developments may include labor disputes, resource constraints, shipment delays, inventory shortages, lot failures, unexpected sources of contamination, lawsuits related to our manufacturing techniques, equipment used during manufacturing, or composition of matter, unstable political environments, acts of terrorism, war, natural disasters, and other natural and man-made disasters. If BioXcel, we or our third-party manufacturers were to encounter any of the above difficulties, or otherwise fail to comply with contractual obligations, our ability to provide any product for clinical trial or commercial purposes would be jeopardized. This may increase the costs associated with completing our clinical trials and commercial production. Further, production disruptions may cause us to terminate ongoing clinical trials and/or commence new clinical trials at additional expense. We may also have to take inventory write-offs and incur other charges and expenses for products that fail to meet specifications or pass safety inspections. Moreover, as a result of the COVID-19 pandemic, third-party manufacturers may be affected, which could disrupt their activities and, as a result, we could face difficulty sourcing key components necessary to produce supply of our product candidates, which may negatively affect our preclinical and clinical development activities. If production difficulties cannot be solved with acceptable costs, expenses, and timeframes, we may be forced to abandon our clinical development and commercialization plans, which could have a material adverse effect on our business, prospects, financial condition, and the value of our securities.</w:t>
      </w:r>
    </w:p>
    <w:p>
      <w:pPr>
        <w:spacing w:after="0" w:line="176" w:lineRule="exact"/>
        <w:rPr>
          <w:sz w:val="20"/>
          <w:szCs w:val="20"/>
          <w:color w:val="auto"/>
        </w:rPr>
      </w:pPr>
    </w:p>
    <w:p>
      <w:pPr>
        <w:ind w:left="40" w:right="459"/>
        <w:spacing w:after="0" w:line="286" w:lineRule="auto"/>
        <w:rPr>
          <w:sz w:val="20"/>
          <w:szCs w:val="20"/>
          <w:color w:val="auto"/>
        </w:rPr>
      </w:pPr>
      <w:r>
        <w:rPr>
          <w:rFonts w:ascii="Arial" w:cs="Arial" w:eastAsia="Arial" w:hAnsi="Arial"/>
          <w:sz w:val="17"/>
          <w:szCs w:val="17"/>
          <w:b w:val="1"/>
          <w:bCs w:val="1"/>
          <w:i w:val="1"/>
          <w:iCs w:val="1"/>
          <w:color w:val="auto"/>
        </w:rPr>
        <w:t>We, or third-party manufacturers on whom we rely, may be unable to successfully scale-up manufacturing of our product candidates in sufficient quality and quantity, which would delay or prevent us from developing our product candidates and commercializing approved products, if any.</w:t>
      </w:r>
    </w:p>
    <w:p>
      <w:pPr>
        <w:spacing w:after="0" w:line="165" w:lineRule="exact"/>
        <w:rPr>
          <w:sz w:val="20"/>
          <w:szCs w:val="20"/>
          <w:color w:val="auto"/>
        </w:rPr>
      </w:pPr>
    </w:p>
    <w:p>
      <w:pPr>
        <w:ind w:left="40" w:right="79" w:firstLine="324"/>
        <w:spacing w:after="0" w:line="289" w:lineRule="auto"/>
        <w:rPr>
          <w:sz w:val="20"/>
          <w:szCs w:val="20"/>
          <w:color w:val="auto"/>
        </w:rPr>
      </w:pPr>
      <w:r>
        <w:rPr>
          <w:rFonts w:ascii="Arial" w:cs="Arial" w:eastAsia="Arial" w:hAnsi="Arial"/>
          <w:sz w:val="16"/>
          <w:szCs w:val="16"/>
          <w:color w:val="auto"/>
        </w:rPr>
        <w:t>In order to conduct clinical trials of our product candidates and commercialize any approved product candidates, we, or our manufacturers, will need to manufacture them in large quantities. We, or our manufacturers, may be unable to successfully increase the manufacturing capacity for any of our product candidates in a timely or cost-effective manner, or at all. In addition, quality issues may arise during scale-up activities. If we, or any of our manufacturers, are unable to successfully scale up the manufacture of our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 If we are unable to obtain or maintain third-party manufacturing for commercial supply of our product candidates, or to do so on commercially reasonable terms, we may not be able to develop and commercialize our product candidates successfully.</w:t>
      </w:r>
    </w:p>
    <w:p>
      <w:pPr>
        <w:spacing w:after="0" w:line="166" w:lineRule="exact"/>
        <w:rPr>
          <w:sz w:val="20"/>
          <w:szCs w:val="20"/>
          <w:color w:val="auto"/>
        </w:rPr>
      </w:pPr>
    </w:p>
    <w:p>
      <w:pPr>
        <w:ind w:left="40" w:right="99"/>
        <w:spacing w:after="0" w:line="277" w:lineRule="auto"/>
        <w:rPr>
          <w:sz w:val="20"/>
          <w:szCs w:val="20"/>
          <w:color w:val="auto"/>
        </w:rPr>
      </w:pPr>
      <w:r>
        <w:rPr>
          <w:rFonts w:ascii="Arial" w:cs="Arial" w:eastAsia="Arial" w:hAnsi="Arial"/>
          <w:sz w:val="18"/>
          <w:szCs w:val="18"/>
          <w:b w:val="1"/>
          <w:bCs w:val="1"/>
          <w:i w:val="1"/>
          <w:iCs w:val="1"/>
          <w:color w:val="auto"/>
        </w:rPr>
        <w:t>Our failure to find third party collaborators to assist or share in the costs of product development could materially harm our business, financial condition and results of operations.</w:t>
      </w:r>
    </w:p>
    <w:p>
      <w:pPr>
        <w:spacing w:after="0" w:line="170" w:lineRule="exact"/>
        <w:rPr>
          <w:sz w:val="20"/>
          <w:szCs w:val="20"/>
          <w:color w:val="auto"/>
        </w:rPr>
      </w:pPr>
    </w:p>
    <w:p>
      <w:pPr>
        <w:ind w:left="40" w:right="59" w:firstLine="324"/>
        <w:spacing w:after="0" w:line="218" w:lineRule="exact"/>
        <w:rPr>
          <w:sz w:val="20"/>
          <w:szCs w:val="20"/>
          <w:color w:val="auto"/>
        </w:rPr>
      </w:pPr>
      <w:r>
        <w:rPr>
          <w:rFonts w:ascii="Arial" w:cs="Arial" w:eastAsia="Arial" w:hAnsi="Arial"/>
          <w:sz w:val="16"/>
          <w:szCs w:val="16"/>
          <w:color w:val="auto"/>
        </w:rPr>
        <w:t>Our strategy for the development and commercialization of our proprietary product candidates may include the formation of collaborative arrangements with third parties. We are a party to several collaboration agreements (research and clinical), including agreements with Nektar Therapeutics, Inc., or Nektar, relating to Nektar’s Bempegaldesleukin (NKTR</w:t>
      </w:r>
      <w:r>
        <w:rPr>
          <w:rFonts w:ascii="MS PGothic" w:cs="MS PGothic" w:eastAsia="MS PGothic" w:hAnsi="MS PGothic"/>
          <w:sz w:val="16"/>
          <w:szCs w:val="16"/>
          <w:color w:val="auto"/>
        </w:rPr>
        <w:t>‑</w:t>
      </w:r>
      <w:r>
        <w:rPr>
          <w:rFonts w:ascii="Arial" w:cs="Arial" w:eastAsia="Arial" w:hAnsi="Arial"/>
          <w:sz w:val="16"/>
          <w:szCs w:val="16"/>
          <w:color w:val="auto"/>
        </w:rPr>
        <w:t>214) and Merck KGaA, Darmstadt, Germany and Pfizer Inc.’s Opdivo compound and BXCL 701. Existing and future collaborators have significant discretion in determining the efforts and resources they apply and may not perform their obligations as expected. Potential third party collaborators include biopharmaceutical, pharmaceutical and biotechnology companies, academic institutions and other entities. Third-party collaborators may assist us in:</w:t>
      </w:r>
    </w:p>
    <w:p>
      <w:pPr>
        <w:spacing w:after="0" w:line="204" w:lineRule="exact"/>
        <w:rPr>
          <w:sz w:val="20"/>
          <w:szCs w:val="20"/>
          <w:color w:val="auto"/>
        </w:rPr>
      </w:pPr>
    </w:p>
    <w:p>
      <w:pPr>
        <w:ind w:left="1020" w:hanging="328"/>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funding research, preclinical development, clinical trials and manufacturing;</w:t>
      </w:r>
    </w:p>
    <w:p>
      <w:pPr>
        <w:spacing w:after="0" w:line="23" w:lineRule="exact"/>
        <w:rPr>
          <w:rFonts w:ascii="Arial" w:cs="Arial" w:eastAsia="Arial" w:hAnsi="Arial"/>
          <w:sz w:val="18"/>
          <w:szCs w:val="18"/>
          <w:color w:val="auto"/>
        </w:rPr>
      </w:pPr>
    </w:p>
    <w:p>
      <w:pPr>
        <w:ind w:left="1020" w:hanging="328"/>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seeking and obtaining regulatory approvals; and</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successfully commercializing any future product candidates.</w:t>
      </w:r>
    </w:p>
    <w:p>
      <w:pPr>
        <w:spacing w:after="0" w:line="211" w:lineRule="exact"/>
        <w:rPr>
          <w:sz w:val="20"/>
          <w:szCs w:val="20"/>
          <w:color w:val="auto"/>
        </w:rPr>
      </w:pPr>
    </w:p>
    <w:p>
      <w:pPr>
        <w:ind w:left="40" w:right="99" w:firstLine="324"/>
        <w:spacing w:after="0" w:line="257" w:lineRule="auto"/>
        <w:rPr>
          <w:sz w:val="20"/>
          <w:szCs w:val="20"/>
          <w:color w:val="auto"/>
        </w:rPr>
      </w:pPr>
      <w:r>
        <w:rPr>
          <w:rFonts w:ascii="Arial" w:cs="Arial" w:eastAsia="Arial" w:hAnsi="Arial"/>
          <w:sz w:val="18"/>
          <w:szCs w:val="18"/>
          <w:color w:val="auto"/>
        </w:rPr>
        <w:t>If we are not able to establish further collaboration agreements, we may be required to undertake product development and commercialization at our own expense. Such an undertaking may limit the number of product candidates that we will be able to develop, significantly increase our capital requirements and place additional strain on our internal resources. Our failure to enter into additional collaborations could materially harm our business, financial condition and results of operations.</w:t>
      </w:r>
    </w:p>
    <w:p>
      <w:pPr>
        <w:spacing w:after="0" w:line="188" w:lineRule="exact"/>
        <w:rPr>
          <w:sz w:val="20"/>
          <w:szCs w:val="20"/>
          <w:color w:val="auto"/>
        </w:rPr>
      </w:pPr>
    </w:p>
    <w:p>
      <w:pPr>
        <w:ind w:left="40" w:right="399" w:firstLine="324"/>
        <w:spacing w:after="0" w:line="342" w:lineRule="auto"/>
        <w:rPr>
          <w:sz w:val="20"/>
          <w:szCs w:val="20"/>
          <w:color w:val="auto"/>
        </w:rPr>
      </w:pPr>
      <w:r>
        <w:rPr>
          <w:rFonts w:ascii="Arial" w:cs="Arial" w:eastAsia="Arial" w:hAnsi="Arial"/>
          <w:sz w:val="16"/>
          <w:szCs w:val="16"/>
          <w:color w:val="auto"/>
        </w:rPr>
        <w:t>In addition, our dependence on licensing, collaboration and other agreements with third parties may subject us to a number of risks. These agreements may not be on terms that prove favorable to us and may require us to relinquish</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1" w:name="page52"/>
    <w:bookmarkEnd w:id="5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19"/>
        <w:spacing w:after="0" w:line="255" w:lineRule="auto"/>
        <w:rPr>
          <w:sz w:val="20"/>
          <w:szCs w:val="20"/>
          <w:color w:val="auto"/>
        </w:rPr>
      </w:pPr>
      <w:r>
        <w:rPr>
          <w:rFonts w:ascii="Arial" w:cs="Arial" w:eastAsia="Arial" w:hAnsi="Arial"/>
          <w:sz w:val="18"/>
          <w:szCs w:val="18"/>
          <w:color w:val="auto"/>
        </w:rPr>
        <w:t>certain rights in our product candidates. To the extent we agree to work exclusively with one collaborator in a given area, our opportunities to collaborate with other entities could be curtailed. Lengthy negotiations with potential new collaborators may lead to delays in the research, development or commercialization of product candidates. The decision by our collaborators to pursue alternative technologies or the failure of our collaborators to develop or commercialize successfully any product candidate to which they have obtained rights from us could materially harm our business, financial condition and results of operations.</w:t>
      </w:r>
    </w:p>
    <w:p>
      <w:pPr>
        <w:spacing w:after="0" w:line="192" w:lineRule="exact"/>
        <w:rPr>
          <w:sz w:val="20"/>
          <w:szCs w:val="20"/>
          <w:color w:val="auto"/>
        </w:rPr>
      </w:pPr>
    </w:p>
    <w:p>
      <w:pPr>
        <w:ind w:left="40" w:right="259"/>
        <w:spacing w:after="0" w:line="311" w:lineRule="auto"/>
        <w:rPr>
          <w:sz w:val="20"/>
          <w:szCs w:val="20"/>
          <w:color w:val="auto"/>
        </w:rPr>
      </w:pPr>
      <w:r>
        <w:rPr>
          <w:rFonts w:ascii="Arial" w:cs="Arial" w:eastAsia="Arial" w:hAnsi="Arial"/>
          <w:sz w:val="16"/>
          <w:szCs w:val="16"/>
          <w:b w:val="1"/>
          <w:bCs w:val="1"/>
          <w:i w:val="1"/>
          <w:iCs w:val="1"/>
          <w:color w:val="auto"/>
        </w:rPr>
        <w:t>We rely on third parties to conduct our preclinical and clinical trials. If these third parties do not successfully perform their contractual legal and regulatory duties or meet expected deadlines, we may not be able to obtain regulatory approval for or commercialize our product candidates and our business could be substantially harmed.</w:t>
      </w:r>
    </w:p>
    <w:p>
      <w:pPr>
        <w:spacing w:after="0" w:line="149" w:lineRule="exact"/>
        <w:rPr>
          <w:sz w:val="20"/>
          <w:szCs w:val="20"/>
          <w:color w:val="auto"/>
        </w:rPr>
      </w:pPr>
    </w:p>
    <w:p>
      <w:pPr>
        <w:jc w:val="both"/>
        <w:ind w:left="40" w:right="159" w:firstLine="324"/>
        <w:spacing w:after="0" w:line="287" w:lineRule="auto"/>
        <w:rPr>
          <w:sz w:val="20"/>
          <w:szCs w:val="20"/>
          <w:color w:val="auto"/>
        </w:rPr>
      </w:pPr>
      <w:r>
        <w:rPr>
          <w:rFonts w:ascii="Arial" w:cs="Arial" w:eastAsia="Arial" w:hAnsi="Arial"/>
          <w:sz w:val="16"/>
          <w:szCs w:val="16"/>
          <w:color w:val="auto"/>
        </w:rPr>
        <w:t>We have relied upon and plan to continue to rely upon third-party medical institutions, clinical investigators, contract laboratories and other third party CROs to monitor and manage data for our ongoing preclinical and clinical programs. We rely on these parties for execution of our preclinical and clinical trials, and control only certain aspects of their activities.</w:t>
      </w:r>
    </w:p>
    <w:p>
      <w:pPr>
        <w:spacing w:after="0" w:line="2" w:lineRule="exact"/>
        <w:rPr>
          <w:sz w:val="20"/>
          <w:szCs w:val="20"/>
          <w:color w:val="auto"/>
        </w:rPr>
      </w:pPr>
    </w:p>
    <w:p>
      <w:pPr>
        <w:ind w:left="40" w:right="79"/>
        <w:spacing w:after="0" w:line="271" w:lineRule="auto"/>
        <w:rPr>
          <w:sz w:val="20"/>
          <w:szCs w:val="20"/>
          <w:color w:val="auto"/>
        </w:rPr>
      </w:pPr>
      <w:r>
        <w:rPr>
          <w:rFonts w:ascii="Arial" w:cs="Arial" w:eastAsia="Arial" w:hAnsi="Arial"/>
          <w:sz w:val="17"/>
          <w:szCs w:val="17"/>
          <w:color w:val="auto"/>
        </w:rPr>
        <w:t>Nevertheless, we are responsible for ensuring that each of our studies is conducted in accordance with the applicable protocol, legal, regulatory and scientific standards, and our reliance on the CROs does not relieve us of our regulatory responsibilities. We and our CROs are required to comply with GCPs, which are regulations and guidelines enforced by the FDA, the Competent Authorities of the member states of the European Economic Area, or EEA, and comparable foreign regulatory authorities for all of our products in clinical development.</w:t>
      </w:r>
    </w:p>
    <w:p>
      <w:pPr>
        <w:spacing w:after="0" w:line="178" w:lineRule="exact"/>
        <w:rPr>
          <w:sz w:val="20"/>
          <w:szCs w:val="20"/>
          <w:color w:val="auto"/>
        </w:rPr>
      </w:pPr>
    </w:p>
    <w:p>
      <w:pPr>
        <w:ind w:left="40" w:right="59" w:firstLine="324"/>
        <w:spacing w:after="0" w:line="291" w:lineRule="auto"/>
        <w:rPr>
          <w:sz w:val="20"/>
          <w:szCs w:val="20"/>
          <w:color w:val="auto"/>
        </w:rPr>
      </w:pPr>
      <w:r>
        <w:rPr>
          <w:rFonts w:ascii="Arial" w:cs="Arial" w:eastAsia="Arial" w:hAnsi="Arial"/>
          <w:sz w:val="16"/>
          <w:szCs w:val="16"/>
          <w:color w:val="auto"/>
        </w:rPr>
        <w:t>Regulatory authorities enforce these GCPs through periodic inspections of trial sponsors, principal investigators and trial sites. If we or any of our CROs fail to comply with applicable GCPs, the clinical data generated in our clinical trials may be deemed unreliable and the FDA, the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166"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or to do so on commercially reasonable terms. In addition, our CROs are not our employees, and except for remedies available to us under our agreements with such CROs, we cannot control whether or not they devote sufficient time and resources to our on-going clinical, nonclinical and preclinical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85" w:lineRule="exact"/>
        <w:rPr>
          <w:sz w:val="20"/>
          <w:szCs w:val="20"/>
          <w:color w:val="auto"/>
        </w:rPr>
      </w:pPr>
    </w:p>
    <w:p>
      <w:pPr>
        <w:ind w:left="40" w:right="79" w:firstLine="324"/>
        <w:spacing w:after="0" w:line="269" w:lineRule="auto"/>
        <w:rPr>
          <w:sz w:val="20"/>
          <w:szCs w:val="20"/>
          <w:color w:val="auto"/>
        </w:rPr>
      </w:pPr>
      <w:r>
        <w:rPr>
          <w:rFonts w:ascii="Arial" w:cs="Arial" w:eastAsia="Arial" w:hAnsi="Arial"/>
          <w:sz w:val="17"/>
          <w:szCs w:val="17"/>
          <w:color w:val="auto"/>
        </w:rPr>
        <w:t>Many of the third parties with whom we contract may also have relationships with other commercial entities, including our competitors, for whom they may also be conducting clinical trials or other drug development activities that could harm our competitive position. If the third parties conducting our GLP preclinical studies or our clinical trials do not perform their contractual duties or obligations, experience work stoppages, do not meet expected deadlines, terminate their agreements with us or need to be replaced, or if the quality or accuracy of the clinical data they obtain is compromised due to their failure to adhere to our clinical trial protocols or to GCPs, or for any other reason, we may need to enter into new arrangements with alternative third parties.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2" w:name="page53"/>
    <w:bookmarkEnd w:id="5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40" w:right="339"/>
        <w:spacing w:after="0" w:line="381" w:lineRule="auto"/>
        <w:rPr>
          <w:sz w:val="20"/>
          <w:szCs w:val="20"/>
          <w:color w:val="auto"/>
        </w:rPr>
      </w:pPr>
      <w:r>
        <w:rPr>
          <w:rFonts w:ascii="Arial" w:cs="Arial" w:eastAsia="Arial" w:hAnsi="Arial"/>
          <w:sz w:val="15"/>
          <w:szCs w:val="15"/>
          <w:b w:val="1"/>
          <w:bCs w:val="1"/>
          <w:i w:val="1"/>
          <w:iCs w:val="1"/>
          <w:color w:val="auto"/>
        </w:rPr>
        <w:t>The outbreak of the novel coronavirus disease, COVID-19, or other pandemic, epidemic or outbreak of an infectious disease may materially and adversely impact our business, including our preclinical studies and clinical trials.</w:t>
      </w:r>
    </w:p>
    <w:p>
      <w:pPr>
        <w:spacing w:after="0" w:line="100" w:lineRule="exact"/>
        <w:rPr>
          <w:sz w:val="20"/>
          <w:szCs w:val="20"/>
          <w:color w:val="auto"/>
        </w:rPr>
      </w:pPr>
    </w:p>
    <w:p>
      <w:pPr>
        <w:ind w:left="40" w:right="59" w:firstLine="324"/>
        <w:spacing w:after="0" w:line="271" w:lineRule="auto"/>
        <w:rPr>
          <w:sz w:val="20"/>
          <w:szCs w:val="20"/>
          <w:color w:val="auto"/>
        </w:rPr>
      </w:pPr>
      <w:r>
        <w:rPr>
          <w:rFonts w:ascii="Arial" w:cs="Arial" w:eastAsia="Arial" w:hAnsi="Arial"/>
          <w:sz w:val="17"/>
          <w:szCs w:val="17"/>
          <w:color w:val="auto"/>
        </w:rPr>
        <w:t>In December 2019, the novel coronavirus disease, COVID-19, was identified in Wuhan, China. This virus has been declared a pandemic and has spread to multiple global regions, including the United States and Europe.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have implemented a work-from-home policy for all employees and have restricted on-site activities to certain chemical, manufacturing and control (CMC) and clinical trial activities.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459" w:firstLine="324"/>
        <w:spacing w:after="0" w:line="342" w:lineRule="auto"/>
        <w:rPr>
          <w:sz w:val="20"/>
          <w:szCs w:val="20"/>
          <w:color w:val="auto"/>
        </w:rPr>
      </w:pPr>
      <w:r>
        <w:rPr>
          <w:rFonts w:ascii="Arial" w:cs="Arial" w:eastAsia="Arial" w:hAnsi="Arial"/>
          <w:sz w:val="16"/>
          <w:szCs w:val="16"/>
          <w:color w:val="auto"/>
        </w:rPr>
        <w:t>As a result of the COVID-19 pandemic or other pandemic, epidemic or outbreak of an infectious disease, we may experience disruptions that could severely impact our business, preclinical studies and clinical trials, including:</w:t>
      </w:r>
    </w:p>
    <w:p>
      <w:pPr>
        <w:spacing w:after="0" w:line="340" w:lineRule="exact"/>
        <w:rPr>
          <w:sz w:val="20"/>
          <w:szCs w:val="20"/>
          <w:color w:val="auto"/>
        </w:rPr>
      </w:pPr>
    </w:p>
    <w:p>
      <w:pPr>
        <w:ind w:left="1020" w:hanging="328"/>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23" w:lineRule="exact"/>
        <w:rPr>
          <w:rFonts w:ascii="Arial" w:cs="Arial" w:eastAsia="Arial" w:hAnsi="Arial"/>
          <w:sz w:val="18"/>
          <w:szCs w:val="18"/>
          <w:color w:val="auto"/>
        </w:rPr>
      </w:pPr>
    </w:p>
    <w:p>
      <w:pPr>
        <w:ind w:left="1020" w:right="119" w:hanging="328"/>
        <w:spacing w:after="0" w:line="250"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ind w:left="1020" w:right="119" w:hanging="328"/>
        <w:spacing w:after="0" w:line="265" w:lineRule="auto"/>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diversion of healthcare resources away from the conduct of clinical trials, including the diversion of hospitals serving as our clinical trial sites and hospital staff supporting the conduct of our clinical trials;</w:t>
      </w:r>
    </w:p>
    <w:p>
      <w:pPr>
        <w:ind w:left="1020" w:right="279" w:hanging="328"/>
        <w:spacing w:after="0" w:line="250"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1" w:lineRule="exact"/>
        <w:rPr>
          <w:rFonts w:ascii="Arial" w:cs="Arial" w:eastAsia="Arial" w:hAnsi="Arial"/>
          <w:sz w:val="18"/>
          <w:szCs w:val="18"/>
          <w:color w:val="auto"/>
        </w:rPr>
      </w:pPr>
    </w:p>
    <w:p>
      <w:pPr>
        <w:ind w:left="1020" w:right="199" w:hanging="328"/>
        <w:spacing w:after="0" w:line="250"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ind w:left="1020" w:right="359" w:hanging="328"/>
        <w:spacing w:after="0" w:line="250"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1" w:lineRule="exact"/>
        <w:rPr>
          <w:rFonts w:ascii="Arial" w:cs="Arial" w:eastAsia="Arial" w:hAnsi="Arial"/>
          <w:sz w:val="18"/>
          <w:szCs w:val="18"/>
          <w:color w:val="auto"/>
        </w:rPr>
      </w:pPr>
    </w:p>
    <w:p>
      <w:pPr>
        <w:ind w:left="1020" w:right="99" w:hanging="328"/>
        <w:spacing w:after="0" w:line="250"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resulting from restrictions on our on-site activities;</w:t>
      </w:r>
    </w:p>
    <w:p>
      <w:pPr>
        <w:jc w:val="both"/>
        <w:ind w:left="1020" w:right="199" w:hanging="328"/>
        <w:spacing w:after="0" w:line="250"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1" w:lineRule="exact"/>
        <w:rPr>
          <w:rFonts w:ascii="Arial" w:cs="Arial" w:eastAsia="Arial" w:hAnsi="Arial"/>
          <w:sz w:val="18"/>
          <w:szCs w:val="18"/>
          <w:color w:val="auto"/>
        </w:rPr>
      </w:pPr>
    </w:p>
    <w:p>
      <w:pPr>
        <w:ind w:left="1020" w:right="759" w:hanging="328"/>
        <w:spacing w:after="0" w:line="265" w:lineRule="auto"/>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impacts from prolonged remote work arrangements, such as strains on our business continuity plans, cybersecurity risks, and inability of certain employees to perform their work remotely; and</w:t>
      </w:r>
    </w:p>
    <w:p>
      <w:pPr>
        <w:ind w:left="1020" w:hanging="328"/>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w:t>
      </w:r>
    </w:p>
    <w:p>
      <w:pPr>
        <w:spacing w:after="0" w:line="200" w:lineRule="exact"/>
        <w:rPr>
          <w:sz w:val="20"/>
          <w:szCs w:val="20"/>
          <w:color w:val="auto"/>
        </w:rPr>
      </w:pPr>
    </w:p>
    <w:p>
      <w:pPr>
        <w:spacing w:after="0" w:line="227" w:lineRule="exact"/>
        <w:rPr>
          <w:sz w:val="20"/>
          <w:szCs w:val="20"/>
          <w:color w:val="auto"/>
        </w:rPr>
      </w:pPr>
    </w:p>
    <w:p>
      <w:pPr>
        <w:ind w:left="40" w:right="139" w:firstLine="324"/>
        <w:spacing w:after="0" w:line="289" w:lineRule="auto"/>
        <w:rPr>
          <w:sz w:val="20"/>
          <w:szCs w:val="20"/>
          <w:color w:val="auto"/>
        </w:rPr>
      </w:pPr>
      <w:r>
        <w:rPr>
          <w:rFonts w:ascii="Arial" w:cs="Arial" w:eastAsia="Arial" w:hAnsi="Arial"/>
          <w:sz w:val="16"/>
          <w:szCs w:val="16"/>
          <w:color w:val="auto"/>
        </w:rPr>
        <w:t>The COVID-19 pandemic continues to rapidly evolve. The extent to which the outbreak impacts our business, preclinical studies and clinical trials will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contain and treat the disease. If we or any of the third parties with whom we engage were to experience shutdowns or other business disruptions, our ability to conduct our business in the manner and on the timelines presently planned could be materially and negatively impacted. Additionally, concerns over the economic impact of COVID-19 pandemic have caused extreme volatility in financial and other capital markets which has and may continue to adversely impact our stock price and our ability to access capital markets.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3" w:name="page54"/>
    <w:bookmarkEnd w:id="5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459"/>
        <w:spacing w:after="0" w:line="277" w:lineRule="auto"/>
        <w:rPr>
          <w:sz w:val="20"/>
          <w:szCs w:val="20"/>
          <w:color w:val="auto"/>
        </w:rPr>
      </w:pPr>
      <w:r>
        <w:rPr>
          <w:rFonts w:ascii="Arial" w:cs="Arial" w:eastAsia="Arial" w:hAnsi="Arial"/>
          <w:sz w:val="18"/>
          <w:szCs w:val="18"/>
          <w:b w:val="1"/>
          <w:bCs w:val="1"/>
          <w:i w:val="1"/>
          <w:iCs w:val="1"/>
          <w:color w:val="auto"/>
        </w:rPr>
        <w:t>We will need to increase the size of our organization and the scope of our outside vendor relationships, and we may experience difficulties in managing growth.</w:t>
      </w:r>
    </w:p>
    <w:p>
      <w:pPr>
        <w:spacing w:after="0" w:line="170" w:lineRule="exact"/>
        <w:rPr>
          <w:sz w:val="20"/>
          <w:szCs w:val="20"/>
          <w:color w:val="auto"/>
        </w:rPr>
      </w:pPr>
    </w:p>
    <w:p>
      <w:pPr>
        <w:ind w:left="40" w:right="159" w:firstLine="324"/>
        <w:spacing w:after="0" w:line="271" w:lineRule="auto"/>
        <w:rPr>
          <w:sz w:val="20"/>
          <w:szCs w:val="20"/>
          <w:color w:val="auto"/>
        </w:rPr>
      </w:pPr>
      <w:r>
        <w:rPr>
          <w:rFonts w:ascii="Arial" w:cs="Arial" w:eastAsia="Arial" w:hAnsi="Arial"/>
          <w:sz w:val="17"/>
          <w:szCs w:val="17"/>
          <w:color w:val="auto"/>
        </w:rPr>
        <w:t>As of March 31, 2020, we employed a total of 27 full-time employees. In addition, we have access to certain of BioXcel’s employees and resources through the various agreements we have entered into with BioXcel. Our current internal departments include finance, research and development and administration. We have been expanding our management team to include an operational ramp up of additional technical staff required to achieve our business objectives. We will need to continue to expand our managerial, operational, technical and scientific, financial and other resources in order to manage our operations and clinical trials, establish independent manufacturing, continue our research and development activities, and commercialize our product candidate. Our management and scientific personnel, systems and facilities currently in place may not be adequate to support our future growth.</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need to effectively manage our operations, growth and various projects requires that we:</w:t>
      </w:r>
    </w:p>
    <w:p>
      <w:pPr>
        <w:spacing w:after="0" w:line="225" w:lineRule="exact"/>
        <w:rPr>
          <w:sz w:val="20"/>
          <w:szCs w:val="20"/>
          <w:color w:val="auto"/>
        </w:rPr>
      </w:pPr>
    </w:p>
    <w:p>
      <w:pPr>
        <w:ind w:left="1020" w:right="319" w:hanging="328"/>
        <w:spacing w:after="0" w:line="258"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 our clinical trials effectively, including our planned clinical trials of BXCL501, BXCL701 and our other product candidates;</w:t>
      </w:r>
    </w:p>
    <w:p>
      <w:pPr>
        <w:spacing w:after="0" w:line="1" w:lineRule="exact"/>
        <w:rPr>
          <w:rFonts w:ascii="Arial" w:cs="Arial" w:eastAsia="Arial" w:hAnsi="Arial"/>
          <w:sz w:val="18"/>
          <w:szCs w:val="18"/>
          <w:color w:val="auto"/>
        </w:rPr>
      </w:pPr>
    </w:p>
    <w:p>
      <w:pPr>
        <w:ind w:left="1020" w:right="739" w:hanging="328"/>
        <w:spacing w:after="0" w:line="250"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contractors and other third parties;</w:t>
      </w:r>
    </w:p>
    <w:p>
      <w:pPr>
        <w:ind w:left="1020" w:right="879" w:hanging="328"/>
        <w:spacing w:after="0" w:line="250"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and reporting systems and procedures; and</w:t>
      </w:r>
    </w:p>
    <w:p>
      <w:pPr>
        <w:ind w:left="1020" w:hanging="328"/>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attract and retain sufficient numbers of talented employees.</w:t>
      </w:r>
    </w:p>
    <w:p>
      <w:pPr>
        <w:spacing w:after="0" w:line="211" w:lineRule="exact"/>
        <w:rPr>
          <w:sz w:val="20"/>
          <w:szCs w:val="20"/>
          <w:color w:val="auto"/>
        </w:rPr>
      </w:pPr>
    </w:p>
    <w:p>
      <w:pPr>
        <w:ind w:left="40" w:right="219" w:firstLine="324"/>
        <w:spacing w:after="0" w:line="286" w:lineRule="auto"/>
        <w:rPr>
          <w:sz w:val="20"/>
          <w:szCs w:val="20"/>
          <w:color w:val="auto"/>
        </w:rPr>
      </w:pPr>
      <w:r>
        <w:rPr>
          <w:rFonts w:ascii="Arial" w:cs="Arial" w:eastAsia="Arial" w:hAnsi="Arial"/>
          <w:sz w:val="16"/>
          <w:szCs w:val="16"/>
          <w:color w:val="auto"/>
        </w:rPr>
        <w:t>We may utilize the services of third party vendors to perform tasks including pre-clinical and clinical trial management, statistics and analysis, regulatory affairs, medical advisory, market research, formulation development, chemistry, manufacturing and control activities, other drug development functions, legal, auditing, financial advisory, and investor relations. Our growth strategy may also entail expanding our group of contractors or consultants to implement these and other tasks going forward. Because we rely on numerous consultants, to outsource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 and, accordingly, may not achieve our research, development and commercialization goals.</w:t>
      </w:r>
    </w:p>
    <w:p>
      <w:pPr>
        <w:spacing w:after="0" w:line="171" w:lineRule="exact"/>
        <w:rPr>
          <w:sz w:val="20"/>
          <w:szCs w:val="20"/>
          <w:color w:val="auto"/>
        </w:rPr>
      </w:pPr>
    </w:p>
    <w:p>
      <w:pPr>
        <w:ind w:left="40" w:right="259"/>
        <w:spacing w:after="0" w:line="308" w:lineRule="auto"/>
        <w:rPr>
          <w:sz w:val="20"/>
          <w:szCs w:val="20"/>
          <w:color w:val="auto"/>
        </w:rPr>
      </w:pPr>
      <w:r>
        <w:rPr>
          <w:rFonts w:ascii="Arial" w:cs="Arial" w:eastAsia="Arial" w:hAnsi="Arial"/>
          <w:sz w:val="17"/>
          <w:szCs w:val="17"/>
          <w:b w:val="1"/>
          <w:bCs w:val="1"/>
          <w:i w:val="1"/>
          <w:iCs w:val="1"/>
          <w:color w:val="auto"/>
        </w:rPr>
        <w:t>We depend on our senior management team, and the loss of one or more of our executive officers or key employees or an inability to attract and retain highly skilled employees could adversely affect our business.</w:t>
      </w:r>
    </w:p>
    <w:p>
      <w:pPr>
        <w:spacing w:after="0" w:line="146" w:lineRule="exact"/>
        <w:rPr>
          <w:sz w:val="20"/>
          <w:szCs w:val="20"/>
          <w:color w:val="auto"/>
        </w:rPr>
      </w:pPr>
    </w:p>
    <w:p>
      <w:pPr>
        <w:ind w:left="40" w:right="79" w:firstLine="324"/>
        <w:spacing w:after="0" w:line="290" w:lineRule="auto"/>
        <w:rPr>
          <w:sz w:val="20"/>
          <w:szCs w:val="20"/>
          <w:color w:val="auto"/>
        </w:rPr>
      </w:pPr>
      <w:r>
        <w:rPr>
          <w:rFonts w:ascii="Arial" w:cs="Arial" w:eastAsia="Arial" w:hAnsi="Arial"/>
          <w:sz w:val="16"/>
          <w:szCs w:val="16"/>
          <w:color w:val="auto"/>
        </w:rPr>
        <w:t>Our success depends largely upon the continued services of our key executive officers, Vimal Mehta, our Chief Executive Officer, President, Secretary and Director and Frank Yocca, our Chief Scientific Officer, as well as the other principal members of our management, scientific and clinical team. We do not maintain “key person” insurance for any of these executive officers or any of our other key employees. We also rely on our leadership team in the areas of research and development, marketing, services and general and administrative functions. From time to time, there may be changes in our executive management and leadership teams resulting from the hiring or departure of executives or other key employees, which could disrupt our business. The replacement of one or more of our executive officers or other key employees would likely involve significant time and costs and may significantly delay or prevent the achievement of our business objectives.</w:t>
      </w:r>
    </w:p>
    <w:p>
      <w:pPr>
        <w:spacing w:after="0" w:line="165" w:lineRule="exact"/>
        <w:rPr>
          <w:sz w:val="20"/>
          <w:szCs w:val="20"/>
          <w:color w:val="auto"/>
        </w:rPr>
      </w:pPr>
    </w:p>
    <w:p>
      <w:pPr>
        <w:ind w:left="40" w:right="139" w:firstLine="324"/>
        <w:spacing w:after="0" w:line="286" w:lineRule="auto"/>
        <w:rPr>
          <w:sz w:val="20"/>
          <w:szCs w:val="20"/>
          <w:color w:val="auto"/>
        </w:rPr>
      </w:pPr>
      <w:r>
        <w:rPr>
          <w:rFonts w:ascii="Arial" w:cs="Arial" w:eastAsia="Arial" w:hAnsi="Arial"/>
          <w:sz w:val="17"/>
          <w:szCs w:val="17"/>
          <w:color w:val="auto"/>
        </w:rPr>
        <w:t>To continue to execute our growth strategy, we also must attract and retain highly skilled personnel. We might not be successful in maintaining our unique culture and continuing to attract and retain qualified personnel. We have from time to time in the past experienced, and we expect to continue to experience in the future, difficulty in hiring and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4" w:name="page55"/>
    <w:bookmarkEnd w:id="5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19"/>
        <w:spacing w:after="0" w:line="263" w:lineRule="auto"/>
        <w:rPr>
          <w:sz w:val="20"/>
          <w:szCs w:val="20"/>
          <w:color w:val="auto"/>
        </w:rPr>
      </w:pPr>
      <w:r>
        <w:rPr>
          <w:rFonts w:ascii="Arial" w:cs="Arial" w:eastAsia="Arial" w:hAnsi="Arial"/>
          <w:sz w:val="18"/>
          <w:szCs w:val="18"/>
          <w:color w:val="auto"/>
        </w:rPr>
        <w:t>retaining highly skilled personnel with appropriate qualifications. The pool of qualified personnel with experience working with the pharma market is limited overall. In addition, many of the companies with which we compete for experienced personnel have greater resources than we have.</w:t>
      </w:r>
    </w:p>
    <w:p>
      <w:pPr>
        <w:spacing w:after="0" w:line="184" w:lineRule="exact"/>
        <w:rPr>
          <w:sz w:val="20"/>
          <w:szCs w:val="20"/>
          <w:color w:val="auto"/>
        </w:rPr>
      </w:pPr>
    </w:p>
    <w:p>
      <w:pPr>
        <w:ind w:left="40" w:right="79" w:firstLine="324"/>
        <w:spacing w:after="0" w:line="254" w:lineRule="auto"/>
        <w:rPr>
          <w:sz w:val="20"/>
          <w:szCs w:val="20"/>
          <w:color w:val="auto"/>
        </w:rPr>
      </w:pPr>
      <w:r>
        <w:rPr>
          <w:rFonts w:ascii="Arial" w:cs="Arial" w:eastAsia="Arial" w:hAnsi="Arial"/>
          <w:sz w:val="18"/>
          <w:szCs w:val="18"/>
          <w:color w:val="auto"/>
        </w:rPr>
        <w:t>In addition, in making employment decisions, particularly in the internet, biotechnology and high-technology industries, job candidates often consider the value of the stock options or other equity instruments they are to receive in connection with their employment. Volatility in the price of our stock might, therefore, adversely affect our ability to attract or retain highly skilled personnel. Furthermore, the requirement to expense stock options and other equity instruments might discourage us from granting the size or type of stock option or equity awards that job candidates require to join our company. If we fail to attract new personnel or fail to retain and motivate our current personnel, our business and future growth prospects could be severely harmed.</w:t>
      </w:r>
    </w:p>
    <w:p>
      <w:pPr>
        <w:spacing w:after="0" w:line="195" w:lineRule="exact"/>
        <w:rPr>
          <w:sz w:val="20"/>
          <w:szCs w:val="20"/>
          <w:color w:val="auto"/>
        </w:rPr>
      </w:pPr>
    </w:p>
    <w:p>
      <w:pPr>
        <w:ind w:left="40" w:right="159" w:firstLine="324"/>
        <w:spacing w:after="0" w:line="277" w:lineRule="auto"/>
        <w:rPr>
          <w:sz w:val="20"/>
          <w:szCs w:val="20"/>
          <w:color w:val="auto"/>
        </w:rPr>
      </w:pPr>
      <w:r>
        <w:rPr>
          <w:rFonts w:ascii="Arial" w:cs="Arial" w:eastAsia="Arial" w:hAnsi="Arial"/>
          <w:sz w:val="18"/>
          <w:szCs w:val="18"/>
          <w:color w:val="auto"/>
        </w:rPr>
        <w:t>We may acquire other companies or technologies, which could divert our management’s attention, result in dilution to our stockholders and otherwise disrupt our operations and adversely affect our operating results.</w:t>
      </w:r>
    </w:p>
    <w:p>
      <w:pPr>
        <w:spacing w:after="0" w:line="170" w:lineRule="exact"/>
        <w:rPr>
          <w:sz w:val="20"/>
          <w:szCs w:val="20"/>
          <w:color w:val="auto"/>
        </w:rPr>
      </w:pPr>
    </w:p>
    <w:p>
      <w:pPr>
        <w:ind w:left="40" w:right="179" w:firstLine="324"/>
        <w:spacing w:after="0" w:line="301" w:lineRule="auto"/>
        <w:rPr>
          <w:sz w:val="20"/>
          <w:szCs w:val="20"/>
          <w:color w:val="auto"/>
        </w:rPr>
      </w:pPr>
      <w:r>
        <w:rPr>
          <w:rFonts w:ascii="Arial" w:cs="Arial" w:eastAsia="Arial" w:hAnsi="Arial"/>
          <w:sz w:val="16"/>
          <w:szCs w:val="16"/>
          <w:color w:val="auto"/>
        </w:rPr>
        <w:t>We may in the future seek to acquire or invest in businesses, applications and services or technologies that we believe could complement or expand our services,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w:t>
      </w:r>
    </w:p>
    <w:p>
      <w:pPr>
        <w:spacing w:after="0" w:line="157" w:lineRule="exact"/>
        <w:rPr>
          <w:sz w:val="20"/>
          <w:szCs w:val="20"/>
          <w:color w:val="auto"/>
        </w:rPr>
      </w:pPr>
    </w:p>
    <w:p>
      <w:pPr>
        <w:ind w:left="40" w:right="159" w:firstLine="324"/>
        <w:spacing w:after="0" w:line="259" w:lineRule="auto"/>
        <w:rPr>
          <w:sz w:val="20"/>
          <w:szCs w:val="20"/>
          <w:color w:val="auto"/>
        </w:rPr>
      </w:pPr>
      <w:r>
        <w:rPr>
          <w:rFonts w:ascii="Arial" w:cs="Arial" w:eastAsia="Arial" w:hAnsi="Arial"/>
          <w:sz w:val="18"/>
          <w:szCs w:val="18"/>
          <w:color w:val="auto"/>
        </w:rPr>
        <w:t>In addition, we do not have any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87" w:lineRule="exact"/>
        <w:rPr>
          <w:sz w:val="20"/>
          <w:szCs w:val="20"/>
          <w:color w:val="auto"/>
        </w:rPr>
      </w:pPr>
    </w:p>
    <w:p>
      <w:pPr>
        <w:ind w:left="1020" w:hanging="328"/>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integrate or benefit from acquired technologies or services in a profitable manner;</w:t>
      </w:r>
    </w:p>
    <w:p>
      <w:pPr>
        <w:spacing w:after="0" w:line="23" w:lineRule="exact"/>
        <w:rPr>
          <w:rFonts w:ascii="Arial" w:cs="Arial" w:eastAsia="Arial" w:hAnsi="Arial"/>
          <w:sz w:val="18"/>
          <w:szCs w:val="18"/>
          <w:color w:val="auto"/>
        </w:rPr>
      </w:pPr>
    </w:p>
    <w:p>
      <w:pPr>
        <w:ind w:left="1020" w:hanging="328"/>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difficulty integrating the accounting systems, operations and personnel of the acquired business;</w:t>
      </w:r>
    </w:p>
    <w:p>
      <w:pPr>
        <w:spacing w:after="0" w:line="9" w:lineRule="exact"/>
        <w:rPr>
          <w:rFonts w:ascii="Arial" w:cs="Arial" w:eastAsia="Arial" w:hAnsi="Arial"/>
          <w:sz w:val="18"/>
          <w:szCs w:val="18"/>
          <w:color w:val="auto"/>
        </w:rPr>
      </w:pPr>
    </w:p>
    <w:p>
      <w:pPr>
        <w:ind w:left="1020" w:right="239" w:hanging="328"/>
        <w:spacing w:after="0" w:line="250"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and additional expenses associated with supporting legacy products and hosting infrastructure of the acquired business;</w:t>
      </w:r>
    </w:p>
    <w:p>
      <w:pPr>
        <w:ind w:left="1020" w:right="239" w:hanging="328"/>
        <w:spacing w:after="0" w:line="281"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difficulty converting the customers of the acquired business onto our platform and contract terms, including disparities in the revenue, licensing, support or professional services model of the acquired company;</w:t>
      </w:r>
    </w:p>
    <w:p>
      <w:pPr>
        <w:spacing w:after="0" w:line="1" w:lineRule="exact"/>
        <w:rPr>
          <w:rFonts w:ascii="Arial" w:cs="Arial" w:eastAsia="Arial" w:hAnsi="Arial"/>
          <w:sz w:val="16"/>
          <w:szCs w:val="16"/>
          <w:color w:val="auto"/>
        </w:rPr>
      </w:pPr>
    </w:p>
    <w:p>
      <w:pPr>
        <w:ind w:left="1020" w:hanging="328"/>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9" w:lineRule="exact"/>
        <w:rPr>
          <w:rFonts w:ascii="Arial" w:cs="Arial" w:eastAsia="Arial" w:hAnsi="Arial"/>
          <w:sz w:val="18"/>
          <w:szCs w:val="18"/>
          <w:color w:val="auto"/>
        </w:rPr>
      </w:pPr>
    </w:p>
    <w:p>
      <w:pPr>
        <w:ind w:left="1020" w:right="279" w:hanging="328"/>
        <w:spacing w:after="0" w:line="250"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customers as a result of the acquisition;</w:t>
      </w:r>
    </w:p>
    <w:p>
      <w:pPr>
        <w:ind w:left="1020" w:hanging="328"/>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00" w:lineRule="exact"/>
        <w:rPr>
          <w:sz w:val="20"/>
          <w:szCs w:val="20"/>
          <w:color w:val="auto"/>
        </w:rPr>
      </w:pPr>
    </w:p>
    <w:p>
      <w:pPr>
        <w:spacing w:after="0" w:line="227" w:lineRule="exact"/>
        <w:rPr>
          <w:sz w:val="20"/>
          <w:szCs w:val="20"/>
          <w:color w:val="auto"/>
        </w:rPr>
      </w:pPr>
    </w:p>
    <w:p>
      <w:pPr>
        <w:ind w:left="40" w:right="79" w:firstLine="324"/>
        <w:spacing w:after="0" w:line="259" w:lineRule="auto"/>
        <w:rPr>
          <w:sz w:val="20"/>
          <w:szCs w:val="20"/>
          <w:color w:val="auto"/>
        </w:rPr>
      </w:pPr>
      <w:r>
        <w:rPr>
          <w:rFonts w:ascii="Arial" w:cs="Arial" w:eastAsia="Arial" w:hAnsi="Arial"/>
          <w:sz w:val="18"/>
          <w:szCs w:val="18"/>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87" w:lineRule="exact"/>
        <w:rPr>
          <w:sz w:val="20"/>
          <w:szCs w:val="20"/>
          <w:color w:val="auto"/>
        </w:rPr>
      </w:pPr>
    </w:p>
    <w:p>
      <w:pPr>
        <w:ind w:left="40" w:right="79" w:firstLine="324"/>
        <w:spacing w:after="0" w:line="263" w:lineRule="auto"/>
        <w:rPr>
          <w:sz w:val="20"/>
          <w:szCs w:val="20"/>
          <w:color w:val="auto"/>
        </w:rPr>
      </w:pPr>
      <w:r>
        <w:rPr>
          <w:rFonts w:ascii="Arial" w:cs="Arial" w:eastAsia="Arial" w:hAnsi="Arial"/>
          <w:sz w:val="18"/>
          <w:szCs w:val="18"/>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184" w:lineRule="exact"/>
        <w:rPr>
          <w:sz w:val="20"/>
          <w:szCs w:val="20"/>
          <w:color w:val="auto"/>
        </w:rPr>
      </w:pPr>
    </w:p>
    <w:p>
      <w:pPr>
        <w:ind w:left="40" w:right="619"/>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170" w:lineRule="exact"/>
        <w:rPr>
          <w:sz w:val="20"/>
          <w:szCs w:val="20"/>
          <w:color w:val="auto"/>
        </w:rPr>
      </w:pPr>
    </w:p>
    <w:p>
      <w:pPr>
        <w:ind w:left="40" w:right="99" w:firstLine="324"/>
        <w:spacing w:after="0" w:line="277" w:lineRule="auto"/>
        <w:rPr>
          <w:sz w:val="20"/>
          <w:szCs w:val="20"/>
          <w:color w:val="auto"/>
        </w:rPr>
      </w:pPr>
      <w:r>
        <w:rPr>
          <w:rFonts w:ascii="Arial" w:cs="Arial" w:eastAsia="Arial" w:hAnsi="Arial"/>
          <w:sz w:val="18"/>
          <w:szCs w:val="18"/>
          <w:color w:val="auto"/>
        </w:rPr>
        <w:t>We are exposed to the risk of employee fraud or other misconduct. Misconduct by employees could include intentional failures to comply with any regulations applicable to us, to provide accurate information to regulatory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5" w:name="page56"/>
    <w:bookmarkEnd w:id="5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19"/>
        <w:spacing w:after="0" w:line="269" w:lineRule="auto"/>
        <w:rPr>
          <w:sz w:val="20"/>
          <w:szCs w:val="20"/>
          <w:color w:val="auto"/>
        </w:rPr>
      </w:pPr>
      <w:r>
        <w:rPr>
          <w:rFonts w:ascii="Arial" w:cs="Arial" w:eastAsia="Arial" w:hAnsi="Arial"/>
          <w:sz w:val="17"/>
          <w:szCs w:val="17"/>
          <w:color w:val="auto"/>
        </w:rPr>
        <w:t>authorities, to comply with manufacturing standards we have established, to comply with federal and state healthcare fraud and abuse laws and regulations, or to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Business Conduct, but it is not always possible to identify and deter employee misconduct, and the precautions we take to detect and prevent this activity may not be effective in controlling unknown or unmanaged risk.</w:t>
      </w:r>
    </w:p>
    <w:p>
      <w:pPr>
        <w:spacing w:after="0" w:line="185" w:lineRule="exact"/>
        <w:rPr>
          <w:sz w:val="20"/>
          <w:szCs w:val="20"/>
          <w:color w:val="auto"/>
        </w:rPr>
      </w:pPr>
    </w:p>
    <w:p>
      <w:pPr>
        <w:ind w:left="40" w:right="279"/>
        <w:spacing w:after="0" w:line="277" w:lineRule="auto"/>
        <w:rPr>
          <w:sz w:val="20"/>
          <w:szCs w:val="20"/>
          <w:color w:val="auto"/>
        </w:rPr>
      </w:pPr>
      <w:r>
        <w:rPr>
          <w:rFonts w:ascii="Arial" w:cs="Arial" w:eastAsia="Arial" w:hAnsi="Arial"/>
          <w:sz w:val="18"/>
          <w:szCs w:val="18"/>
          <w:b w:val="1"/>
          <w:bCs w:val="1"/>
          <w:i w:val="1"/>
          <w:iCs w:val="1"/>
          <w:color w:val="auto"/>
        </w:rPr>
        <w:t>Business interruptions could adversely affect future operations, revenues, and financial conditions, and may increase our costs and expenses.</w:t>
      </w:r>
    </w:p>
    <w:p>
      <w:pPr>
        <w:spacing w:after="0" w:line="170" w:lineRule="exact"/>
        <w:rPr>
          <w:sz w:val="20"/>
          <w:szCs w:val="20"/>
          <w:color w:val="auto"/>
        </w:rPr>
      </w:pPr>
    </w:p>
    <w:p>
      <w:pPr>
        <w:ind w:left="40" w:right="119" w:firstLine="324"/>
        <w:spacing w:after="0" w:line="286" w:lineRule="auto"/>
        <w:rPr>
          <w:sz w:val="20"/>
          <w:szCs w:val="20"/>
          <w:color w:val="auto"/>
        </w:rPr>
      </w:pPr>
      <w:r>
        <w:rPr>
          <w:rFonts w:ascii="Arial" w:cs="Arial" w:eastAsia="Arial" w:hAnsi="Arial"/>
          <w:sz w:val="16"/>
          <w:szCs w:val="16"/>
          <w:color w:val="auto"/>
        </w:rPr>
        <w:t>Our operations, and those of our directors, advisors, contractors, consultants, CROs, and collaborators, could be adversely affected by earthquakes, floods, hurricanes, typhoons, extreme weather conditions, fires, water shortages, power failures, business systems failures, medical epidemics, pandemics such as the COVID-19 pandemic, and other natural and man-made disaster or business interruptions. Our phones, electronic devices and computer systems and those of our directors, advisors, contractors, consultants, CROs, and collaborators are vulnerable to damages, theft and accidental loss, negligence, unauthorized access, terrorism, war, electronic and telecommunications failures, and other natural and man-made disasters. Several of our employees conduct business outside of our headquarters and leased or owned facilities. These locations may be subject to additional security and other risk factors due to the limited control of our employees. If such an event as described above were to occur in the future, it may cause interruptions in our operations, delay research and development programs, clinical trials, regulatory activities, manufacturing and quality assurance activities, sales and marketing activities, hiring, training of employees and persons within associated third parties, and other business activities. For example, the loss of clinical trial data from completed or future clinical trials could result in delays in our regulatory approval efforts and significantly increase our costs to recover or reproduce the data.</w:t>
      </w:r>
    </w:p>
    <w:p>
      <w:pPr>
        <w:spacing w:after="0" w:line="174" w:lineRule="exact"/>
        <w:rPr>
          <w:sz w:val="20"/>
          <w:szCs w:val="20"/>
          <w:color w:val="auto"/>
        </w:rPr>
      </w:pPr>
    </w:p>
    <w:p>
      <w:pPr>
        <w:ind w:left="40" w:right="99" w:firstLine="324"/>
        <w:spacing w:after="0" w:line="255" w:lineRule="auto"/>
        <w:rPr>
          <w:sz w:val="20"/>
          <w:szCs w:val="20"/>
          <w:color w:val="auto"/>
        </w:rPr>
      </w:pPr>
      <w:r>
        <w:rPr>
          <w:rFonts w:ascii="Arial" w:cs="Arial" w:eastAsia="Arial" w:hAnsi="Arial"/>
          <w:sz w:val="18"/>
          <w:szCs w:val="18"/>
          <w:color w:val="auto"/>
        </w:rPr>
        <w:t>Likewise, we will rely on third parties to manufacture BXCL501 and BXCL701 and conduct clinical trials, and similar events as those described in the prior paragraph relating to their business systems, equipment and facilities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 could be delayed or altogether terminated.</w:t>
      </w:r>
    </w:p>
    <w:p>
      <w:pPr>
        <w:spacing w:after="0" w:line="192" w:lineRule="exact"/>
        <w:rPr>
          <w:sz w:val="20"/>
          <w:szCs w:val="20"/>
          <w:color w:val="auto"/>
        </w:rPr>
      </w:pPr>
    </w:p>
    <w:p>
      <w:pPr>
        <w:ind w:left="40" w:right="259"/>
        <w:spacing w:after="0" w:line="277" w:lineRule="auto"/>
        <w:rPr>
          <w:sz w:val="20"/>
          <w:szCs w:val="20"/>
          <w:color w:val="auto"/>
        </w:rPr>
      </w:pPr>
      <w:r>
        <w:rPr>
          <w:rFonts w:ascii="Arial" w:cs="Arial" w:eastAsia="Arial" w:hAnsi="Arial"/>
          <w:sz w:val="18"/>
          <w:szCs w:val="18"/>
          <w:b w:val="1"/>
          <w:bCs w:val="1"/>
          <w:i w:val="1"/>
          <w:iCs w:val="1"/>
          <w:color w:val="auto"/>
        </w:rPr>
        <w:t>Risks associated with data privacy issues, including evolving laws, regulations and associated compliance efforts, may adversely impact our business and financial results.</w:t>
      </w:r>
    </w:p>
    <w:p>
      <w:pPr>
        <w:spacing w:after="0" w:line="170" w:lineRule="exact"/>
        <w:rPr>
          <w:sz w:val="20"/>
          <w:szCs w:val="20"/>
          <w:color w:val="auto"/>
        </w:rPr>
      </w:pPr>
    </w:p>
    <w:p>
      <w:pPr>
        <w:ind w:left="40" w:right="59" w:firstLine="324"/>
        <w:spacing w:after="0" w:line="286" w:lineRule="auto"/>
        <w:rPr>
          <w:sz w:val="20"/>
          <w:szCs w:val="20"/>
          <w:color w:val="auto"/>
        </w:rPr>
      </w:pPr>
      <w:r>
        <w:rPr>
          <w:rFonts w:ascii="Arial" w:cs="Arial" w:eastAsia="Arial" w:hAnsi="Arial"/>
          <w:sz w:val="16"/>
          <w:szCs w:val="16"/>
          <w:color w:val="auto"/>
        </w:rPr>
        <w:t>Legislation in various countries around the world with regard to cybersecurity, privacy and data protection is rapidly expanding and creating a complex compliance environment. We are subject to many privacy and data protection laws and regulations in the U.S. and around the world, some of which place restrictions on our ability to process personal data across our business. In particular, the General Data Protection Regulation, or GDPR, which became effective in May 2018, has caused more stringent data protection requirements in the European Union. The GDPR imposes onerous accountability obligations requiring data controllers and processors to maintain a record of their data processing and implement policies as part of its mandated privacy governance framework. It also requires data controllers to be transparent and disclose to data subjects how their personal information is to be used; imposes limitations on retention of personal data; introduces mandatory data breach notification requirements; and sets higher standards for data controllers to demonstrate that they have obtained valid consent for certain data processing activities. To the extent we collect data from individuals in the European Union, we will be subject to the supervision of local data protection authorities in those E.U. jurisdictions where we are established or otherwise subject to the GDPR. Certain breaches of the GDPR requirements could result in substantial fines, which can be up to four percent of worldwide revenue or 20 million Euros, whichever is greater. In addition to the foregoing, a breach of the GDPR could result in regulatory investigations,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6" w:name="page57"/>
    <w:bookmarkEnd w:id="5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59"/>
        <w:spacing w:after="0" w:line="277" w:lineRule="auto"/>
        <w:rPr>
          <w:sz w:val="20"/>
          <w:szCs w:val="20"/>
          <w:color w:val="auto"/>
        </w:rPr>
      </w:pPr>
      <w:r>
        <w:rPr>
          <w:rFonts w:ascii="Arial" w:cs="Arial" w:eastAsia="Arial" w:hAnsi="Arial"/>
          <w:sz w:val="18"/>
          <w:szCs w:val="18"/>
          <w:color w:val="auto"/>
        </w:rPr>
        <w:t>reputational damage, orders to cease/change our use of data, enforcement notices, as well potential civil claims including class action type litigation where individuals suffered harm.</w:t>
      </w:r>
    </w:p>
    <w:p>
      <w:pPr>
        <w:spacing w:after="0" w:line="170" w:lineRule="exact"/>
        <w:rPr>
          <w:sz w:val="20"/>
          <w:szCs w:val="20"/>
          <w:color w:val="auto"/>
        </w:rPr>
      </w:pPr>
    </w:p>
    <w:p>
      <w:pPr>
        <w:ind w:left="40" w:right="159"/>
        <w:spacing w:after="0" w:line="277" w:lineRule="auto"/>
        <w:rPr>
          <w:sz w:val="20"/>
          <w:szCs w:val="20"/>
          <w:color w:val="auto"/>
        </w:rPr>
      </w:pPr>
      <w:r>
        <w:rPr>
          <w:rFonts w:ascii="Arial" w:cs="Arial" w:eastAsia="Arial" w:hAnsi="Arial"/>
          <w:sz w:val="18"/>
          <w:szCs w:val="18"/>
          <w:b w:val="1"/>
          <w:bCs w:val="1"/>
          <w:i w:val="1"/>
          <w:iCs w:val="1"/>
          <w:color w:val="auto"/>
        </w:rPr>
        <w:t>Our failure to successfully acquire, develop and market additional product candidates or approved drug products could impair our ability to grow.</w:t>
      </w:r>
    </w:p>
    <w:p>
      <w:pPr>
        <w:spacing w:after="0" w:line="170" w:lineRule="exact"/>
        <w:rPr>
          <w:sz w:val="20"/>
          <w:szCs w:val="20"/>
          <w:color w:val="auto"/>
        </w:rPr>
      </w:pPr>
    </w:p>
    <w:p>
      <w:pPr>
        <w:ind w:left="40" w:right="99" w:firstLine="324"/>
        <w:spacing w:after="0" w:line="287" w:lineRule="auto"/>
        <w:rPr>
          <w:sz w:val="20"/>
          <w:szCs w:val="20"/>
          <w:color w:val="auto"/>
        </w:rPr>
      </w:pPr>
      <w:r>
        <w:rPr>
          <w:rFonts w:ascii="Arial" w:cs="Arial" w:eastAsia="Arial" w:hAnsi="Arial"/>
          <w:sz w:val="16"/>
          <w:szCs w:val="16"/>
          <w:color w:val="auto"/>
        </w:rPr>
        <w:t>As part of our growth strategy, we may evaluate, acquire, license, develop and/or market additional product candidates and technologies. These investments will not constitute a significant portion of our business. However, our internal research capabilities are limited and we may be dependent upon pharmaceutical and biotechnology companies, academic scientists and other researchers to sell or license products or technology to us. The success of this strategy depends partly upon our ability to identify, select and acquire promising pharmaceutical product candidates and products. The process of proposing, negotiating and implementing a license or acquisition of a product candidate or approved product is lengthy and complex. Other companies, including some with substantially greater financial, marketing and sales resources, may compete with us for the license or acquisition of product candidates and approved products. We have limited resources to identify and execute the acquisition or in-licensing of third 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future acquisitions may entail numerous operational and financial risks, including:</w:t>
      </w:r>
    </w:p>
    <w:p>
      <w:pPr>
        <w:spacing w:after="0" w:line="225" w:lineRule="exact"/>
        <w:rPr>
          <w:sz w:val="20"/>
          <w:szCs w:val="20"/>
          <w:color w:val="auto"/>
        </w:rPr>
      </w:pPr>
    </w:p>
    <w:p>
      <w:pPr>
        <w:ind w:left="1020" w:hanging="328"/>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23" w:lineRule="exact"/>
        <w:rPr>
          <w:rFonts w:ascii="Arial" w:cs="Arial" w:eastAsia="Arial" w:hAnsi="Arial"/>
          <w:sz w:val="18"/>
          <w:szCs w:val="18"/>
          <w:color w:val="auto"/>
        </w:rPr>
      </w:pPr>
    </w:p>
    <w:p>
      <w:pPr>
        <w:ind w:left="1020" w:right="159" w:hanging="328"/>
        <w:spacing w:after="0" w:line="250"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and technical personnel’s time and attention to develop acquired products or technologies;</w:t>
      </w:r>
    </w:p>
    <w:p>
      <w:pPr>
        <w:ind w:left="1020" w:hanging="328"/>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securities to pay for acquisitions;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9" w:lineRule="exact"/>
        <w:rPr>
          <w:rFonts w:ascii="Arial" w:cs="Arial" w:eastAsia="Arial" w:hAnsi="Arial"/>
          <w:sz w:val="18"/>
          <w:szCs w:val="18"/>
          <w:color w:val="auto"/>
        </w:rPr>
      </w:pPr>
    </w:p>
    <w:p>
      <w:pPr>
        <w:ind w:left="1020" w:right="179" w:hanging="328"/>
        <w:spacing w:after="0" w:line="250"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difficulty and cost in combining the operations and personnel of any acquired businesses with our operations and personnel;</w:t>
      </w:r>
    </w:p>
    <w:p>
      <w:pPr>
        <w:ind w:left="1020" w:right="419" w:hanging="328"/>
        <w:spacing w:after="0" w:line="250"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impairment of relationships with key suppliers or customers of any acquired businesses due to changes in management and ownership; and</w:t>
      </w:r>
    </w:p>
    <w:p>
      <w:pPr>
        <w:ind w:left="1020" w:hanging="328"/>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211" w:lineRule="exact"/>
        <w:rPr>
          <w:sz w:val="20"/>
          <w:szCs w:val="20"/>
          <w:color w:val="auto"/>
        </w:rPr>
      </w:pPr>
    </w:p>
    <w:p>
      <w:pPr>
        <w:ind w:left="40" w:right="79" w:firstLine="324"/>
        <w:spacing w:after="0" w:line="255" w:lineRule="auto"/>
        <w:rPr>
          <w:sz w:val="20"/>
          <w:szCs w:val="20"/>
          <w:color w:val="auto"/>
        </w:rPr>
      </w:pPr>
      <w:r>
        <w:rPr>
          <w:rFonts w:ascii="Arial" w:cs="Arial" w:eastAsia="Arial" w:hAnsi="Arial"/>
          <w:sz w:val="18"/>
          <w:szCs w:val="18"/>
          <w:color w:val="auto"/>
        </w:rPr>
        <w:t>Any product candidate that we acquire may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products that we develop or approved products that we acquire will be manufactured profitably or achieve market acceptance.</w:t>
      </w:r>
    </w:p>
    <w:p>
      <w:pPr>
        <w:spacing w:after="0" w:line="192" w:lineRule="exact"/>
        <w:rPr>
          <w:sz w:val="20"/>
          <w:szCs w:val="20"/>
          <w:color w:val="auto"/>
        </w:rPr>
      </w:pPr>
    </w:p>
    <w:p>
      <w:pPr>
        <w:ind w:left="40" w:right="459"/>
        <w:spacing w:after="0" w:line="277" w:lineRule="auto"/>
        <w:rPr>
          <w:sz w:val="20"/>
          <w:szCs w:val="20"/>
          <w:color w:val="auto"/>
        </w:rPr>
      </w:pPr>
      <w:r>
        <w:rPr>
          <w:rFonts w:ascii="Arial" w:cs="Arial" w:eastAsia="Arial" w:hAnsi="Arial"/>
          <w:sz w:val="18"/>
          <w:szCs w:val="18"/>
          <w:b w:val="1"/>
          <w:bCs w:val="1"/>
          <w:i w:val="1"/>
          <w:iCs w:val="1"/>
          <w:color w:val="auto"/>
        </w:rPr>
        <w:t>Our ability to use net operating losses and research and development credits to offset future taxable income may be subject to certain limitations.</w:t>
      </w:r>
    </w:p>
    <w:p>
      <w:pPr>
        <w:spacing w:after="0" w:line="170" w:lineRule="exact"/>
        <w:rPr>
          <w:sz w:val="20"/>
          <w:szCs w:val="20"/>
          <w:color w:val="auto"/>
        </w:rPr>
      </w:pPr>
    </w:p>
    <w:p>
      <w:pPr>
        <w:ind w:left="40" w:right="79" w:firstLine="324"/>
        <w:spacing w:after="0" w:line="270" w:lineRule="auto"/>
        <w:rPr>
          <w:sz w:val="20"/>
          <w:szCs w:val="20"/>
          <w:color w:val="auto"/>
        </w:rPr>
      </w:pPr>
      <w:r>
        <w:rPr>
          <w:rFonts w:ascii="Arial" w:cs="Arial" w:eastAsia="Arial" w:hAnsi="Arial"/>
          <w:sz w:val="17"/>
          <w:szCs w:val="17"/>
          <w:color w:val="auto"/>
        </w:rPr>
        <w:t>As of December 31, 2019, we had federal and state net operating loss carryforwards, or NOLs, of approximately $16.4 million. Our NOLs arising before January 1, 2018 are subject to expiration and will begin to expire in 2037. As of December 31, 2019, we also had federal and state research and development and other tax credit carryforwards, or credits of approximately $1.3 million available to reduce future tax liabilities. The federal and state credits expire at various dates through 2037. These NOLs and credits could expire unused and be unavailable to offset future taxable income or income tax liabilities. In addition, in general, under Sections 382 and 383 of the Internal Revenue Code of 1986, as amended, or the Code, a corporation that undergoes an "ownership change" is subject to limitations on its ability to utilize its pre-change NOLs or credits to offset future taxable income or income tax liabilities. For these purposes, an ownership change generally occurs where the aggregate change in stock ownership of one or more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7" w:name="page58"/>
    <w:bookmarkEnd w:id="5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spacing w:after="0" w:line="270" w:lineRule="auto"/>
        <w:rPr>
          <w:sz w:val="20"/>
          <w:szCs w:val="20"/>
          <w:color w:val="auto"/>
        </w:rPr>
      </w:pPr>
      <w:r>
        <w:rPr>
          <w:rFonts w:ascii="Arial" w:cs="Arial" w:eastAsia="Arial" w:hAnsi="Arial"/>
          <w:sz w:val="17"/>
          <w:szCs w:val="17"/>
          <w:color w:val="auto"/>
        </w:rPr>
        <w:t>stockholders or groups of stockholders owning at least 5% of a corporation's stock exceeds 50 percentage points over a three-year period. Future changes in our stock ownership, including as a result of February 2020 offering of common stock, many of which are outside of our control, could result in an ownership change. Our NOLs or credits may also be impaired under state law. Accordingly, even if we attain profitability, we may not be able to utilize a material portion of our NOLs or credits. Furthermore, under the Tax Cuts and Jobs Act of 2017 and modified by the CARES Act signed on March 27, 2020, although the treatment of NOLs arising on or before December 31, 2017 has generally not changed, NOLs arising on or after January 1, 2018 and beyond may only be used to offset 80% of taxable income for tax years beginning after December 31, 2020. This change may require us to pay federal income taxes in future years despite generating a loss for federal income tax purposes in prior years.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spacing w:after="0" w:line="184" w:lineRule="exact"/>
        <w:rPr>
          <w:sz w:val="20"/>
          <w:szCs w:val="20"/>
          <w:color w:val="auto"/>
        </w:rPr>
      </w:pPr>
    </w:p>
    <w:p>
      <w:pPr>
        <w:ind w:left="40" w:right="119" w:firstLine="324"/>
        <w:spacing w:after="0" w:line="289" w:lineRule="auto"/>
        <w:rPr>
          <w:sz w:val="20"/>
          <w:szCs w:val="20"/>
          <w:color w:val="auto"/>
        </w:rPr>
      </w:pPr>
      <w:r>
        <w:rPr>
          <w:rFonts w:ascii="Arial" w:cs="Arial" w:eastAsia="Arial" w:hAnsi="Arial"/>
          <w:sz w:val="16"/>
          <w:szCs w:val="16"/>
          <w:color w:val="auto"/>
        </w:rPr>
        <w:t>Our commercial success will depend in part on obtaining and maintaining patent protection and trade secret protection of our current and future product candidates, the processes used to manufacture them and the methods for using them, as well as successfully defending these patents against third-party challenges. We are the owner of record of patents and patent applications pending in the United States and in certain foreign jurisdictions. We own Patent Cooperation Treaty, or PCT, patent applications relating to our platform technologies covering methods of use and applications of the platform technologies. As of February 20, 2020, we have three allowed patents, all ex-U.S., which are relevant to our BXCL701 program. We cannot be certain that any future patents will issue with claims that cover our product candidates. Our ability to stop third parties from making, using, selling, offering to sell or importing our product candidates is dependent upon the extent to which we have rights under valid and enforceable patents or trade secrets that cover these activities.</w:t>
      </w:r>
    </w:p>
    <w:p>
      <w:pPr>
        <w:spacing w:after="0" w:line="166" w:lineRule="exact"/>
        <w:rPr>
          <w:sz w:val="20"/>
          <w:szCs w:val="20"/>
          <w:color w:val="auto"/>
        </w:rPr>
      </w:pPr>
    </w:p>
    <w:p>
      <w:pPr>
        <w:ind w:left="40" w:right="199" w:firstLine="324"/>
        <w:spacing w:after="0" w:line="290" w:lineRule="auto"/>
        <w:rPr>
          <w:sz w:val="20"/>
          <w:szCs w:val="20"/>
          <w:color w:val="auto"/>
        </w:rPr>
      </w:pPr>
      <w:r>
        <w:rPr>
          <w:rFonts w:ascii="Arial" w:cs="Arial" w:eastAsia="Arial" w:hAnsi="Arial"/>
          <w:sz w:val="16"/>
          <w:szCs w:val="16"/>
          <w:color w:val="auto"/>
        </w:rPr>
        <w:t>The patent positions of biotechnology and pharmaceutical companies can be highly uncertain and involve complex legal and factual questions for which important legal principles remain unresolved. No consistent policy regarding the breadth of claims allowed in pharmaceutical patents has emerged to date in the United States or in foreign jurisdictions outside of the United States. Changes in either the patent laws or interpretations of patent laws in the United States and other countries may diminish the value of our intellectual property. Accordingly, we cannot predict the breadth of claims that may be enforced in the patents that may be issued from the applications we currently or may in the future own or license from third parties. Further, if any patents we obtain or license are deemed invalid and unenforceable, our ability to commercialize or license our technology could be adversely affected.</w:t>
      </w:r>
    </w:p>
    <w:p>
      <w:pPr>
        <w:spacing w:after="0" w:line="165" w:lineRule="exact"/>
        <w:rPr>
          <w:sz w:val="20"/>
          <w:szCs w:val="20"/>
          <w:color w:val="auto"/>
        </w:rPr>
      </w:pPr>
    </w:p>
    <w:p>
      <w:pPr>
        <w:ind w:left="40" w:right="139" w:firstLine="324"/>
        <w:spacing w:after="0" w:line="257" w:lineRule="auto"/>
        <w:rPr>
          <w:sz w:val="20"/>
          <w:szCs w:val="20"/>
          <w:color w:val="auto"/>
        </w:rPr>
      </w:pPr>
      <w:r>
        <w:rPr>
          <w:rFonts w:ascii="Arial" w:cs="Arial" w:eastAsia="Arial" w:hAnsi="Arial"/>
          <w:sz w:val="18"/>
          <w:szCs w:val="18"/>
          <w:color w:val="auto"/>
        </w:rPr>
        <w:t>Others have filed, and in the future are likely to file, patent applications covering products and technologies that are similar, identical or competitive to ours or important to our business. We cannot be certain that any patent application owned by a third party will not have priority over patent applications filed or in-licensed by us, or that we or our licensors will not be involved in interference, opposition, reexamination, review, reissue, post grant review or invalidity proceedings before U.S. or non-U.S. patent offices.</w:t>
      </w:r>
    </w:p>
    <w:p>
      <w:pPr>
        <w:spacing w:after="0" w:line="188" w:lineRule="exact"/>
        <w:rPr>
          <w:sz w:val="20"/>
          <w:szCs w:val="20"/>
          <w:color w:val="auto"/>
        </w:rPr>
      </w:pPr>
    </w:p>
    <w:p>
      <w:pPr>
        <w:ind w:left="40" w:right="179" w:firstLine="324"/>
        <w:spacing w:after="0" w:line="342" w:lineRule="auto"/>
        <w:rPr>
          <w:sz w:val="20"/>
          <w:szCs w:val="20"/>
          <w:color w:val="auto"/>
        </w:rPr>
      </w:pPr>
      <w:r>
        <w:rPr>
          <w:rFonts w:ascii="Arial" w:cs="Arial" w:eastAsia="Arial" w:hAnsi="Arial"/>
          <w:sz w:val="16"/>
          <w:szCs w:val="16"/>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24" w:lineRule="exact"/>
        <w:rPr>
          <w:sz w:val="20"/>
          <w:szCs w:val="20"/>
          <w:color w:val="auto"/>
        </w:rPr>
      </w:pPr>
    </w:p>
    <w:p>
      <w:pPr>
        <w:ind w:left="1020" w:right="139" w:hanging="328"/>
        <w:spacing w:after="0" w:line="258"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our patents;</w:t>
      </w:r>
    </w:p>
    <w:p>
      <w:pPr>
        <w:spacing w:after="0" w:line="1" w:lineRule="exact"/>
        <w:rPr>
          <w:rFonts w:ascii="Arial" w:cs="Arial" w:eastAsia="Arial" w:hAnsi="Arial"/>
          <w:sz w:val="18"/>
          <w:szCs w:val="18"/>
          <w:color w:val="auto"/>
        </w:rPr>
      </w:pPr>
    </w:p>
    <w:p>
      <w:pPr>
        <w:ind w:left="1020" w:hanging="328"/>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our pending patent applications;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pending patent applications may not result in issued patents;</w:t>
      </w:r>
    </w:p>
    <w:p>
      <w:pPr>
        <w:spacing w:after="0" w:line="9" w:lineRule="exact"/>
        <w:rPr>
          <w:rFonts w:ascii="Arial" w:cs="Arial" w:eastAsia="Arial" w:hAnsi="Arial"/>
          <w:sz w:val="18"/>
          <w:szCs w:val="18"/>
          <w:color w:val="auto"/>
        </w:rPr>
      </w:pPr>
    </w:p>
    <w:p>
      <w:pPr>
        <w:ind w:left="1020" w:right="399" w:hanging="328"/>
        <w:spacing w:after="0" w:line="250"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claims of our issued patents or patent applications when issued may not cover our products or product candidates;</w:t>
      </w:r>
    </w:p>
    <w:p>
      <w:pPr>
        <w:ind w:left="1020" w:hanging="328"/>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patents that we obtain may not provide us with any competitive advantages;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8" w:name="page59"/>
    <w:bookmarkEnd w:id="5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hanging="328"/>
        <w:spacing w:after="0"/>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granted patents may be held invalid or unenforceable as a result of legal challenges by third parties; and</w:t>
      </w:r>
    </w:p>
    <w:p>
      <w:pPr>
        <w:spacing w:after="0" w:line="46" w:lineRule="exact"/>
        <w:rPr>
          <w:rFonts w:ascii="Arial" w:cs="Arial" w:eastAsia="Arial" w:hAnsi="Arial"/>
          <w:sz w:val="16"/>
          <w:szCs w:val="16"/>
          <w:color w:val="auto"/>
        </w:rPr>
      </w:pPr>
    </w:p>
    <w:p>
      <w:pPr>
        <w:ind w:left="1020" w:hanging="328"/>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11" w:lineRule="exact"/>
        <w:rPr>
          <w:sz w:val="20"/>
          <w:szCs w:val="20"/>
          <w:color w:val="auto"/>
        </w:rPr>
      </w:pPr>
    </w:p>
    <w:p>
      <w:pPr>
        <w:ind w:left="40" w:right="319"/>
        <w:spacing w:after="0" w:line="286" w:lineRule="auto"/>
        <w:rPr>
          <w:sz w:val="20"/>
          <w:szCs w:val="20"/>
          <w:color w:val="auto"/>
        </w:rPr>
      </w:pPr>
      <w:r>
        <w:rPr>
          <w:rFonts w:ascii="Arial" w:cs="Arial" w:eastAsia="Arial" w:hAnsi="Arial"/>
          <w:sz w:val="17"/>
          <w:szCs w:val="17"/>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65" w:lineRule="exact"/>
        <w:rPr>
          <w:sz w:val="20"/>
          <w:szCs w:val="20"/>
          <w:color w:val="auto"/>
        </w:rPr>
      </w:pPr>
    </w:p>
    <w:p>
      <w:pPr>
        <w:ind w:left="40" w:right="119" w:firstLine="324"/>
        <w:spacing w:after="0" w:line="268" w:lineRule="auto"/>
        <w:rPr>
          <w:sz w:val="20"/>
          <w:szCs w:val="20"/>
          <w:color w:val="auto"/>
        </w:rPr>
      </w:pPr>
      <w:r>
        <w:rPr>
          <w:rFonts w:ascii="Arial" w:cs="Arial" w:eastAsia="Arial" w:hAnsi="Arial"/>
          <w:sz w:val="17"/>
          <w:szCs w:val="17"/>
          <w:color w:val="auto"/>
        </w:rPr>
        <w:t>Periodic maintenance, renewal and annuity fees and various other government fees on any issued patent and pending patent application must be paid to the U.S. Patent and Trademark Office (“USPTO”) and foreign patent agencies in several stages or annually over the lifetime of our owned and in-licensed patents and patent applications.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186" w:lineRule="exact"/>
        <w:rPr>
          <w:sz w:val="20"/>
          <w:szCs w:val="20"/>
          <w:color w:val="auto"/>
        </w:rPr>
      </w:pPr>
    </w:p>
    <w:p>
      <w:pPr>
        <w:ind w:left="40" w:right="99"/>
        <w:spacing w:after="0" w:line="263"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may license intellectual property rights from third parties or otherwise experience disruptions to our business relationships with our licensors, we could lose rights that are important to our business.</w:t>
      </w:r>
    </w:p>
    <w:p>
      <w:pPr>
        <w:spacing w:after="0" w:line="184" w:lineRule="exact"/>
        <w:rPr>
          <w:sz w:val="20"/>
          <w:szCs w:val="20"/>
          <w:color w:val="auto"/>
        </w:rPr>
      </w:pPr>
    </w:p>
    <w:p>
      <w:pPr>
        <w:ind w:left="40" w:right="59" w:firstLine="324"/>
        <w:spacing w:after="0" w:line="290" w:lineRule="auto"/>
        <w:rPr>
          <w:sz w:val="20"/>
          <w:szCs w:val="20"/>
          <w:color w:val="auto"/>
        </w:rPr>
      </w:pPr>
      <w:r>
        <w:rPr>
          <w:rFonts w:ascii="Arial" w:cs="Arial" w:eastAsia="Arial" w:hAnsi="Arial"/>
          <w:sz w:val="16"/>
          <w:szCs w:val="16"/>
          <w:color w:val="auto"/>
        </w:rPr>
        <w:t>We may be required to enter into intellectual property license agreements that are important to our business. These license agreements may impose various diligence, milestone payment, royalty and other obligations on us. For example, we may enter into exclusive license agreements with various universities and research institutions, we may be required to use commercially reasonable efforts to engage in various development and commercialization activities with respect to licensed products, and may need to satisfy specified milestone and royalty payment obligations. If we fail to comply with any obligations under our agreements with any of these licensors, we may be subject to termination of the license agreement in whole or in part; increased financial obligations to our licensors or loss of exclusivity in a particular field or territory, in which case our ability to develop or commercialize products covered by the license agreement will be impaired.</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disputes may arise regarding intellectual property subject to a license agreement, including:</w:t>
      </w:r>
    </w:p>
    <w:p>
      <w:pPr>
        <w:spacing w:after="0" w:line="225" w:lineRule="exact"/>
        <w:rPr>
          <w:sz w:val="20"/>
          <w:szCs w:val="20"/>
          <w:color w:val="auto"/>
        </w:rPr>
      </w:pPr>
    </w:p>
    <w:p>
      <w:pPr>
        <w:ind w:left="1020" w:hanging="328"/>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3" w:lineRule="exact"/>
        <w:rPr>
          <w:rFonts w:ascii="Arial" w:cs="Arial" w:eastAsia="Arial" w:hAnsi="Arial"/>
          <w:sz w:val="18"/>
          <w:szCs w:val="18"/>
          <w:color w:val="auto"/>
        </w:rPr>
      </w:pPr>
    </w:p>
    <w:p>
      <w:pPr>
        <w:ind w:left="1020" w:right="299" w:hanging="328"/>
        <w:spacing w:after="0" w:line="250"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ind w:left="1020" w:hanging="328"/>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obligations;</w:t>
      </w:r>
    </w:p>
    <w:p>
      <w:pPr>
        <w:spacing w:after="0" w:line="9" w:lineRule="exact"/>
        <w:rPr>
          <w:rFonts w:ascii="Arial" w:cs="Arial" w:eastAsia="Arial" w:hAnsi="Arial"/>
          <w:sz w:val="18"/>
          <w:szCs w:val="18"/>
          <w:color w:val="auto"/>
        </w:rPr>
      </w:pPr>
    </w:p>
    <w:p>
      <w:pPr>
        <w:ind w:left="1020" w:right="79" w:hanging="328"/>
        <w:spacing w:after="0" w:line="250"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 third-party expresses interest in an area under a license that we are not pursuing, under the terms of certain of our license agreements, we may be required to sublicense rights in that area to a third party, and that sublicense could harm our business; and</w:t>
      </w:r>
    </w:p>
    <w:p>
      <w:pPr>
        <w:spacing w:after="0" w:line="1" w:lineRule="exact"/>
        <w:rPr>
          <w:rFonts w:ascii="Arial" w:cs="Arial" w:eastAsia="Arial" w:hAnsi="Arial"/>
          <w:sz w:val="18"/>
          <w:szCs w:val="18"/>
          <w:color w:val="auto"/>
        </w:rPr>
      </w:pPr>
    </w:p>
    <w:p>
      <w:pPr>
        <w:ind w:left="1020" w:right="139" w:hanging="328"/>
        <w:spacing w:after="0" w:line="260"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w:t>
      </w:r>
    </w:p>
    <w:p>
      <w:pPr>
        <w:spacing w:after="0" w:line="185" w:lineRule="exact"/>
        <w:rPr>
          <w:sz w:val="20"/>
          <w:szCs w:val="20"/>
          <w:color w:val="auto"/>
        </w:rPr>
      </w:pPr>
    </w:p>
    <w:p>
      <w:pPr>
        <w:ind w:left="40" w:right="419" w:firstLine="324"/>
        <w:spacing w:after="0" w:line="263"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9" w:name="page60"/>
    <w:bookmarkEnd w:id="5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239" w:firstLine="324"/>
        <w:spacing w:after="0" w:line="259" w:lineRule="auto"/>
        <w:rPr>
          <w:sz w:val="20"/>
          <w:szCs w:val="20"/>
          <w:color w:val="auto"/>
        </w:rPr>
      </w:pPr>
      <w:r>
        <w:rPr>
          <w:rFonts w:ascii="Arial" w:cs="Arial" w:eastAsia="Arial" w:hAnsi="Arial"/>
          <w:sz w:val="18"/>
          <w:szCs w:val="18"/>
          <w:color w:val="auto"/>
        </w:rPr>
        <w:t>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one or more of our product candidates, which could harm our business significantly.</w:t>
      </w:r>
    </w:p>
    <w:p>
      <w:pPr>
        <w:spacing w:after="0" w:line="187" w:lineRule="exact"/>
        <w:rPr>
          <w:sz w:val="20"/>
          <w:szCs w:val="20"/>
          <w:color w:val="auto"/>
        </w:rPr>
      </w:pPr>
    </w:p>
    <w:p>
      <w:pPr>
        <w:jc w:val="center"/>
        <w:ind w:right="259"/>
        <w:spacing w:after="0"/>
        <w:rPr>
          <w:sz w:val="20"/>
          <w:szCs w:val="20"/>
          <w:color w:val="auto"/>
        </w:rPr>
      </w:pPr>
      <w:r>
        <w:rPr>
          <w:rFonts w:ascii="Arial" w:cs="Arial" w:eastAsia="Arial" w:hAnsi="Arial"/>
          <w:sz w:val="15"/>
          <w:szCs w:val="15"/>
          <w:b w:val="1"/>
          <w:bCs w:val="1"/>
          <w:i w:val="1"/>
          <w:iCs w:val="1"/>
          <w:color w:val="auto"/>
        </w:rPr>
        <w:t>We may be subject to claims challenging the inventorship or ownership of our patents and other intellectual property.</w:t>
      </w:r>
    </w:p>
    <w:p>
      <w:pPr>
        <w:spacing w:after="0" w:line="260" w:lineRule="exact"/>
        <w:rPr>
          <w:sz w:val="20"/>
          <w:szCs w:val="20"/>
          <w:color w:val="auto"/>
        </w:rPr>
      </w:pPr>
    </w:p>
    <w:p>
      <w:pPr>
        <w:ind w:left="40" w:right="199" w:firstLine="324"/>
        <w:spacing w:after="0" w:line="288"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68" w:lineRule="exact"/>
        <w:rPr>
          <w:sz w:val="20"/>
          <w:szCs w:val="20"/>
          <w:color w:val="auto"/>
        </w:rPr>
      </w:pPr>
    </w:p>
    <w:p>
      <w:pPr>
        <w:ind w:left="40" w:right="559"/>
        <w:spacing w:after="0" w:line="308" w:lineRule="auto"/>
        <w:rPr>
          <w:sz w:val="20"/>
          <w:szCs w:val="20"/>
          <w:color w:val="auto"/>
        </w:rPr>
      </w:pPr>
      <w:r>
        <w:rPr>
          <w:rFonts w:ascii="Arial" w:cs="Arial" w:eastAsia="Arial" w:hAnsi="Arial"/>
          <w:sz w:val="17"/>
          <w:szCs w:val="17"/>
          <w:b w:val="1"/>
          <w:bCs w:val="1"/>
          <w:i w:val="1"/>
          <w:iCs w:val="1"/>
          <w:color w:val="auto"/>
        </w:rPr>
        <w:t>An NDA submitted under Section 505(b)(2) subjects us to the risk that we may be subject to a patent infringement lawsuit that would delay or prevent the review or approval of our product candidate.</w:t>
      </w:r>
    </w:p>
    <w:p>
      <w:pPr>
        <w:spacing w:after="0" w:line="146" w:lineRule="exact"/>
        <w:rPr>
          <w:sz w:val="20"/>
          <w:szCs w:val="20"/>
          <w:color w:val="auto"/>
        </w:rPr>
      </w:pPr>
    </w:p>
    <w:p>
      <w:pPr>
        <w:ind w:left="40" w:right="159" w:firstLine="324"/>
        <w:spacing w:after="0" w:line="287" w:lineRule="auto"/>
        <w:rPr>
          <w:sz w:val="20"/>
          <w:szCs w:val="20"/>
          <w:color w:val="auto"/>
        </w:rPr>
      </w:pPr>
      <w:r>
        <w:rPr>
          <w:rFonts w:ascii="Arial" w:cs="Arial" w:eastAsia="Arial" w:hAnsi="Arial"/>
          <w:sz w:val="16"/>
          <w:szCs w:val="16"/>
          <w:color w:val="auto"/>
        </w:rPr>
        <w:t>Our product candidates will be submitted to the FDA for approval under Section 505(b)(2) of the Federal Food, Drug and Cosmetic Act, or FDCA. Section 505(b)(2) permits the submission of an NDA where at least some of the information required for approval comes from studies that were not conducted by, or for, the applicant and on which the applicant has not obtained a right of reference. The 505(b)(2) application would enable us to reference published literature and/or the FDA’s previous findings of safety and effectiveness for a branded reference drug with the same active ingredient. For NDAs submitted under Section 505(b)(2) of the FDCA, the patent certification and related provisions of the Drug Price Competition and Patent Term Restoration Act of 1984, also known as the Hatch-Waxman Act, apply. In accordance with the Hatch-Waxman Act, such NDAs may be required to include certifications, known as paragraph IV certifications, that certify that any patents listed in the Patent and Exclusivity Information Addendum of the FDA’s publication, Approved Drug Products with Therapeutic Equivalence Evaluations, commonly known as the Orange Book, with respect to any product referenced in the 505(b)(2) application, are invalid, unenforceable or will not be infringed by the manufacture, use or sale of the product that is the subject of the 505(b)(2) NDA.</w:t>
      </w:r>
    </w:p>
    <w:p>
      <w:pPr>
        <w:spacing w:after="0" w:line="168" w:lineRule="exact"/>
        <w:rPr>
          <w:sz w:val="20"/>
          <w:szCs w:val="20"/>
          <w:color w:val="auto"/>
        </w:rPr>
      </w:pPr>
    </w:p>
    <w:p>
      <w:pPr>
        <w:ind w:left="40" w:right="79" w:firstLine="324"/>
        <w:spacing w:after="0" w:line="286" w:lineRule="auto"/>
        <w:rPr>
          <w:sz w:val="20"/>
          <w:szCs w:val="20"/>
          <w:color w:val="auto"/>
        </w:rPr>
      </w:pPr>
      <w:r>
        <w:rPr>
          <w:rFonts w:ascii="Arial" w:cs="Arial" w:eastAsia="Arial" w:hAnsi="Arial"/>
          <w:sz w:val="16"/>
          <w:szCs w:val="16"/>
          <w:color w:val="auto"/>
        </w:rPr>
        <w:t>Under the Hatch-Waxman Act, the holder of patents that the 505(b)(2) application references may file a patent infringement lawsuit after receiving notice of the paragraph IV certification. Filing of a patent infringement lawsuit against the filer of the 505(b)(2) applicant within 45 days of the patent owner’s receipt of notice triggers a one-time, automatic, 30 month stay of the FDA’s ability to approve the 505(b)(2) NDA, unless patent litigation is resolved in the favor of the paragraph IV filer or the patent expires before that time. Accordingly, we may invest a significant amount of time and expense in the development of one or more product candidates only to be subject to significant delay and patent litigation before such product candidates may be commercialized, if at all. In addition, a 505(b)(2) application will not be approved until any non-patent exclusivity, such as exclusivity for obtaining approval of a new chemical entity, or NCE, listed in the Orange Book for the branded reference drug product has expired. The FDA may also require us to perform one or more additional clinical studies or measurements to support the change from the branded reference drug, which could be time consuming and could substantially delay our achievement of regulatory approvals for such product candidates. The FDA may also reject our future 505(b)(2) submissions and require us to file such submissions under Section 505(b)(1) of the FDCA, which would require us to provide extensive data to establish safety and effectiveness of the drug product for the proposed use and could cause delay and be considerably more expensive and time consuming. These factors, among others, may limit our ability to successfully commercialize our product candidates.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0" w:name="page61"/>
    <w:bookmarkEnd w:id="6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379"/>
        <w:spacing w:after="0" w:line="277"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patents and other intellectual property rights.</w:t>
      </w:r>
    </w:p>
    <w:p>
      <w:pPr>
        <w:spacing w:after="0" w:line="170" w:lineRule="exact"/>
        <w:rPr>
          <w:sz w:val="20"/>
          <w:szCs w:val="20"/>
          <w:color w:val="auto"/>
        </w:rPr>
      </w:pPr>
    </w:p>
    <w:p>
      <w:pPr>
        <w:ind w:left="40" w:right="99" w:firstLine="324"/>
        <w:spacing w:after="0" w:line="286" w:lineRule="auto"/>
        <w:rPr>
          <w:sz w:val="20"/>
          <w:szCs w:val="20"/>
          <w:color w:val="auto"/>
        </w:rPr>
      </w:pPr>
      <w:r>
        <w:rPr>
          <w:rFonts w:ascii="Arial" w:cs="Arial" w:eastAsia="Arial" w:hAnsi="Arial"/>
          <w:sz w:val="16"/>
          <w:szCs w:val="16"/>
          <w:color w:val="auto"/>
        </w:rPr>
        <w:t>If we choose to commence a proceeding or litigation to prevent another party from infringing our patents, that party will have the right to ask the examiner or court to rule that our patents are invalid or should not be enforced against them. There is a risk that the examiner or court will decide that our patents are not valid and that we do not have the right to stop the other party from using the related inventions. There is also the risk that, even if the validity of our patents is upheld, the examiner or court will refuse to stop the other party on the ground that such other party’s activities do not infringe our rights to such patents. In addition, the U.S. Supreme Court has recently modified some tests used by the U.S. Patent and Trademark Office, or USPTO, in granting patents over the past 20 years, which may decrease the likelihood that we will be able to obtain patents and increase the likelihood of challenge to any patents we obtain or license. Any proceedings or litigation to enforce our intellectual property rights or defend ourselves against claims of infringement of third-party intellectual property rights could be costly and divert the attention of managerial and scientific personnel, regardless of whether such litigation is ultimately resolved in our favor. We may not have sufficient resources to bring these actions to a successful conclusion. Moreover, if we are unable to successfully defend against claims that we have infringed the intellectual property rights of others, we may be prevented from using certain intellectual property and may be liable for damages, which in turn could materially adversely affect our business, financial condition or results of operations.</w:t>
      </w:r>
    </w:p>
    <w:p>
      <w:pPr>
        <w:spacing w:after="0" w:line="171" w:lineRule="exact"/>
        <w:rPr>
          <w:sz w:val="20"/>
          <w:szCs w:val="20"/>
          <w:color w:val="auto"/>
        </w:rPr>
      </w:pPr>
    </w:p>
    <w:p>
      <w:pPr>
        <w:ind w:left="40" w:right="419"/>
        <w:spacing w:after="0" w:line="286"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misappropriating or otherwise violating their intellectual property rights, which may prevent or delay our product development efforts and stop us from commercializing or increase the costs of commercializing our product candidates.</w:t>
      </w:r>
    </w:p>
    <w:p>
      <w:pPr>
        <w:spacing w:after="0" w:line="165" w:lineRule="exact"/>
        <w:rPr>
          <w:sz w:val="20"/>
          <w:szCs w:val="20"/>
          <w:color w:val="auto"/>
        </w:rPr>
      </w:pPr>
    </w:p>
    <w:p>
      <w:pPr>
        <w:ind w:left="40" w:right="79" w:firstLine="324"/>
        <w:spacing w:after="0" w:line="285" w:lineRule="auto"/>
        <w:rPr>
          <w:sz w:val="20"/>
          <w:szCs w:val="20"/>
          <w:color w:val="auto"/>
        </w:rPr>
      </w:pPr>
      <w:r>
        <w:rPr>
          <w:rFonts w:ascii="Arial" w:cs="Arial" w:eastAsia="Arial" w:hAnsi="Arial"/>
          <w:sz w:val="16"/>
          <w:szCs w:val="16"/>
          <w:color w:val="auto"/>
        </w:rPr>
        <w:t>Our success will depend in part on our ability to operate without infringing, misappropriating or otherwise violating the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products, or the manufacture or use of our product candidates, including interference proceedings, post grant review, inter partes review, and derivation proceedings before the USPTO and similar proceedings in foreign jurisdictions. The legal threshold for initiating litigation or contested proceedings is low, so that even lawsuits or proceedings with a low probability of success might be initiated and require significant resources to defend. The costs of these lawsuits could affect our results of operations and divert the attention of managerial and scientific personnel. Some of these third parties may be better capitalized and have more resources than us. There is a risk that a court would decide that we are infringing the third party’s patents and would order us to stop the activities covered by the patents. In that event, we may not have a viable way around the patent and may need to halt commercialization of the relevant product candidate. In addition, there is a risk that a court will order us to pay the other party damages for having violated the other party’s patents. In addition, we may be obligated to indemnify our licensors and collaborators against certain intellectual property infringement claims brought by third parties, which could require us to expend additional resources. 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w:t>
      </w:r>
    </w:p>
    <w:p>
      <w:pPr>
        <w:spacing w:after="0" w:line="174" w:lineRule="exact"/>
        <w:rPr>
          <w:sz w:val="20"/>
          <w:szCs w:val="20"/>
          <w:color w:val="auto"/>
        </w:rPr>
      </w:pPr>
    </w:p>
    <w:p>
      <w:pPr>
        <w:ind w:left="40" w:right="79" w:firstLine="324"/>
        <w:spacing w:after="0" w:line="269" w:lineRule="auto"/>
        <w:rPr>
          <w:sz w:val="20"/>
          <w:szCs w:val="20"/>
          <w:color w:val="auto"/>
        </w:rPr>
      </w:pPr>
      <w:r>
        <w:rPr>
          <w:rFonts w:ascii="Arial" w:cs="Arial" w:eastAsia="Arial" w:hAnsi="Arial"/>
          <w:sz w:val="17"/>
          <w:szCs w:val="17"/>
          <w:color w:val="auto"/>
        </w:rPr>
        <w:t>If we are sued for patent infringement, we would need to demonstrate that our products or methods either do not infringe the patent claims of the relevant patent or that the patent claims are invalid,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 substantial monetary damages, encounter significant delays in bringing our product candidates to market and be precluded from manufacturing or selling our product candidates.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1" w:name="page62"/>
    <w:bookmarkEnd w:id="6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firstLine="324"/>
        <w:spacing w:after="0" w:line="277" w:lineRule="auto"/>
        <w:rPr>
          <w:sz w:val="20"/>
          <w:szCs w:val="20"/>
          <w:color w:val="auto"/>
        </w:rPr>
      </w:pPr>
      <w:r>
        <w:rPr>
          <w:rFonts w:ascii="Arial" w:cs="Arial" w:eastAsia="Arial" w:hAnsi="Arial"/>
          <w:sz w:val="18"/>
          <w:szCs w:val="18"/>
          <w:color w:val="auto"/>
        </w:rPr>
        <w:t>We cannot be certain that others have not filed patent applications for technology covered by our pending applications, or that we were the first to invent the technology, because:</w:t>
      </w:r>
    </w:p>
    <w:p>
      <w:pPr>
        <w:spacing w:after="0" w:line="170" w:lineRule="exact"/>
        <w:rPr>
          <w:sz w:val="20"/>
          <w:szCs w:val="20"/>
          <w:color w:val="auto"/>
        </w:rPr>
      </w:pPr>
    </w:p>
    <w:p>
      <w:pPr>
        <w:ind w:left="1020" w:hanging="328"/>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some patent applications in the United States may be maintained in secrecy until the patents are issued;</w:t>
      </w:r>
    </w:p>
    <w:p>
      <w:pPr>
        <w:spacing w:after="0" w:line="34" w:lineRule="exact"/>
        <w:rPr>
          <w:rFonts w:ascii="Arial" w:cs="Arial" w:eastAsia="Arial" w:hAnsi="Arial"/>
          <w:sz w:val="17"/>
          <w:szCs w:val="17"/>
          <w:color w:val="auto"/>
        </w:rPr>
      </w:pPr>
    </w:p>
    <w:p>
      <w:pPr>
        <w:ind w:left="1020" w:hanging="328"/>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patent applications in the United States are typically not published until 18 months after the priority date; and</w:t>
      </w:r>
    </w:p>
    <w:p>
      <w:pPr>
        <w:spacing w:after="0" w:line="32" w:lineRule="exact"/>
        <w:rPr>
          <w:rFonts w:ascii="Arial" w:cs="Arial" w:eastAsia="Arial" w:hAnsi="Arial"/>
          <w:sz w:val="16"/>
          <w:szCs w:val="16"/>
          <w:color w:val="auto"/>
        </w:rPr>
      </w:pPr>
    </w:p>
    <w:p>
      <w:pPr>
        <w:ind w:left="1020" w:hanging="328"/>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publications in the scientific literature often lag behind actual discoveries.</w:t>
      </w:r>
    </w:p>
    <w:p>
      <w:pPr>
        <w:spacing w:after="0" w:line="211" w:lineRule="exact"/>
        <w:rPr>
          <w:sz w:val="20"/>
          <w:szCs w:val="20"/>
          <w:color w:val="auto"/>
        </w:rPr>
      </w:pPr>
    </w:p>
    <w:p>
      <w:pPr>
        <w:ind w:left="40" w:right="79" w:firstLine="324"/>
        <w:spacing w:after="0" w:line="289" w:lineRule="auto"/>
        <w:rPr>
          <w:sz w:val="20"/>
          <w:szCs w:val="20"/>
          <w:color w:val="auto"/>
        </w:rPr>
      </w:pPr>
      <w:r>
        <w:rPr>
          <w:rFonts w:ascii="Arial" w:cs="Arial" w:eastAsia="Arial" w:hAnsi="Arial"/>
          <w:sz w:val="16"/>
          <w:szCs w:val="16"/>
          <w:color w:val="auto"/>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US patent applications on inventions similar to ours that claims priority to any applications filed prior to the priority dates of our applications,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inventions prior to our own inventions, resulting in a loss of our U.S. patent position with respect to such inventions. Other countries have similar laws that permit secrecy of patent applications and may be entitled to priority over our applications in such jurisdictions.</w:t>
      </w:r>
    </w:p>
    <w:p>
      <w:pPr>
        <w:spacing w:after="0" w:line="166" w:lineRule="exact"/>
        <w:rPr>
          <w:sz w:val="20"/>
          <w:szCs w:val="20"/>
          <w:color w:val="auto"/>
        </w:rPr>
      </w:pPr>
    </w:p>
    <w:p>
      <w:pPr>
        <w:ind w:left="40" w:right="79" w:firstLine="324"/>
        <w:spacing w:after="0" w:line="259"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87" w:lineRule="exact"/>
        <w:rPr>
          <w:sz w:val="20"/>
          <w:szCs w:val="20"/>
          <w:color w:val="auto"/>
        </w:rPr>
      </w:pPr>
    </w:p>
    <w:p>
      <w:pPr>
        <w:ind w:left="40" w:right="259"/>
        <w:spacing w:after="0" w:line="277" w:lineRule="auto"/>
        <w:rPr>
          <w:sz w:val="20"/>
          <w:szCs w:val="20"/>
          <w:color w:val="auto"/>
        </w:rPr>
      </w:pPr>
      <w:r>
        <w:rPr>
          <w:rFonts w:ascii="Arial" w:cs="Arial" w:eastAsia="Arial" w:hAnsi="Arial"/>
          <w:sz w:val="18"/>
          <w:szCs w:val="18"/>
          <w:b w:val="1"/>
          <w:bCs w:val="1"/>
          <w:i w:val="1"/>
          <w:iCs w:val="1"/>
          <w:color w:val="auto"/>
        </w:rPr>
        <w:t>If we are not able to adequately prevent disclosure of trade secrets and other proprietary information, the value of our technology and products could be significantly diminished.</w:t>
      </w:r>
    </w:p>
    <w:p>
      <w:pPr>
        <w:spacing w:after="0" w:line="170" w:lineRule="exact"/>
        <w:rPr>
          <w:sz w:val="20"/>
          <w:szCs w:val="20"/>
          <w:color w:val="auto"/>
        </w:rPr>
      </w:pPr>
    </w:p>
    <w:p>
      <w:pPr>
        <w:ind w:left="40" w:right="159" w:firstLine="324"/>
        <w:spacing w:after="0" w:line="286" w:lineRule="auto"/>
        <w:rPr>
          <w:sz w:val="20"/>
          <w:szCs w:val="20"/>
          <w:color w:val="auto"/>
        </w:rPr>
      </w:pPr>
      <w:r>
        <w:rPr>
          <w:rFonts w:ascii="Arial" w:cs="Arial" w:eastAsia="Arial" w:hAnsi="Arial"/>
          <w:sz w:val="16"/>
          <w:szCs w:val="16"/>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Furthermore, any license agreements we enter into in the future may require us to notify, and in some cases license back to the licensor, certain additional proprietary information or intellectual property that we developed using the rights licensed to us under these agreements. Any such licenses back to the licensor could allow our licensors to use that proprietary information or intellectual property in a manner that could harm our business.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spacing w:after="0" w:line="167" w:lineRule="exact"/>
        <w:rPr>
          <w:sz w:val="20"/>
          <w:szCs w:val="20"/>
          <w:color w:val="auto"/>
        </w:rPr>
      </w:pPr>
    </w:p>
    <w:p>
      <w:pPr>
        <w:ind w:left="40" w:right="639"/>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alleged trade secrets.</w:t>
      </w:r>
    </w:p>
    <w:p>
      <w:pPr>
        <w:spacing w:after="0" w:line="170" w:lineRule="exact"/>
        <w:rPr>
          <w:sz w:val="20"/>
          <w:szCs w:val="20"/>
          <w:color w:val="auto"/>
        </w:rPr>
      </w:pPr>
    </w:p>
    <w:p>
      <w:pPr>
        <w:ind w:left="40" w:right="119" w:firstLine="324"/>
        <w:spacing w:after="0" w:line="270" w:lineRule="auto"/>
        <w:rPr>
          <w:sz w:val="20"/>
          <w:szCs w:val="20"/>
          <w:color w:val="auto"/>
        </w:rPr>
      </w:pPr>
      <w:r>
        <w:rPr>
          <w:rFonts w:ascii="Arial" w:cs="Arial" w:eastAsia="Arial" w:hAnsi="Arial"/>
          <w:sz w:val="17"/>
          <w:szCs w:val="17"/>
          <w:color w:val="auto"/>
        </w:rPr>
        <w:t>As is common in the biotechnology and pharmaceutical industries, we employ individuals who were previously employed at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trade secrets or other proprietary information of their former employers. Litigation may be necessary to defend against these claims. If we fail in defending any such claims, in addition to paying monetary damages, we could lose valuable intellectual property rights or personnel, which could adversely impact our business. Even if we are successful in defending against these claims, litigation could result in substantial costs and be a distraction to management.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2" w:name="page63"/>
    <w:bookmarkEnd w:id="6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339"/>
        <w:spacing w:after="0" w:line="277" w:lineRule="auto"/>
        <w:rPr>
          <w:sz w:val="20"/>
          <w:szCs w:val="20"/>
          <w:color w:val="auto"/>
        </w:rPr>
      </w:pPr>
      <w:r>
        <w:rPr>
          <w:rFonts w:ascii="Arial" w:cs="Arial" w:eastAsia="Arial" w:hAnsi="Arial"/>
          <w:sz w:val="18"/>
          <w:szCs w:val="18"/>
          <w:b w:val="1"/>
          <w:bCs w:val="1"/>
          <w:i w:val="1"/>
          <w:iCs w:val="1"/>
          <w:color w:val="auto"/>
        </w:rPr>
        <w:t>Our intellectual property may not be sufficient to protect our products from competition, which may negatively affect our business as well as limit our partnership or acquisition appeal.</w:t>
      </w:r>
    </w:p>
    <w:p>
      <w:pPr>
        <w:spacing w:after="0" w:line="170" w:lineRule="exact"/>
        <w:rPr>
          <w:sz w:val="20"/>
          <w:szCs w:val="20"/>
          <w:color w:val="auto"/>
        </w:rPr>
      </w:pPr>
    </w:p>
    <w:p>
      <w:pPr>
        <w:ind w:left="40" w:right="59" w:firstLine="324"/>
        <w:spacing w:after="0" w:line="254" w:lineRule="auto"/>
        <w:rPr>
          <w:sz w:val="20"/>
          <w:szCs w:val="20"/>
          <w:color w:val="auto"/>
        </w:rPr>
      </w:pPr>
      <w:r>
        <w:rPr>
          <w:rFonts w:ascii="Arial" w:cs="Arial" w:eastAsia="Arial" w:hAnsi="Arial"/>
          <w:sz w:val="18"/>
          <w:szCs w:val="18"/>
          <w:color w:val="auto"/>
        </w:rPr>
        <w:t>We may be subject to competition despite the existence of intellectual property we license or own. We can give no assurances that our intellectual property claims will be sufficient to prevent third parties from designing around patents we own or license and developing and commercializing competitive products. The existence of competitive products that avoid our intellectual property could materially adversely affect our operating results and financial condition. Furthermore, limitations, or perceived limitations, in our intellectual property may limit the interest of third parties to partner, collaborate or otherwise transact with us, if third parties perceive a higher than acceptable risk to commercialization of our products or future products.</w:t>
      </w:r>
    </w:p>
    <w:p>
      <w:pPr>
        <w:spacing w:after="0" w:line="195" w:lineRule="exact"/>
        <w:rPr>
          <w:sz w:val="20"/>
          <w:szCs w:val="20"/>
          <w:color w:val="auto"/>
        </w:rPr>
      </w:pPr>
    </w:p>
    <w:p>
      <w:pPr>
        <w:ind w:left="40" w:right="179" w:firstLine="324"/>
        <w:spacing w:after="0" w:line="272" w:lineRule="auto"/>
        <w:rPr>
          <w:sz w:val="20"/>
          <w:szCs w:val="20"/>
          <w:color w:val="auto"/>
        </w:rPr>
      </w:pPr>
      <w:r>
        <w:rPr>
          <w:rFonts w:ascii="Arial" w:cs="Arial" w:eastAsia="Arial" w:hAnsi="Arial"/>
          <w:sz w:val="17"/>
          <w:szCs w:val="17"/>
          <w:color w:val="auto"/>
        </w:rPr>
        <w:t>Our drug re-innovation approach involves the filing of patent applications covering new methods of use and/or new formulations of previously known, studied and/or marketed drugs. Although the protection afforded by our patent applications may be significant with respect to BXCL501 and BXCL701, when looking at our patents’ ability to block competition, the protection offered by our patents may be, to some extent, more limited than the protection provided by patents claiming the composition of matter of entirely new chemical structures previously unknown. If a competitor were able to successfully design around any method of use and formulation patents we may have in the future, our business and competitive advantage could be significantly affected.</w:t>
      </w:r>
    </w:p>
    <w:p>
      <w:pPr>
        <w:spacing w:after="0" w:line="177" w:lineRule="exact"/>
        <w:rPr>
          <w:sz w:val="20"/>
          <w:szCs w:val="20"/>
          <w:color w:val="auto"/>
        </w:rPr>
      </w:pPr>
    </w:p>
    <w:p>
      <w:pPr>
        <w:ind w:left="40" w:right="159" w:firstLine="324"/>
        <w:spacing w:after="0" w:line="259" w:lineRule="auto"/>
        <w:rPr>
          <w:sz w:val="20"/>
          <w:szCs w:val="20"/>
          <w:color w:val="auto"/>
        </w:rPr>
      </w:pPr>
      <w:r>
        <w:rPr>
          <w:rFonts w:ascii="Arial" w:cs="Arial" w:eastAsia="Arial" w:hAnsi="Arial"/>
          <w:sz w:val="18"/>
          <w:szCs w:val="18"/>
          <w:color w:val="auto"/>
        </w:rPr>
        <w:t>We may elect to sue a third party, or otherwise make a claim, alleging infringement or other violation of patents, trademarks, trade dress, copyrights, trade secrets, domain names or other intellectual property rights that we either own or license from BioXcel. If we do not prevail in enforcing our intellectual property rights in this type of litigation, we may be subject to:</w:t>
      </w:r>
    </w:p>
    <w:p>
      <w:pPr>
        <w:spacing w:after="0" w:line="187" w:lineRule="exact"/>
        <w:rPr>
          <w:sz w:val="20"/>
          <w:szCs w:val="20"/>
          <w:color w:val="auto"/>
        </w:rPr>
      </w:pPr>
    </w:p>
    <w:p>
      <w:pPr>
        <w:ind w:left="1020" w:hanging="328"/>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paying monetary damages related to the legal expenses of the third party;</w:t>
      </w:r>
    </w:p>
    <w:p>
      <w:pPr>
        <w:spacing w:after="0" w:line="23" w:lineRule="exact"/>
        <w:rPr>
          <w:rFonts w:ascii="Arial" w:cs="Arial" w:eastAsia="Arial" w:hAnsi="Arial"/>
          <w:sz w:val="18"/>
          <w:szCs w:val="18"/>
          <w:color w:val="auto"/>
        </w:rPr>
      </w:pPr>
    </w:p>
    <w:p>
      <w:pPr>
        <w:ind w:left="1020" w:right="139" w:hanging="328"/>
        <w:spacing w:after="0" w:line="265" w:lineRule="auto"/>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facing additional competition that may have a significant adverse effect on our product pricing, market share, business operations, financial condition, and the commercial viability of our products; and</w:t>
      </w:r>
    </w:p>
    <w:p>
      <w:pPr>
        <w:ind w:left="1020" w:right="139" w:hanging="328"/>
        <w:spacing w:after="0" w:line="255"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restructuring our company or delaying or terminating select business opportunities, including, but not limited to, research and development, clinical trial, and commercialization activities, due to a potential deterioration of our financial condition or market competitiveness.</w:t>
      </w:r>
    </w:p>
    <w:p>
      <w:pPr>
        <w:spacing w:after="0" w:line="190" w:lineRule="exact"/>
        <w:rPr>
          <w:sz w:val="20"/>
          <w:szCs w:val="20"/>
          <w:color w:val="auto"/>
        </w:rPr>
      </w:pPr>
    </w:p>
    <w:p>
      <w:pPr>
        <w:ind w:left="40" w:right="179" w:firstLine="324"/>
        <w:spacing w:after="0" w:line="257" w:lineRule="auto"/>
        <w:rPr>
          <w:sz w:val="20"/>
          <w:szCs w:val="20"/>
          <w:color w:val="auto"/>
        </w:rPr>
      </w:pPr>
      <w:r>
        <w:rPr>
          <w:rFonts w:ascii="Arial" w:cs="Arial" w:eastAsia="Arial" w:hAnsi="Arial"/>
          <w:sz w:val="18"/>
          <w:szCs w:val="18"/>
          <w:color w:val="auto"/>
        </w:rPr>
        <w:t>A third party may also challenge the validity, enforceability or scope of the intellectual property rights that we license or own; and, the result of these challenges may narrow the scope or claims of or invalidate patents that are integral to our product candidates in the future. There can be no assurance that we will be able to successfully defend patents we own in an action against third parties due to the unpredictability of litigation and the high costs associated with intellectual property litigation, amongst other factors.</w:t>
      </w:r>
    </w:p>
    <w:p>
      <w:pPr>
        <w:spacing w:after="0" w:line="188" w:lineRule="exact"/>
        <w:rPr>
          <w:sz w:val="20"/>
          <w:szCs w:val="20"/>
          <w:color w:val="auto"/>
        </w:rPr>
      </w:pPr>
    </w:p>
    <w:p>
      <w:pPr>
        <w:jc w:val="both"/>
        <w:ind w:left="40" w:right="279" w:firstLine="324"/>
        <w:spacing w:after="0" w:line="263" w:lineRule="auto"/>
        <w:rPr>
          <w:sz w:val="20"/>
          <w:szCs w:val="20"/>
          <w:color w:val="auto"/>
        </w:rPr>
      </w:pPr>
      <w:r>
        <w:rPr>
          <w:rFonts w:ascii="Arial" w:cs="Arial" w:eastAsia="Arial" w:hAnsi="Arial"/>
          <w:sz w:val="18"/>
          <w:szCs w:val="18"/>
          <w:color w:val="auto"/>
        </w:rPr>
        <w:t>Intellectual property rights and enforcement may be less extensive in jurisdictions outside of the United States; thus, we may not be able to protect our intellectual property and third parties may be able to market competitive products that may use some or all of our intellectual property.</w:t>
      </w:r>
    </w:p>
    <w:p>
      <w:pPr>
        <w:spacing w:after="0" w:line="184" w:lineRule="exact"/>
        <w:rPr>
          <w:sz w:val="20"/>
          <w:szCs w:val="20"/>
          <w:color w:val="auto"/>
        </w:rPr>
      </w:pPr>
    </w:p>
    <w:p>
      <w:pPr>
        <w:ind w:left="40" w:right="99" w:firstLine="324"/>
        <w:spacing w:after="0" w:line="296" w:lineRule="auto"/>
        <w:rPr>
          <w:sz w:val="20"/>
          <w:szCs w:val="20"/>
          <w:color w:val="auto"/>
        </w:rPr>
      </w:pPr>
      <w:r>
        <w:rPr>
          <w:rFonts w:ascii="Arial" w:cs="Arial" w:eastAsia="Arial" w:hAnsi="Arial"/>
          <w:sz w:val="16"/>
          <w:szCs w:val="16"/>
          <w:color w:val="auto"/>
        </w:rPr>
        <w:t>Changes to patent law, including the Leahy-Smith America Invents Act, AIA or Leahy-Smith Act, of 2011 and the Patent Reform Act of 2009 and other future article of legislation, may substantially change the regulations and procedures surrounding patent applications, issuance of patents, and prosecution of patents. We can give no assurances that our patents and those of our licensor, BioXcel, can be defended or will protect us against future intellectual property challenges, particularly as they pertain to changes in patent law and future patent law interpretations.</w:t>
      </w:r>
    </w:p>
    <w:p>
      <w:pPr>
        <w:spacing w:after="0" w:line="161" w:lineRule="exact"/>
        <w:rPr>
          <w:sz w:val="20"/>
          <w:szCs w:val="20"/>
          <w:color w:val="auto"/>
        </w:rPr>
      </w:pPr>
    </w:p>
    <w:p>
      <w:pPr>
        <w:ind w:left="40" w:right="199" w:firstLine="324"/>
        <w:spacing w:after="0" w:line="259" w:lineRule="auto"/>
        <w:rPr>
          <w:sz w:val="20"/>
          <w:szCs w:val="20"/>
          <w:color w:val="auto"/>
        </w:rPr>
      </w:pPr>
      <w:r>
        <w:rPr>
          <w:rFonts w:ascii="Arial" w:cs="Arial" w:eastAsia="Arial" w:hAnsi="Arial"/>
          <w:sz w:val="18"/>
          <w:szCs w:val="18"/>
          <w:color w:val="auto"/>
        </w:rPr>
        <w:t>In addition, enforcing and maintaining our intellectual property protection depends on compliance with various procedural, document submission, fee payment and other requirements imposed by the U.S. Patent and Trademark Office, courts and foreign government patent agencies, and our patent protection could be reduced or eliminated for non-compliance with these requirements.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3" w:name="page64"/>
    <w:bookmarkEnd w:id="6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price of our common stock may fluctuate substantially.</w:t>
      </w:r>
    </w:p>
    <w:p>
      <w:pPr>
        <w:spacing w:after="0" w:line="225" w:lineRule="exact"/>
        <w:rPr>
          <w:sz w:val="20"/>
          <w:szCs w:val="20"/>
          <w:color w:val="auto"/>
        </w:rPr>
      </w:pPr>
    </w:p>
    <w:p>
      <w:pPr>
        <w:ind w:left="40" w:right="119" w:firstLine="324"/>
        <w:spacing w:after="0" w:line="259" w:lineRule="auto"/>
        <w:rPr>
          <w:sz w:val="20"/>
          <w:szCs w:val="20"/>
          <w:color w:val="auto"/>
        </w:rPr>
      </w:pPr>
      <w:r>
        <w:rPr>
          <w:rFonts w:ascii="Arial" w:cs="Arial" w:eastAsia="Arial" w:hAnsi="Arial"/>
          <w:sz w:val="18"/>
          <w:szCs w:val="18"/>
          <w:color w:val="auto"/>
        </w:rPr>
        <w:t>You should consider an investment in our common stock to be risky, and you should invest in our common stock only if you can withstand a significant loss and wide fluctuations in the market value of your investment. Some factors that may cause the market price of our common stock to fluctuate, in addition to the other risks mentioned in this "Risk Factors" section, are:</w:t>
      </w:r>
    </w:p>
    <w:p>
      <w:pPr>
        <w:spacing w:after="0" w:line="187" w:lineRule="exact"/>
        <w:rPr>
          <w:sz w:val="20"/>
          <w:szCs w:val="20"/>
          <w:color w:val="auto"/>
        </w:rPr>
      </w:pPr>
    </w:p>
    <w:p>
      <w:pPr>
        <w:ind w:left="1020" w:hanging="328"/>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 of our common stock by our stockholders, executives, and directors;</w:t>
      </w:r>
    </w:p>
    <w:p>
      <w:pPr>
        <w:spacing w:after="0" w:line="23" w:lineRule="exact"/>
        <w:rPr>
          <w:rFonts w:ascii="Arial" w:cs="Arial" w:eastAsia="Arial" w:hAnsi="Arial"/>
          <w:sz w:val="18"/>
          <w:szCs w:val="18"/>
          <w:color w:val="auto"/>
        </w:rPr>
      </w:pPr>
    </w:p>
    <w:p>
      <w:pPr>
        <w:ind w:left="1020" w:hanging="328"/>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volatility and limitations in trading volumes of our shares of common stock;</w:t>
      </w:r>
    </w:p>
    <w:p>
      <w:pPr>
        <w:spacing w:after="0" w:line="9" w:lineRule="exact"/>
        <w:rPr>
          <w:rFonts w:ascii="Arial" w:cs="Arial" w:eastAsia="Arial" w:hAnsi="Arial"/>
          <w:sz w:val="18"/>
          <w:szCs w:val="18"/>
          <w:color w:val="auto"/>
        </w:rPr>
      </w:pPr>
    </w:p>
    <w:p>
      <w:pPr>
        <w:ind w:left="1020" w:right="319" w:hanging="328"/>
        <w:spacing w:after="0" w:line="250"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obtain financings to conduct and complete research and development activities including, but not limited to, our clinical trials, and other business activities;</w:t>
      </w:r>
    </w:p>
    <w:p>
      <w:pPr>
        <w:ind w:left="1020" w:right="479" w:hanging="328"/>
        <w:spacing w:after="0" w:line="250"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possible delays in the expected recognition of revenue due to lengthy and sometimes unpredictable sales timelines;</w:t>
      </w:r>
    </w:p>
    <w:p>
      <w:pPr>
        <w:jc w:val="both"/>
        <w:ind w:left="1020" w:right="79" w:hanging="328"/>
        <w:spacing w:after="0" w:line="250"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and success of introductions of new applications and services by us or our competitors or any other change in the competitive dynamics of our industry, including consolidation among competitors, customers or strategic partners;</w:t>
      </w:r>
    </w:p>
    <w:p>
      <w:pPr>
        <w:spacing w:after="0" w:line="1" w:lineRule="exact"/>
        <w:rPr>
          <w:rFonts w:ascii="Arial" w:cs="Arial" w:eastAsia="Arial" w:hAnsi="Arial"/>
          <w:sz w:val="18"/>
          <w:szCs w:val="18"/>
          <w:color w:val="auto"/>
        </w:rPr>
      </w:pPr>
    </w:p>
    <w:p>
      <w:pPr>
        <w:ind w:left="1020" w:hanging="328"/>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network outages or security breaches;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customer renewal rates and the timing and terms of customer renewals;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ability to secure resources and the necessary personnel to conduct clinical trials on our desired schedule;</w:t>
      </w:r>
    </w:p>
    <w:p>
      <w:pPr>
        <w:spacing w:after="0" w:line="32" w:lineRule="exact"/>
        <w:rPr>
          <w:rFonts w:ascii="Arial" w:cs="Arial" w:eastAsia="Arial" w:hAnsi="Arial"/>
          <w:sz w:val="16"/>
          <w:szCs w:val="16"/>
          <w:color w:val="auto"/>
        </w:rPr>
      </w:pPr>
    </w:p>
    <w:p>
      <w:pPr>
        <w:ind w:left="1020" w:right="339" w:hanging="328"/>
        <w:spacing w:after="0" w:line="250"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commencement, enrollment or results of our clinical trials for our product candidates or any future clinical trials we may conduct;</w:t>
      </w:r>
    </w:p>
    <w:p>
      <w:pPr>
        <w:ind w:left="1020" w:hanging="328"/>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development status of our product candidates;</w:t>
      </w:r>
    </w:p>
    <w:p>
      <w:pPr>
        <w:spacing w:after="0" w:line="9" w:lineRule="exact"/>
        <w:rPr>
          <w:rFonts w:ascii="Arial" w:cs="Arial" w:eastAsia="Arial" w:hAnsi="Arial"/>
          <w:sz w:val="18"/>
          <w:szCs w:val="18"/>
          <w:color w:val="auto"/>
        </w:rPr>
      </w:pPr>
    </w:p>
    <w:p>
      <w:pPr>
        <w:ind w:left="1020" w:right="219" w:hanging="328"/>
        <w:spacing w:after="0" w:line="250"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delays or adverse developments or perceived adverse developments with respect to the FDA’s review of our planned preclinical and clinical trials;</w:t>
      </w:r>
    </w:p>
    <w:p>
      <w:pPr>
        <w:ind w:left="1020" w:right="79" w:hanging="328"/>
        <w:spacing w:after="0" w:line="250"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delay in our submission for studies or product approvals or adverse regulatory decisions, including failure to receive regulatory approval for our product candidates;</w:t>
      </w:r>
    </w:p>
    <w:p>
      <w:pPr>
        <w:ind w:left="1020" w:hanging="328"/>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unanticipated safety concerns related to the use of our product candidates;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failures to meet external expectations or management guidance;</w:t>
      </w:r>
    </w:p>
    <w:p>
      <w:pPr>
        <w:spacing w:after="0" w:line="9" w:lineRule="exact"/>
        <w:rPr>
          <w:rFonts w:ascii="Arial" w:cs="Arial" w:eastAsia="Arial" w:hAnsi="Arial"/>
          <w:sz w:val="18"/>
          <w:szCs w:val="18"/>
          <w:color w:val="auto"/>
        </w:rPr>
      </w:pPr>
    </w:p>
    <w:p>
      <w:pPr>
        <w:ind w:left="1020" w:right="499" w:hanging="328"/>
        <w:spacing w:after="0" w:line="250"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our capital structure or dividend policy, future issuances of securities, sales of large blocks of common stock by our stockholders;</w:t>
      </w:r>
    </w:p>
    <w:p>
      <w:pPr>
        <w:ind w:left="1020" w:hanging="328"/>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and events surrounding financing efforts, including debt and equity securities;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enter into new markets or develop new products;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reputational issues;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competition from existing technologies and products or new technologies and products that may emerge;</w:t>
      </w:r>
    </w:p>
    <w:p>
      <w:pPr>
        <w:spacing w:after="0" w:line="20" w:lineRule="exact"/>
        <w:rPr>
          <w:rFonts w:ascii="Arial" w:cs="Arial" w:eastAsia="Arial" w:hAnsi="Arial"/>
          <w:sz w:val="17"/>
          <w:szCs w:val="17"/>
          <w:color w:val="auto"/>
        </w:rPr>
      </w:pPr>
    </w:p>
    <w:p>
      <w:pPr>
        <w:ind w:left="1020" w:right="999" w:hanging="328"/>
        <w:spacing w:after="0" w:line="250"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of acquisitions, partnerships, collaborations, joint ventures, new products, capital commitments, or other events by us or our competitors;</w:t>
      </w:r>
    </w:p>
    <w:p>
      <w:pPr>
        <w:ind w:left="1020" w:right="339" w:hanging="328"/>
        <w:spacing w:after="0" w:line="250"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general economic, political and market conditions in or any of the regions in which we conduct our business;</w:t>
      </w:r>
    </w:p>
    <w:p>
      <w:pPr>
        <w:ind w:left="1020" w:hanging="328"/>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industry conditions or perceptions;</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valuations of similar companies or groups of companies;</w:t>
      </w:r>
    </w:p>
    <w:p>
      <w:pPr>
        <w:spacing w:after="0" w:line="9" w:lineRule="exact"/>
        <w:rPr>
          <w:rFonts w:ascii="Arial" w:cs="Arial" w:eastAsia="Arial" w:hAnsi="Arial"/>
          <w:sz w:val="18"/>
          <w:szCs w:val="18"/>
          <w:color w:val="auto"/>
        </w:rPr>
      </w:pPr>
    </w:p>
    <w:p>
      <w:pPr>
        <w:ind w:left="1020" w:right="119" w:hanging="328"/>
        <w:spacing w:after="0" w:line="250"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analyst research reports, recommendation and changes in recommendations, price targets, and withdrawals of coverage;</w:t>
      </w:r>
    </w:p>
    <w:p>
      <w:pPr>
        <w:ind w:left="1020" w:hanging="328"/>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departures and additions of key personnel;</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disputes and litigations related to intellectual properties, proprietary rights, and contractual obligations;</w:t>
      </w:r>
    </w:p>
    <w:p>
      <w:pPr>
        <w:spacing w:after="0" w:line="20" w:lineRule="exact"/>
        <w:rPr>
          <w:rFonts w:ascii="Arial" w:cs="Arial" w:eastAsia="Arial" w:hAnsi="Arial"/>
          <w:sz w:val="17"/>
          <w:szCs w:val="17"/>
          <w:color w:val="auto"/>
        </w:rPr>
      </w:pPr>
    </w:p>
    <w:p>
      <w:pPr>
        <w:ind w:left="1020" w:hanging="328"/>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applicable laws, rules, regulations, or accounting practices and other dynamics; and</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events or factors, many of which may be out of our control.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4" w:name="page65"/>
    <w:bookmarkEnd w:id="6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139" w:firstLine="324"/>
        <w:spacing w:after="0" w:line="301" w:lineRule="auto"/>
        <w:rPr>
          <w:sz w:val="20"/>
          <w:szCs w:val="20"/>
          <w:color w:val="auto"/>
        </w:rPr>
      </w:pPr>
      <w:r>
        <w:rPr>
          <w:rFonts w:ascii="Arial" w:cs="Arial" w:eastAsia="Arial" w:hAnsi="Arial"/>
          <w:sz w:val="16"/>
          <w:szCs w:val="16"/>
          <w:color w:val="auto"/>
        </w:rPr>
        <w:t>In addition, if the market for stocks in our industry or industries related to our industry, or the stock market in general, experiences a loss of investor confidence, the trading price of our common stock could decline for reasons unrelated to our business, financial condition and results of operations. If any of the foregoing occurs, it could cause our stock price to fall and may expose us to lawsuits that, even if unsuccessful, could be costly to defend and a distraction to management.</w:t>
      </w:r>
    </w:p>
    <w:p>
      <w:pPr>
        <w:spacing w:after="0" w:line="157" w:lineRule="exact"/>
        <w:rPr>
          <w:sz w:val="20"/>
          <w:szCs w:val="20"/>
          <w:color w:val="auto"/>
        </w:rPr>
      </w:pPr>
    </w:p>
    <w:p>
      <w:pPr>
        <w:ind w:left="40" w:right="319"/>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or reports about our business, our stock price and trading volume may decline.</w:t>
      </w:r>
    </w:p>
    <w:p>
      <w:pPr>
        <w:spacing w:after="0" w:line="170" w:lineRule="exact"/>
        <w:rPr>
          <w:sz w:val="20"/>
          <w:szCs w:val="20"/>
          <w:color w:val="auto"/>
        </w:rPr>
      </w:pPr>
    </w:p>
    <w:p>
      <w:pPr>
        <w:ind w:left="40" w:right="59" w:firstLine="324"/>
        <w:spacing w:after="0" w:line="271" w:lineRule="auto"/>
        <w:rPr>
          <w:sz w:val="20"/>
          <w:szCs w:val="20"/>
          <w:color w:val="auto"/>
        </w:rPr>
      </w:pPr>
      <w:r>
        <w:rPr>
          <w:rFonts w:ascii="Arial" w:cs="Arial" w:eastAsia="Arial" w:hAnsi="Arial"/>
          <w:sz w:val="17"/>
          <w:szCs w:val="17"/>
          <w:color w:val="auto"/>
        </w:rPr>
        <w:t>The trading market for our common stock will rely in part on the research and reports that industry or financial analysts publish about us, our business, our markets and our competitors. We do not control these analysts. If securities analysts do not cover our common stock, the lack of research coverage may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spacing w:after="0" w:line="178" w:lineRule="exact"/>
        <w:rPr>
          <w:sz w:val="20"/>
          <w:szCs w:val="20"/>
          <w:color w:val="auto"/>
        </w:rPr>
      </w:pPr>
    </w:p>
    <w:p>
      <w:pPr>
        <w:ind w:left="40" w:right="659"/>
        <w:spacing w:after="0" w:line="277" w:lineRule="auto"/>
        <w:rPr>
          <w:sz w:val="20"/>
          <w:szCs w:val="20"/>
          <w:color w:val="auto"/>
        </w:rPr>
      </w:pPr>
      <w:r>
        <w:rPr>
          <w:rFonts w:ascii="Arial" w:cs="Arial" w:eastAsia="Arial" w:hAnsi="Arial"/>
          <w:sz w:val="18"/>
          <w:szCs w:val="18"/>
          <w:b w:val="1"/>
          <w:bCs w:val="1"/>
          <w:i w:val="1"/>
          <w:iCs w:val="1"/>
          <w:color w:val="auto"/>
        </w:rPr>
        <w:t>Because certain of our stockholders control a significant number of shares of our common stock, they may have effective control over actions requiring stockholder approval.</w:t>
      </w:r>
    </w:p>
    <w:p>
      <w:pPr>
        <w:spacing w:after="0" w:line="170" w:lineRule="exact"/>
        <w:rPr>
          <w:sz w:val="20"/>
          <w:szCs w:val="20"/>
          <w:color w:val="auto"/>
        </w:rPr>
      </w:pPr>
    </w:p>
    <w:p>
      <w:pPr>
        <w:ind w:left="40" w:right="159" w:firstLine="324"/>
        <w:spacing w:after="0" w:line="293" w:lineRule="auto"/>
        <w:rPr>
          <w:sz w:val="20"/>
          <w:szCs w:val="20"/>
          <w:color w:val="auto"/>
        </w:rPr>
      </w:pPr>
      <w:r>
        <w:rPr>
          <w:rFonts w:ascii="Arial" w:cs="Arial" w:eastAsia="Arial" w:hAnsi="Arial"/>
          <w:sz w:val="16"/>
          <w:szCs w:val="16"/>
          <w:color w:val="auto"/>
        </w:rPr>
        <w:t>As of March 31, 2020, our directors, executive officers and principal stockholders, and their respective affiliates, beneficially owned approximately 48.1% of our outstanding shares of common stock. As a result, these stockholders, acting together, would have significant control over the outcome of matters submitted to our stockholders for approval, including the election of directors and any merger, consolidation or sale of all or substantially all of our assets. In addition, these stockholders, acting together, would have significant control over the management and affairs of our company. Accordingly, this concentration of ownership might harm the market price of our common stock by:</w:t>
      </w:r>
    </w:p>
    <w:p>
      <w:pPr>
        <w:spacing w:after="0" w:line="164" w:lineRule="exact"/>
        <w:rPr>
          <w:sz w:val="20"/>
          <w:szCs w:val="20"/>
          <w:color w:val="auto"/>
        </w:rPr>
      </w:pPr>
    </w:p>
    <w:p>
      <w:pPr>
        <w:ind w:left="1020" w:hanging="328"/>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delaying, deferring or preventing a change in corporate control;</w:t>
      </w:r>
    </w:p>
    <w:p>
      <w:pPr>
        <w:spacing w:after="0" w:line="23" w:lineRule="exact"/>
        <w:rPr>
          <w:rFonts w:ascii="Arial" w:cs="Arial" w:eastAsia="Arial" w:hAnsi="Arial"/>
          <w:sz w:val="18"/>
          <w:szCs w:val="18"/>
          <w:color w:val="auto"/>
        </w:rPr>
      </w:pPr>
    </w:p>
    <w:p>
      <w:pPr>
        <w:ind w:left="1020" w:hanging="328"/>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9" w:lineRule="exact"/>
        <w:rPr>
          <w:rFonts w:ascii="Arial" w:cs="Arial" w:eastAsia="Arial" w:hAnsi="Arial"/>
          <w:sz w:val="18"/>
          <w:szCs w:val="18"/>
          <w:color w:val="auto"/>
        </w:rPr>
      </w:pPr>
    </w:p>
    <w:p>
      <w:pPr>
        <w:ind w:left="1020" w:hanging="328"/>
        <w:spacing w:after="0"/>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discouraging a potential acquirer from making a tender offer or otherwise attempting to obtain control of us.</w:t>
      </w:r>
    </w:p>
    <w:p>
      <w:pPr>
        <w:spacing w:after="0" w:line="234" w:lineRule="exact"/>
        <w:rPr>
          <w:sz w:val="20"/>
          <w:szCs w:val="20"/>
          <w:color w:val="auto"/>
        </w:rPr>
      </w:pPr>
    </w:p>
    <w:p>
      <w:pPr>
        <w:ind w:left="40" w:right="179"/>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could result in additional dilution of the percentage ownership of our stockholders and could cause our share price to fall.</w:t>
      </w:r>
    </w:p>
    <w:p>
      <w:pPr>
        <w:spacing w:after="0" w:line="170" w:lineRule="exact"/>
        <w:rPr>
          <w:sz w:val="20"/>
          <w:szCs w:val="20"/>
          <w:color w:val="auto"/>
        </w:rPr>
      </w:pPr>
    </w:p>
    <w:p>
      <w:pPr>
        <w:ind w:left="40" w:right="99" w:firstLine="324"/>
        <w:spacing w:after="0" w:line="291" w:lineRule="auto"/>
        <w:rPr>
          <w:sz w:val="20"/>
          <w:szCs w:val="20"/>
          <w:color w:val="auto"/>
        </w:rPr>
      </w:pPr>
      <w:r>
        <w:rPr>
          <w:rFonts w:ascii="Arial" w:cs="Arial" w:eastAsia="Arial" w:hAnsi="Arial"/>
          <w:sz w:val="16"/>
          <w:szCs w:val="16"/>
          <w:color w:val="auto"/>
        </w:rPr>
        <w:t>We expect that significant additional capital will be needed in the future to continue our planned operations, including increased marketing, hiring new personnel, commercializing our products, and continuing activities as an operating public company.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Such sales may also result in material dilution to our existing stockholders, and new investors could gain rights superior to our existing stockholders.</w:t>
      </w:r>
    </w:p>
    <w:p>
      <w:pPr>
        <w:spacing w:after="0" w:line="166" w:lineRule="exact"/>
        <w:rPr>
          <w:sz w:val="20"/>
          <w:szCs w:val="20"/>
          <w:color w:val="auto"/>
        </w:rPr>
      </w:pPr>
    </w:p>
    <w:p>
      <w:pPr>
        <w:ind w:left="40" w:right="139"/>
        <w:spacing w:after="0" w:line="277" w:lineRule="auto"/>
        <w:rPr>
          <w:sz w:val="20"/>
          <w:szCs w:val="20"/>
          <w:color w:val="auto"/>
        </w:rPr>
      </w:pPr>
      <w:r>
        <w:rPr>
          <w:rFonts w:ascii="Arial" w:cs="Arial" w:eastAsia="Arial" w:hAnsi="Arial"/>
          <w:sz w:val="18"/>
          <w:szCs w:val="18"/>
          <w:b w:val="1"/>
          <w:bCs w:val="1"/>
          <w:i w:val="1"/>
          <w:iCs w:val="1"/>
          <w:color w:val="auto"/>
        </w:rPr>
        <w:t>We do not intend to pay cash dividends on our shares of common stock so any returns will be limited to the value of our shares.</w:t>
      </w:r>
    </w:p>
    <w:p>
      <w:pPr>
        <w:spacing w:after="0" w:line="170" w:lineRule="exact"/>
        <w:rPr>
          <w:sz w:val="20"/>
          <w:szCs w:val="20"/>
          <w:color w:val="auto"/>
        </w:rPr>
      </w:pPr>
    </w:p>
    <w:p>
      <w:pPr>
        <w:ind w:left="40" w:right="79" w:firstLine="324"/>
        <w:spacing w:after="0" w:line="263" w:lineRule="auto"/>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increase, if any, of our share price.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5" w:name="page66"/>
    <w:bookmarkEnd w:id="6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179"/>
        <w:spacing w:after="0" w:line="311" w:lineRule="auto"/>
        <w:rPr>
          <w:sz w:val="20"/>
          <w:szCs w:val="20"/>
          <w:color w:val="auto"/>
        </w:rPr>
      </w:pPr>
      <w:r>
        <w:rPr>
          <w:rFonts w:ascii="Arial" w:cs="Arial" w:eastAsia="Arial" w:hAnsi="Arial"/>
          <w:sz w:val="16"/>
          <w:szCs w:val="16"/>
          <w:b w:val="1"/>
          <w:bCs w:val="1"/>
          <w:i w:val="1"/>
          <w:iCs w:val="1"/>
          <w:color w:val="auto"/>
        </w:rPr>
        <w:t>If we were deemed to be an investment company under the Investment Company Act of 1940, as amended, or the 1940 Act, applicable restrictions could make it impractical for us to continue our business as contemplated and could have a material adverse effect on our business, financial condition and results of operations.</w:t>
      </w:r>
    </w:p>
    <w:p>
      <w:pPr>
        <w:spacing w:after="0" w:line="149" w:lineRule="exact"/>
        <w:rPr>
          <w:sz w:val="20"/>
          <w:szCs w:val="20"/>
          <w:color w:val="auto"/>
        </w:rPr>
      </w:pPr>
    </w:p>
    <w:p>
      <w:pPr>
        <w:ind w:left="40" w:right="279" w:firstLine="324"/>
        <w:spacing w:after="0" w:line="272" w:lineRule="auto"/>
        <w:rPr>
          <w:sz w:val="20"/>
          <w:szCs w:val="20"/>
          <w:color w:val="auto"/>
        </w:rPr>
      </w:pPr>
      <w:r>
        <w:rPr>
          <w:rFonts w:ascii="Arial" w:cs="Arial" w:eastAsia="Arial" w:hAnsi="Arial"/>
          <w:sz w:val="17"/>
          <w:szCs w:val="17"/>
          <w:color w:val="auto"/>
        </w:rPr>
        <w:t>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77" w:lineRule="exact"/>
        <w:rPr>
          <w:sz w:val="20"/>
          <w:szCs w:val="20"/>
          <w:color w:val="auto"/>
        </w:rPr>
      </w:pPr>
    </w:p>
    <w:p>
      <w:pPr>
        <w:ind w:left="40" w:right="339" w:firstLine="324"/>
        <w:spacing w:after="0" w:line="273" w:lineRule="auto"/>
        <w:rPr>
          <w:sz w:val="20"/>
          <w:szCs w:val="20"/>
          <w:color w:val="auto"/>
        </w:rPr>
      </w:pPr>
      <w:r>
        <w:rPr>
          <w:rFonts w:ascii="Arial" w:cs="Arial" w:eastAsia="Arial" w:hAnsi="Arial"/>
          <w:sz w:val="17"/>
          <w:szCs w:val="17"/>
          <w:color w:val="auto"/>
        </w:rPr>
        <w:t>Notwithstanding Sections 3(a)(1)(A) and (C) of the 1940 Act, we are a research and development company and comply with the safe harbor requirements of Rule 3a-8 of the 1940 Act.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 financial condition and results of operations.</w:t>
      </w:r>
    </w:p>
    <w:p>
      <w:pPr>
        <w:spacing w:after="0" w:line="178" w:lineRule="exact"/>
        <w:rPr>
          <w:sz w:val="20"/>
          <w:szCs w:val="20"/>
          <w:color w:val="auto"/>
        </w:rPr>
      </w:pPr>
    </w:p>
    <w:p>
      <w:pPr>
        <w:jc w:val="both"/>
        <w:ind w:left="40" w:right="279"/>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and “smaller reporting company” and are able to avail ourselves of reduced disclosure requirements applicable to emerging growth companies and small reporting companies, which could make our common stock less attractive to investors.</w:t>
      </w:r>
    </w:p>
    <w:p>
      <w:pPr>
        <w:spacing w:after="0" w:line="184" w:lineRule="exact"/>
        <w:rPr>
          <w:sz w:val="20"/>
          <w:szCs w:val="20"/>
          <w:color w:val="auto"/>
        </w:rPr>
      </w:pPr>
    </w:p>
    <w:p>
      <w:pPr>
        <w:ind w:left="40" w:right="79" w:firstLine="324"/>
        <w:spacing w:after="0" w:line="284"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are not electing to delay such adoption of new or revised accounting standards, and as a result, we will comply with new or revised accounting standards on the relevant dates on which adoption of such standards is required for non-emerging growth companies.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earliest of (i) the last day of the fiscal year in which we have total annual gross revenues of $1.07 billion or more; (ii) the last day of our fiscal year following the fifth anniversary of the date of the completion of our initial public offering; (iii) the date on which we have issued more than $1 billion in nonconvertible debt during the previous three years; or (iv) the date on which we are deemed to be a large accelerated filer under the rules of the Securities and Exchange Commission (the “SEC”).</w:t>
      </w:r>
    </w:p>
    <w:p>
      <w:pPr>
        <w:spacing w:after="0" w:line="182" w:lineRule="exact"/>
        <w:rPr>
          <w:sz w:val="20"/>
          <w:szCs w:val="20"/>
          <w:color w:val="auto"/>
        </w:rPr>
      </w:pPr>
    </w:p>
    <w:p>
      <w:pPr>
        <w:ind w:left="40" w:right="119" w:firstLine="324"/>
        <w:spacing w:after="0" w:line="289" w:lineRule="auto"/>
        <w:rPr>
          <w:sz w:val="20"/>
          <w:szCs w:val="20"/>
          <w:color w:val="auto"/>
        </w:rPr>
      </w:pPr>
      <w:r>
        <w:rPr>
          <w:rFonts w:ascii="Arial" w:cs="Arial" w:eastAsia="Arial" w:hAnsi="Arial"/>
          <w:sz w:val="16"/>
          <w:szCs w:val="16"/>
          <w:color w:val="auto"/>
        </w:rPr>
        <w:t>We are also a smaller reporting company, and we will remain a smaller reporting company until the fiscal year following the determination that our voting and non-voting common stock held by non-affiliates is more than $250 million measured on the last business day of our second fiscal quarter, or our annual revenues are more than $100 million during the most recently completed fiscal year and our voting and non-voting common stock held by non-affiliates is more than $700 million measured on the last business day of our second fiscal quarter. Similar to emerging growth companies, smaller reporting companies are able to provide simplified executive compensation disclosure, are exempt from the auditor attestation requirements of Section 404, and have certain other reduced disclosure obligations, including, among other things, being required to provide only two years of audited financial statements and not being required to provide selected financial data, supplemental financial information or risk factors.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6" w:name="page67"/>
    <w:bookmarkEnd w:id="6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firstLine="324"/>
        <w:spacing w:after="0" w:line="259" w:lineRule="auto"/>
        <w:rPr>
          <w:sz w:val="20"/>
          <w:szCs w:val="20"/>
          <w:color w:val="auto"/>
        </w:rPr>
      </w:pPr>
      <w:r>
        <w:rPr>
          <w:rFonts w:ascii="Arial" w:cs="Arial" w:eastAsia="Arial" w:hAnsi="Arial"/>
          <w:sz w:val="18"/>
          <w:szCs w:val="18"/>
          <w:color w:val="auto"/>
        </w:rPr>
        <w:t>We have elected to take advantage of certain of the reduced reporting obligations.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be at risk of securities class action litigation.</w:t>
      </w:r>
    </w:p>
    <w:p>
      <w:pPr>
        <w:spacing w:after="0" w:line="225" w:lineRule="exact"/>
        <w:rPr>
          <w:sz w:val="20"/>
          <w:szCs w:val="20"/>
          <w:color w:val="auto"/>
        </w:rPr>
      </w:pPr>
    </w:p>
    <w:p>
      <w:pPr>
        <w:ind w:left="40" w:right="219" w:firstLine="324"/>
        <w:spacing w:after="0" w:line="301" w:lineRule="auto"/>
        <w:rPr>
          <w:sz w:val="20"/>
          <w:szCs w:val="20"/>
          <w:color w:val="auto"/>
        </w:rPr>
      </w:pPr>
      <w:r>
        <w:rPr>
          <w:rFonts w:ascii="Arial" w:cs="Arial" w:eastAsia="Arial" w:hAnsi="Arial"/>
          <w:sz w:val="16"/>
          <w:szCs w:val="16"/>
          <w:color w:val="auto"/>
        </w:rPr>
        <w:t>We may be at risk of securities class action litigation. In the past, biotechnology and pharmaceutical companies have experienced significant stock price volatility, particularly when associated with binary events such as clinical trials and product approvals. If we face such litigation, it could result in substantial costs and a diversion of management’s attention and resources, which could harm our business and results in a decline in the market price of our common stock.</w:t>
      </w:r>
    </w:p>
    <w:p>
      <w:pPr>
        <w:spacing w:after="0" w:line="157" w:lineRule="exact"/>
        <w:rPr>
          <w:sz w:val="20"/>
          <w:szCs w:val="20"/>
          <w:color w:val="auto"/>
        </w:rPr>
      </w:pPr>
    </w:p>
    <w:p>
      <w:pPr>
        <w:ind w:left="40" w:right="939"/>
        <w:spacing w:after="0" w:line="342" w:lineRule="auto"/>
        <w:rPr>
          <w:sz w:val="20"/>
          <w:szCs w:val="20"/>
          <w:color w:val="auto"/>
        </w:rPr>
      </w:pPr>
      <w:r>
        <w:rPr>
          <w:rFonts w:ascii="Arial" w:cs="Arial" w:eastAsia="Arial" w:hAnsi="Arial"/>
          <w:sz w:val="16"/>
          <w:szCs w:val="16"/>
          <w:b w:val="1"/>
          <w:bCs w:val="1"/>
          <w:i w:val="1"/>
          <w:iCs w:val="1"/>
          <w:color w:val="auto"/>
        </w:rPr>
        <w:t>Our certificate of incorporation and our bylaws, and Delaware law may have anti-takeover effects that could discourage, delay or prevent a change in control, which may cause our stock price to decline.</w:t>
      </w:r>
    </w:p>
    <w:p>
      <w:pPr>
        <w:spacing w:after="0" w:line="124" w:lineRule="exact"/>
        <w:rPr>
          <w:sz w:val="20"/>
          <w:szCs w:val="20"/>
          <w:color w:val="auto"/>
        </w:rPr>
      </w:pPr>
    </w:p>
    <w:p>
      <w:pPr>
        <w:ind w:left="40" w:right="79" w:firstLine="324"/>
        <w:spacing w:after="0" w:line="288" w:lineRule="auto"/>
        <w:rPr>
          <w:sz w:val="20"/>
          <w:szCs w:val="20"/>
          <w:color w:val="auto"/>
        </w:rPr>
      </w:pPr>
      <w:r>
        <w:rPr>
          <w:rFonts w:ascii="Arial" w:cs="Arial" w:eastAsia="Arial" w:hAnsi="Arial"/>
          <w:sz w:val="16"/>
          <w:szCs w:val="16"/>
          <w:color w:val="auto"/>
        </w:rPr>
        <w:t>Our amended and restated certificate of incorporation and our amended and restated bylaws and Delaware law could make it more difficult for a third party to acquire us, even if closing such a transaction would be beneficial to our stockholders. We are authorized to issue up to 10,000,000 shares of preferred stock. This preferred stock may be issued in one or more series, the terms of which may be determined at the time of issuance by our board of directors without further action by stockholders. The terms of any series of preferred stock may include voting rights (including the right to vote as a series on particular matters), preferences as to dividend, liquidation, conversion and redemption rights and sinking fund provisions. No preferred stock is currently outstanding. The issuance of any preferred stock could materially adversely affect the rights of the holders of our common stock, and therefore, reduce the value of our common stock and the Notes. In particular, specific rights granted to future holders of preferred stock could be used to restrict our ability to merge with, or sell our assets to, a third party and thereby preserve control by the present management.</w:t>
      </w:r>
    </w:p>
    <w:p>
      <w:pPr>
        <w:spacing w:after="0" w:line="168" w:lineRule="exact"/>
        <w:rPr>
          <w:sz w:val="20"/>
          <w:szCs w:val="20"/>
          <w:color w:val="auto"/>
        </w:rPr>
      </w:pPr>
    </w:p>
    <w:p>
      <w:pPr>
        <w:ind w:left="40" w:right="79" w:firstLine="324"/>
        <w:spacing w:after="0" w:line="275" w:lineRule="auto"/>
        <w:rPr>
          <w:sz w:val="20"/>
          <w:szCs w:val="20"/>
          <w:color w:val="auto"/>
        </w:rPr>
      </w:pPr>
      <w:r>
        <w:rPr>
          <w:rFonts w:ascii="Arial" w:cs="Arial" w:eastAsia="Arial" w:hAnsi="Arial"/>
          <w:sz w:val="17"/>
          <w:szCs w:val="17"/>
          <w:color w:val="auto"/>
        </w:rPr>
        <w:t>Provisions of our amended and restated certificate of incorporation and our amended and restated bylaws and Delaware law also could have the effect of discouraging potential acquisition proposals or making a tender offer or delaying or preventing a change in control, including changes a stockholder might consider favorable. Such provisions may also prevent or frustrate attempts by our stockholders to replace or remove our management. In particular, the certificate of incorporation and bylaws and Delaware law, as applicable, among other things:</w:t>
      </w:r>
    </w:p>
    <w:p>
      <w:pPr>
        <w:spacing w:after="0" w:line="176" w:lineRule="exact"/>
        <w:rPr>
          <w:sz w:val="20"/>
          <w:szCs w:val="20"/>
          <w:color w:val="auto"/>
        </w:rPr>
      </w:pPr>
    </w:p>
    <w:p>
      <w:pPr>
        <w:ind w:left="1020" w:hanging="328"/>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the board of directors with the ability to alter the bylaws without stockholder approval;</w:t>
      </w:r>
    </w:p>
    <w:p>
      <w:pPr>
        <w:spacing w:after="0" w:line="23" w:lineRule="exact"/>
        <w:rPr>
          <w:rFonts w:ascii="Arial" w:cs="Arial" w:eastAsia="Arial" w:hAnsi="Arial"/>
          <w:sz w:val="18"/>
          <w:szCs w:val="18"/>
          <w:color w:val="auto"/>
        </w:rPr>
      </w:pPr>
    </w:p>
    <w:p>
      <w:pPr>
        <w:ind w:left="1020" w:hanging="328"/>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place limitations on the removal of directors;</w:t>
      </w:r>
    </w:p>
    <w:p>
      <w:pPr>
        <w:spacing w:after="0" w:line="9" w:lineRule="exact"/>
        <w:rPr>
          <w:rFonts w:ascii="Arial" w:cs="Arial" w:eastAsia="Arial" w:hAnsi="Arial"/>
          <w:sz w:val="18"/>
          <w:szCs w:val="18"/>
          <w:color w:val="auto"/>
        </w:rPr>
      </w:pPr>
    </w:p>
    <w:p>
      <w:pPr>
        <w:ind w:left="1020" w:right="759" w:hanging="328"/>
        <w:spacing w:after="0" w:line="250"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 and</w:t>
      </w:r>
    </w:p>
    <w:p>
      <w:pPr>
        <w:ind w:left="1020" w:right="339" w:hanging="328"/>
        <w:spacing w:after="0" w:line="260"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that vacancies on the board of directors may be filled by a majority of directors in office, although less than a quorum.</w:t>
      </w:r>
    </w:p>
    <w:p>
      <w:pPr>
        <w:spacing w:after="0" w:line="185" w:lineRule="exact"/>
        <w:rPr>
          <w:sz w:val="20"/>
          <w:szCs w:val="20"/>
          <w:color w:val="auto"/>
        </w:rPr>
      </w:pPr>
    </w:p>
    <w:p>
      <w:pPr>
        <w:ind w:left="40" w:right="159"/>
        <w:spacing w:after="0" w:line="277" w:lineRule="auto"/>
        <w:rPr>
          <w:sz w:val="20"/>
          <w:szCs w:val="20"/>
          <w:color w:val="auto"/>
        </w:rPr>
      </w:pPr>
      <w:r>
        <w:rPr>
          <w:rFonts w:ascii="Arial" w:cs="Arial" w:eastAsia="Arial" w:hAnsi="Arial"/>
          <w:sz w:val="18"/>
          <w:szCs w:val="18"/>
          <w:b w:val="1"/>
          <w:bCs w:val="1"/>
          <w:i w:val="1"/>
          <w:iCs w:val="1"/>
          <w:color w:val="auto"/>
        </w:rPr>
        <w:t>Financial reporting obligations of being a public company in the United States are expensive and time-consuming, and our management is required to devote substantial time to compliance matters.</w:t>
      </w:r>
    </w:p>
    <w:p>
      <w:pPr>
        <w:spacing w:after="0" w:line="170" w:lineRule="exact"/>
        <w:rPr>
          <w:sz w:val="20"/>
          <w:szCs w:val="20"/>
          <w:color w:val="auto"/>
        </w:rPr>
      </w:pPr>
    </w:p>
    <w:p>
      <w:pPr>
        <w:ind w:left="40" w:right="79" w:firstLine="324"/>
        <w:spacing w:after="0" w:line="287" w:lineRule="auto"/>
        <w:rPr>
          <w:sz w:val="20"/>
          <w:szCs w:val="20"/>
          <w:color w:val="auto"/>
        </w:rPr>
      </w:pPr>
      <w:r>
        <w:rPr>
          <w:rFonts w:ascii="Arial" w:cs="Arial" w:eastAsia="Arial" w:hAnsi="Arial"/>
          <w:sz w:val="16"/>
          <w:szCs w:val="16"/>
          <w:color w:val="auto"/>
        </w:rPr>
        <w:t>As a publicly traded company we have incurred significant additional legal, accounting and other expenses that we did not incur as a privately held subsidiary of BioXcel. The obligations of being a public company in the United States requires significant expenditures and will place significant demands on our management and other personnel, including costs resulting from public company reporting obligations under the Exchange Act and the rules and regulations regarding corporate governance practices, including those under the Sarbanes-Oxley Act of 2002, or the Sarbanes-Oxley Act, the Dodd-Frank Wall Street Reform and Consumer Protection Act, or the Dodd-Frank Act, and the listing requirements of the stock exchange on which our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Moreover, despite recent reforms made possible by the JOBS Act, the reporting requirements, rules, and regulations will make some activities more time-consuming and costly, particularly after we are no longer an “emerging growth company.” In addition, we expect these rules and regulations to make it more difficult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7" w:name="page68"/>
    <w:bookmarkEnd w:id="6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79"/>
        <w:spacing w:after="0" w:line="257" w:lineRule="auto"/>
        <w:rPr>
          <w:sz w:val="20"/>
          <w:szCs w:val="20"/>
          <w:color w:val="auto"/>
        </w:rPr>
      </w:pPr>
      <w:r>
        <w:rPr>
          <w:rFonts w:ascii="Arial" w:cs="Arial" w:eastAsia="Arial" w:hAnsi="Arial"/>
          <w:sz w:val="18"/>
          <w:szCs w:val="18"/>
          <w:color w:val="auto"/>
        </w:rPr>
        <w:t>and more expensive for us to obtain director and officer liability insurance and we may be required to incur substantial costs to maintain the same or similar coverage that we had through BioXcel. Our management and other personnel will need to devote a substantial amount of time to ensure that we comply with all of these requirements and to keep pace with new regulations, otherwise we may fall out of compliance and risk becoming subject to litigation or being delisted, among other potential problems.</w:t>
      </w:r>
    </w:p>
    <w:p>
      <w:pPr>
        <w:spacing w:after="0" w:line="188" w:lineRule="exact"/>
        <w:rPr>
          <w:sz w:val="20"/>
          <w:szCs w:val="20"/>
          <w:color w:val="auto"/>
        </w:rPr>
      </w:pPr>
    </w:p>
    <w:p>
      <w:pPr>
        <w:ind w:left="40" w:right="159"/>
        <w:spacing w:after="0" w:line="311" w:lineRule="auto"/>
        <w:rPr>
          <w:sz w:val="20"/>
          <w:szCs w:val="20"/>
          <w:color w:val="auto"/>
        </w:rPr>
      </w:pPr>
      <w:r>
        <w:rPr>
          <w:rFonts w:ascii="Arial" w:cs="Arial" w:eastAsia="Arial" w:hAnsi="Arial"/>
          <w:sz w:val="16"/>
          <w:szCs w:val="16"/>
          <w:b w:val="1"/>
          <w:bCs w:val="1"/>
          <w:i w:val="1"/>
          <w:iCs w:val="1"/>
          <w:color w:val="auto"/>
        </w:rPr>
        <w:t>If we fail to comply with the rules under the Sarbanes-Oxley Act of 2002 related to accounting controls and procedures in the future, or, if we discover material weaknesses and other deficiencies in our internal control and accounting procedures, our stock price could decline significantly and raising capital could be more difficult.</w:t>
      </w:r>
    </w:p>
    <w:p>
      <w:pPr>
        <w:spacing w:after="0" w:line="149"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Section 404 of the Sarbanes-Oxley Act requires annual management assessments of the effectiveness of our internal control over financial reporting. If we fail to comply with the rules under the Sarbanes-Oxley Act related to disclosure controls and procedures in the future, or, if we discover material weaknesses and other deficiencies in our internal control and accounting procedures, our stock price could decline significantly and raising capital could be more difficult. If material weaknesses or significant deficiencies are discovered or if we otherwise fail to achieve and maintain the adequacy of our internal control, we may not be able to ensure that we can conclude on an ongoing basis that we have effective internal controls over financial reporting in accordance with Section 404 of the Sarbanes-Oxley Act. Moreover, effective internal controls are necessary for us to produce reliable financial reports and are important to helping prevent financial fraud. If we cannot provide reliable financial reports or prevent fraud, our business and operating results could be harmed, investors could lose confidence in our reported financial information, and the trading price of our common stock could drop significantly.</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Comprehensive tax reform bills could adversely affect our business and financial condition.</w:t>
      </w:r>
    </w:p>
    <w:p>
      <w:pPr>
        <w:spacing w:after="0" w:line="225" w:lineRule="exact"/>
        <w:rPr>
          <w:sz w:val="20"/>
          <w:szCs w:val="20"/>
          <w:color w:val="auto"/>
        </w:rPr>
      </w:pPr>
    </w:p>
    <w:p>
      <w:pPr>
        <w:jc w:val="both"/>
        <w:ind w:left="40" w:right="179" w:firstLine="324"/>
        <w:spacing w:after="0" w:line="296" w:lineRule="auto"/>
        <w:rPr>
          <w:sz w:val="20"/>
          <w:szCs w:val="20"/>
          <w:color w:val="auto"/>
        </w:rPr>
      </w:pPr>
      <w:r>
        <w:rPr>
          <w:rFonts w:ascii="Arial" w:cs="Arial" w:eastAsia="Arial" w:hAnsi="Arial"/>
          <w:sz w:val="16"/>
          <w:szCs w:val="16"/>
          <w:color w:val="auto"/>
        </w:rPr>
        <w:t>In 2017, the U.S. government enacted comprehensive federal income tax legislation that includes significant changes to the taxation of business entities. These changes include, among others, a permanent reduction to the corporate income tax rate. Notwithstanding the reduction in the corporate income tax rate, the overall impact of this tax reform is uncertain, and our business and financial condition could be adversely affected. We urge our stockholders to consult with their legal and tax advisors with respect to any such legislation and the potential tax consequences of investing in our common stock.</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8" w:name="page69"/>
    <w:bookmarkEnd w:id="6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Item 2. Unregistered Sales of Equity Securities and Use of Proceeds</w:t>
      </w:r>
    </w:p>
    <w:p>
      <w:pPr>
        <w:spacing w:after="0" w:line="26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9" w:name="page70"/>
    <w:bookmarkEnd w:id="6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0" w:type="dxa"/>
            <w:vAlign w:val="bottom"/>
          </w:tcPr>
          <w:p>
            <w:pPr>
              <w:jc w:val="center"/>
              <w:ind w:left="858"/>
              <w:spacing w:after="0"/>
              <w:rPr>
                <w:sz w:val="20"/>
                <w:szCs w:val="20"/>
                <w:color w:val="auto"/>
              </w:rPr>
            </w:pPr>
            <w:r>
              <w:rPr>
                <w:rFonts w:ascii="Arial" w:cs="Arial" w:eastAsia="Arial" w:hAnsi="Arial"/>
                <w:sz w:val="14"/>
                <w:szCs w:val="14"/>
                <w:b w:val="1"/>
                <w:bCs w:val="1"/>
                <w:color w:val="auto"/>
                <w:w w:val="92"/>
              </w:rPr>
              <w:t>Filed/</w:t>
            </w:r>
          </w:p>
        </w:tc>
        <w:tc>
          <w:tcPr>
            <w:tcW w:w="0" w:type="dxa"/>
            <w:vAlign w:val="bottom"/>
          </w:tcPr>
          <w:p>
            <w:pPr>
              <w:spacing w:after="0"/>
              <w:rPr>
                <w:sz w:val="1"/>
                <w:szCs w:val="1"/>
                <w:color w:val="auto"/>
              </w:rPr>
            </w:pPr>
          </w:p>
        </w:tc>
      </w:tr>
      <w:tr>
        <w:trPr>
          <w:trHeight w:val="148"/>
        </w:trPr>
        <w:tc>
          <w:tcPr>
            <w:tcW w:w="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660" w:type="dxa"/>
            <w:vAlign w:val="bottom"/>
            <w:gridSpan w:val="4"/>
            <w:vMerge w:val="restart"/>
          </w:tcPr>
          <w:p>
            <w:pPr>
              <w:ind w:left="2000"/>
              <w:spacing w:after="0"/>
              <w:rPr>
                <w:sz w:val="20"/>
                <w:szCs w:val="20"/>
                <w:color w:val="auto"/>
              </w:rPr>
            </w:pPr>
            <w:r>
              <w:rPr>
                <w:rFonts w:ascii="Arial" w:cs="Arial" w:eastAsia="Arial" w:hAnsi="Arial"/>
                <w:sz w:val="14"/>
                <w:szCs w:val="14"/>
                <w:b w:val="1"/>
                <w:bCs w:val="1"/>
                <w:color w:val="auto"/>
              </w:rPr>
              <w:t>Description</w:t>
            </w: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60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98"/>
              </w:rPr>
              <w:t>File No.</w:t>
            </w:r>
          </w:p>
        </w:tc>
        <w:tc>
          <w:tcPr>
            <w:tcW w:w="6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Exhibit</w:t>
            </w:r>
          </w:p>
        </w:tc>
        <w:tc>
          <w:tcPr>
            <w:tcW w:w="1600" w:type="dxa"/>
            <w:vAlign w:val="bottom"/>
          </w:tcPr>
          <w:p>
            <w:pPr>
              <w:jc w:val="center"/>
              <w:ind w:left="858"/>
              <w:spacing w:after="0" w:line="149" w:lineRule="exact"/>
              <w:rPr>
                <w:sz w:val="20"/>
                <w:szCs w:val="20"/>
                <w:color w:val="auto"/>
              </w:rPr>
            </w:pPr>
            <w:r>
              <w:rPr>
                <w:rFonts w:ascii="Arial" w:cs="Arial" w:eastAsia="Arial" w:hAnsi="Arial"/>
                <w:sz w:val="14"/>
                <w:szCs w:val="14"/>
                <w:b w:val="1"/>
                <w:bCs w:val="1"/>
                <w:color w:val="auto"/>
                <w:w w:val="91"/>
              </w:rPr>
              <w:t>Furnished</w:t>
            </w:r>
          </w:p>
        </w:tc>
        <w:tc>
          <w:tcPr>
            <w:tcW w:w="0" w:type="dxa"/>
            <w:vAlign w:val="bottom"/>
          </w:tcPr>
          <w:p>
            <w:pPr>
              <w:spacing w:after="0"/>
              <w:rPr>
                <w:sz w:val="1"/>
                <w:szCs w:val="1"/>
                <w:color w:val="auto"/>
              </w:rPr>
            </w:pPr>
          </w:p>
        </w:tc>
      </w:tr>
      <w:tr>
        <w:trPr>
          <w:trHeight w:val="171"/>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80" w:type="dxa"/>
            <w:vAlign w:val="bottom"/>
          </w:tcPr>
          <w:p>
            <w:pPr>
              <w:spacing w:after="0"/>
              <w:rPr>
                <w:sz w:val="14"/>
                <w:szCs w:val="14"/>
                <w:color w:val="auto"/>
              </w:rPr>
            </w:pPr>
          </w:p>
        </w:tc>
        <w:tc>
          <w:tcPr>
            <w:tcW w:w="4660" w:type="dxa"/>
            <w:vAlign w:val="bottom"/>
            <w:tcBorders>
              <w:bottom w:val="single" w:sz="8" w:color="auto"/>
            </w:tcBorders>
            <w:gridSpan w:val="4"/>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6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Filing Date  Herewith</w:t>
            </w:r>
          </w:p>
        </w:tc>
        <w:tc>
          <w:tcPr>
            <w:tcW w:w="0" w:type="dxa"/>
            <w:vAlign w:val="bottom"/>
          </w:tcPr>
          <w:p>
            <w:pPr>
              <w:spacing w:after="0"/>
              <w:rPr>
                <w:sz w:val="1"/>
                <w:szCs w:val="1"/>
                <w:color w:val="auto"/>
              </w:rPr>
            </w:pPr>
          </w:p>
        </w:tc>
      </w:tr>
      <w:tr>
        <w:trPr>
          <w:trHeight w:val="195"/>
        </w:trPr>
        <w:tc>
          <w:tcPr>
            <w:tcW w:w="720" w:type="dxa"/>
            <w:vAlign w:val="bottom"/>
          </w:tcPr>
          <w:p>
            <w:pPr>
              <w:jc w:val="right"/>
              <w:ind w:right="116"/>
              <w:spacing w:after="0" w:line="195"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6"/>
                <w:szCs w:val="16"/>
                <w:color w:val="auto"/>
              </w:rPr>
            </w:pPr>
          </w:p>
        </w:tc>
        <w:tc>
          <w:tcPr>
            <w:tcW w:w="4660" w:type="dxa"/>
            <w:vAlign w:val="bottom"/>
            <w:gridSpan w:val="4"/>
          </w:tcPr>
          <w:p>
            <w:pPr>
              <w:spacing w:after="0" w:line="195" w:lineRule="exact"/>
              <w:rPr>
                <w:rFonts w:ascii="Arial" w:cs="Arial" w:eastAsia="Arial" w:hAnsi="Arial"/>
                <w:sz w:val="18"/>
                <w:szCs w:val="18"/>
                <w:u w:val="single" w:color="auto"/>
                <w:color w:val="0000EE"/>
              </w:rPr>
            </w:pPr>
            <w:hyperlink r:id="rId85">
              <w:r>
                <w:rPr>
                  <w:rFonts w:ascii="Arial" w:cs="Arial" w:eastAsia="Arial" w:hAnsi="Arial"/>
                  <w:sz w:val="18"/>
                  <w:szCs w:val="18"/>
                  <w:u w:val="single" w:color="auto"/>
                  <w:color w:val="0000EE"/>
                </w:rPr>
                <w:t>Amended and Restated Certificate of Incorporation.</w:t>
              </w:r>
            </w:hyperlink>
          </w:p>
        </w:tc>
        <w:tc>
          <w:tcPr>
            <w:tcW w:w="560" w:type="dxa"/>
            <w:vAlign w:val="bottom"/>
          </w:tcPr>
          <w:p>
            <w:pPr>
              <w:jc w:val="center"/>
              <w:spacing w:after="0" w:line="195" w:lineRule="exact"/>
              <w:rPr>
                <w:sz w:val="20"/>
                <w:szCs w:val="20"/>
                <w:color w:val="auto"/>
              </w:rPr>
            </w:pPr>
            <w:r>
              <w:rPr>
                <w:rFonts w:ascii="Arial" w:cs="Arial" w:eastAsia="Arial" w:hAnsi="Arial"/>
                <w:sz w:val="18"/>
                <w:szCs w:val="18"/>
                <w:color w:val="auto"/>
                <w:w w:val="99"/>
              </w:rPr>
              <w:t>8-K</w:t>
            </w:r>
          </w:p>
        </w:tc>
        <w:tc>
          <w:tcPr>
            <w:tcW w:w="600" w:type="dxa"/>
            <w:vAlign w:val="bottom"/>
          </w:tcPr>
          <w:p>
            <w:pPr>
              <w:ind w:left="60"/>
              <w:spacing w:after="0" w:line="195" w:lineRule="exact"/>
              <w:rPr>
                <w:sz w:val="20"/>
                <w:szCs w:val="20"/>
                <w:color w:val="auto"/>
              </w:rPr>
            </w:pPr>
            <w:r>
              <w:rPr>
                <w:rFonts w:ascii="Arial" w:cs="Arial" w:eastAsia="Arial" w:hAnsi="Arial"/>
                <w:sz w:val="18"/>
                <w:szCs w:val="18"/>
                <w:color w:val="auto"/>
              </w:rPr>
              <w:t>001-</w:t>
            </w:r>
          </w:p>
        </w:tc>
        <w:tc>
          <w:tcPr>
            <w:tcW w:w="600" w:type="dxa"/>
            <w:vAlign w:val="bottom"/>
          </w:tcPr>
          <w:p>
            <w:pPr>
              <w:jc w:val="center"/>
              <w:spacing w:after="0" w:line="195" w:lineRule="exact"/>
              <w:rPr>
                <w:sz w:val="20"/>
                <w:szCs w:val="20"/>
                <w:color w:val="auto"/>
              </w:rPr>
            </w:pPr>
            <w:r>
              <w:rPr>
                <w:rFonts w:ascii="Arial" w:cs="Arial" w:eastAsia="Arial" w:hAnsi="Arial"/>
                <w:sz w:val="18"/>
                <w:szCs w:val="18"/>
                <w:color w:val="auto"/>
                <w:w w:val="87"/>
              </w:rPr>
              <w:t>3.1</w:t>
            </w:r>
          </w:p>
        </w:tc>
        <w:tc>
          <w:tcPr>
            <w:tcW w:w="1600" w:type="dxa"/>
            <w:vAlign w:val="bottom"/>
          </w:tcPr>
          <w:p>
            <w:pPr>
              <w:jc w:val="center"/>
              <w:ind w:right="558"/>
              <w:spacing w:after="0" w:line="195" w:lineRule="exact"/>
              <w:rPr>
                <w:sz w:val="20"/>
                <w:szCs w:val="20"/>
                <w:color w:val="auto"/>
              </w:rPr>
            </w:pPr>
            <w:r>
              <w:rPr>
                <w:rFonts w:ascii="Arial" w:cs="Arial" w:eastAsia="Arial" w:hAnsi="Arial"/>
                <w:sz w:val="18"/>
                <w:szCs w:val="18"/>
                <w:color w:val="auto"/>
                <w:w w:val="89"/>
              </w:rPr>
              <w:t>3/13/2018</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38410</w:t>
            </w:r>
          </w:p>
        </w:tc>
        <w:tc>
          <w:tcPr>
            <w:tcW w:w="6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20" w:type="dxa"/>
            <w:vAlign w:val="bottom"/>
          </w:tcPr>
          <w:p>
            <w:pPr>
              <w:jc w:val="right"/>
              <w:ind w:right="116"/>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4660" w:type="dxa"/>
            <w:vAlign w:val="bottom"/>
            <w:gridSpan w:val="4"/>
          </w:tcPr>
          <w:p>
            <w:pPr>
              <w:spacing w:after="0"/>
              <w:rPr>
                <w:rFonts w:ascii="Arial" w:cs="Arial" w:eastAsia="Arial" w:hAnsi="Arial"/>
                <w:sz w:val="18"/>
                <w:szCs w:val="18"/>
                <w:u w:val="single" w:color="auto"/>
                <w:color w:val="0000EE"/>
              </w:rPr>
            </w:pPr>
            <w:hyperlink r:id="rId86">
              <w:r>
                <w:rPr>
                  <w:rFonts w:ascii="Arial" w:cs="Arial" w:eastAsia="Arial" w:hAnsi="Arial"/>
                  <w:sz w:val="18"/>
                  <w:szCs w:val="18"/>
                  <w:u w:val="single" w:color="auto"/>
                  <w:color w:val="0000EE"/>
                </w:rPr>
                <w:t>Amended and Restated Bylaws.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00" w:type="dxa"/>
            <w:vAlign w:val="bottom"/>
          </w:tcPr>
          <w:p>
            <w:pPr>
              <w:ind w:left="60"/>
              <w:spacing w:after="0"/>
              <w:rPr>
                <w:sz w:val="20"/>
                <w:szCs w:val="20"/>
                <w:color w:val="auto"/>
              </w:rPr>
            </w:pPr>
            <w:r>
              <w:rPr>
                <w:rFonts w:ascii="Arial" w:cs="Arial" w:eastAsia="Arial" w:hAnsi="Arial"/>
                <w:sz w:val="18"/>
                <w:szCs w:val="18"/>
                <w:color w:val="auto"/>
              </w:rPr>
              <w:t>001-</w:t>
            </w:r>
          </w:p>
        </w:tc>
        <w:tc>
          <w:tcPr>
            <w:tcW w:w="6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600" w:type="dxa"/>
            <w:vAlign w:val="bottom"/>
          </w:tcPr>
          <w:p>
            <w:pPr>
              <w:jc w:val="center"/>
              <w:ind w:right="558"/>
              <w:spacing w:after="0"/>
              <w:rPr>
                <w:sz w:val="20"/>
                <w:szCs w:val="20"/>
                <w:color w:val="auto"/>
              </w:rPr>
            </w:pPr>
            <w:r>
              <w:rPr>
                <w:rFonts w:ascii="Arial" w:cs="Arial" w:eastAsia="Arial" w:hAnsi="Arial"/>
                <w:sz w:val="18"/>
                <w:szCs w:val="18"/>
                <w:color w:val="auto"/>
                <w:w w:val="89"/>
              </w:rPr>
              <w:t>3/13/2018</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38410</w:t>
            </w:r>
          </w:p>
        </w:tc>
        <w:tc>
          <w:tcPr>
            <w:tcW w:w="6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0" w:type="dxa"/>
            <w:vAlign w:val="bottom"/>
          </w:tcPr>
          <w:p>
            <w:pPr>
              <w:jc w:val="center"/>
              <w:spacing w:after="0"/>
              <w:rPr>
                <w:sz w:val="20"/>
                <w:szCs w:val="20"/>
                <w:color w:val="auto"/>
              </w:rPr>
            </w:pPr>
            <w:r>
              <w:rPr>
                <w:rFonts w:ascii="Arial" w:cs="Arial" w:eastAsia="Arial" w:hAnsi="Arial"/>
                <w:sz w:val="18"/>
                <w:szCs w:val="18"/>
                <w:color w:val="auto"/>
                <w:w w:val="93"/>
              </w:rPr>
              <w:t>10.1†</w:t>
            </w:r>
          </w:p>
        </w:tc>
        <w:tc>
          <w:tcPr>
            <w:tcW w:w="180" w:type="dxa"/>
            <w:vAlign w:val="bottom"/>
          </w:tcPr>
          <w:p>
            <w:pPr>
              <w:spacing w:after="0"/>
              <w:rPr>
                <w:sz w:val="24"/>
                <w:szCs w:val="24"/>
                <w:color w:val="auto"/>
              </w:rPr>
            </w:pPr>
          </w:p>
        </w:tc>
        <w:tc>
          <w:tcPr>
            <w:tcW w:w="4660" w:type="dxa"/>
            <w:vAlign w:val="bottom"/>
            <w:gridSpan w:val="4"/>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Non-Employee Director Compensation Program</w:t>
              </w:r>
            </w:hyperlink>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0" w:type="dxa"/>
            <w:vAlign w:val="bottom"/>
          </w:tcPr>
          <w:p>
            <w:pPr>
              <w:jc w:val="center"/>
              <w:ind w:left="85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08"/>
        </w:trPr>
        <w:tc>
          <w:tcPr>
            <w:tcW w:w="7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80" w:type="dxa"/>
            <w:vAlign w:val="bottom"/>
          </w:tcPr>
          <w:p>
            <w:pPr>
              <w:spacing w:after="0"/>
              <w:rPr>
                <w:sz w:val="24"/>
                <w:szCs w:val="24"/>
                <w:color w:val="auto"/>
              </w:rPr>
            </w:pPr>
          </w:p>
        </w:tc>
        <w:tc>
          <w:tcPr>
            <w:tcW w:w="4660" w:type="dxa"/>
            <w:vAlign w:val="bottom"/>
            <w:gridSpan w:val="4"/>
          </w:tcPr>
          <w:p>
            <w:pPr>
              <w:spacing w:after="0"/>
              <w:rPr>
                <w:rFonts w:ascii="Arial" w:cs="Arial" w:eastAsia="Arial" w:hAnsi="Arial"/>
                <w:sz w:val="18"/>
                <w:szCs w:val="18"/>
                <w:color w:val="0000EE"/>
                <w:w w:val="89"/>
              </w:rPr>
            </w:pPr>
            <w:hyperlink r:id="rId87">
              <w:r>
                <w:rPr>
                  <w:rFonts w:ascii="Arial" w:cs="Arial" w:eastAsia="Arial" w:hAnsi="Arial"/>
                  <w:sz w:val="18"/>
                  <w:szCs w:val="18"/>
                  <w:color w:val="0000EE"/>
                  <w:w w:val="89"/>
                </w:rPr>
                <w:t>Second Amended and Restated Separation and Shared Services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600" w:type="dxa"/>
            <w:vAlign w:val="bottom"/>
          </w:tcPr>
          <w:p>
            <w:pPr>
              <w:ind w:left="60"/>
              <w:spacing w:after="0"/>
              <w:rPr>
                <w:sz w:val="20"/>
                <w:szCs w:val="20"/>
                <w:color w:val="auto"/>
              </w:rPr>
            </w:pPr>
            <w:r>
              <w:rPr>
                <w:rFonts w:ascii="Arial" w:cs="Arial" w:eastAsia="Arial" w:hAnsi="Arial"/>
                <w:sz w:val="18"/>
                <w:szCs w:val="18"/>
                <w:color w:val="auto"/>
              </w:rPr>
              <w:t>001-</w:t>
            </w:r>
          </w:p>
        </w:tc>
        <w:tc>
          <w:tcPr>
            <w:tcW w:w="60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600" w:type="dxa"/>
            <w:vAlign w:val="bottom"/>
          </w:tcPr>
          <w:p>
            <w:pPr>
              <w:jc w:val="center"/>
              <w:ind w:right="578"/>
              <w:spacing w:after="0"/>
              <w:rPr>
                <w:sz w:val="20"/>
                <w:szCs w:val="20"/>
                <w:color w:val="auto"/>
              </w:rPr>
            </w:pPr>
            <w:r>
              <w:rPr>
                <w:rFonts w:ascii="Arial" w:cs="Arial" w:eastAsia="Arial" w:hAnsi="Arial"/>
                <w:sz w:val="18"/>
                <w:szCs w:val="18"/>
                <w:color w:val="auto"/>
                <w:w w:val="90"/>
              </w:rPr>
              <w:t>03/09/2020</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40" w:type="dxa"/>
            <w:vAlign w:val="bottom"/>
            <w:tcBorders>
              <w:top w:val="single" w:sz="8" w:color="0000EE"/>
            </w:tcBorders>
            <w:gridSpan w:val="3"/>
          </w:tcPr>
          <w:p>
            <w:pPr>
              <w:spacing w:after="0" w:line="196" w:lineRule="exact"/>
              <w:rPr>
                <w:rFonts w:ascii="Arial" w:cs="Arial" w:eastAsia="Arial" w:hAnsi="Arial"/>
                <w:sz w:val="18"/>
                <w:szCs w:val="18"/>
                <w:color w:val="0000EE"/>
                <w:w w:val="96"/>
              </w:rPr>
            </w:pPr>
            <w:hyperlink r:id="rId87">
              <w:r>
                <w:rPr>
                  <w:rFonts w:ascii="Arial" w:cs="Arial" w:eastAsia="Arial" w:hAnsi="Arial"/>
                  <w:sz w:val="18"/>
                  <w:szCs w:val="18"/>
                  <w:color w:val="0000EE"/>
                  <w:w w:val="96"/>
                </w:rPr>
                <w:t>Agreement, dated March 6, 2020, by and between BioXcel</w:t>
              </w:r>
            </w:hyperlink>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ind w:left="60"/>
              <w:spacing w:after="0" w:line="196" w:lineRule="exact"/>
              <w:rPr>
                <w:sz w:val="20"/>
                <w:szCs w:val="20"/>
                <w:color w:val="auto"/>
              </w:rPr>
            </w:pPr>
            <w:r>
              <w:rPr>
                <w:rFonts w:ascii="Arial" w:cs="Arial" w:eastAsia="Arial" w:hAnsi="Arial"/>
                <w:sz w:val="18"/>
                <w:szCs w:val="18"/>
                <w:color w:val="auto"/>
              </w:rPr>
              <w:t>38410</w:t>
            </w:r>
          </w:p>
        </w:tc>
        <w:tc>
          <w:tcPr>
            <w:tcW w:w="6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Corporation and BioXcel Therapeutics, Inc.</w:t>
              </w:r>
            </w:hyperlink>
          </w:p>
        </w:tc>
        <w:tc>
          <w:tcPr>
            <w:tcW w:w="44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25" w:right="1440" w:bottom="1440" w:gutter="0" w:footer="0" w:header="0"/>
        </w:sectPr>
      </w:pPr>
    </w:p>
    <w:p>
      <w:pPr>
        <w:spacing w:after="0" w:line="1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1"/>
              </w:rPr>
              <w:t>31.1</w:t>
            </w:r>
          </w:p>
        </w:tc>
        <w:tc>
          <w:tcPr>
            <w:tcW w:w="4700" w:type="dxa"/>
            <w:vAlign w:val="bottom"/>
            <w:gridSpan w:val="10"/>
          </w:tcPr>
          <w:p>
            <w:pPr>
              <w:spacing w:after="0"/>
              <w:rPr>
                <w:rFonts w:ascii="Arial" w:cs="Arial" w:eastAsia="Arial" w:hAnsi="Arial"/>
                <w:sz w:val="18"/>
                <w:szCs w:val="18"/>
                <w:color w:val="0000EE"/>
                <w:w w:val="97"/>
              </w:rPr>
            </w:pPr>
            <w:hyperlink w:anchor="page75">
              <w:r>
                <w:rPr>
                  <w:rFonts w:ascii="Arial" w:cs="Arial" w:eastAsia="Arial" w:hAnsi="Arial"/>
                  <w:sz w:val="18"/>
                  <w:szCs w:val="18"/>
                  <w:color w:val="0000EE"/>
                  <w:w w:val="97"/>
                </w:rPr>
                <w:t>Certification of Principal Executive Officer Pursuant to Rules</w:t>
              </w:r>
            </w:hyperlink>
          </w:p>
        </w:tc>
      </w:tr>
      <w:tr>
        <w:trPr>
          <w:trHeight w:val="20"/>
        </w:trPr>
        <w:tc>
          <w:tcPr>
            <w:tcW w:w="8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45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75">
              <w:r>
                <w:rPr>
                  <w:rFonts w:ascii="Arial" w:cs="Arial" w:eastAsia="Arial" w:hAnsi="Arial"/>
                  <w:sz w:val="18"/>
                  <w:szCs w:val="18"/>
                  <w:color w:val="0000EE"/>
                  <w:w w:val="90"/>
                </w:rPr>
                <w:t>13a-14(a) and 15d-14(a) under the Securities Exchange Act of</w:t>
              </w:r>
            </w:hyperlink>
          </w:p>
        </w:tc>
        <w:tc>
          <w:tcPr>
            <w:tcW w:w="200" w:type="dxa"/>
            <w:vAlign w:val="bottom"/>
            <w:gridSpan w:val="3"/>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4700" w:type="dxa"/>
            <w:vAlign w:val="bottom"/>
            <w:gridSpan w:val="10"/>
          </w:tcPr>
          <w:p>
            <w:pPr>
              <w:spacing w:after="0" w:line="19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1934, as Adopted Pursuant to Section 302 of the Sarbanes-Oxley</w:t>
              </w:r>
            </w:hyperlink>
          </w:p>
        </w:tc>
      </w:tr>
      <w:tr>
        <w:trPr>
          <w:trHeight w:val="196"/>
        </w:trPr>
        <w:tc>
          <w:tcPr>
            <w:tcW w:w="860" w:type="dxa"/>
            <w:vAlign w:val="bottom"/>
          </w:tcPr>
          <w:p>
            <w:pPr>
              <w:spacing w:after="0"/>
              <w:rPr>
                <w:sz w:val="17"/>
                <w:szCs w:val="17"/>
                <w:color w:val="auto"/>
              </w:rPr>
            </w:pPr>
          </w:p>
        </w:tc>
        <w:tc>
          <w:tcPr>
            <w:tcW w:w="9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75">
              <w:r>
                <w:rPr>
                  <w:rFonts w:ascii="Arial" w:cs="Arial" w:eastAsia="Arial" w:hAnsi="Arial"/>
                  <w:sz w:val="18"/>
                  <w:szCs w:val="18"/>
                  <w:color w:val="0000EE"/>
                  <w:w w:val="93"/>
                </w:rPr>
                <w:t>Act of 2002.</w:t>
              </w:r>
            </w:hyperlink>
          </w:p>
        </w:tc>
        <w:tc>
          <w:tcPr>
            <w:tcW w:w="376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1"/>
              </w:rPr>
              <w:t>31.2</w:t>
            </w:r>
          </w:p>
        </w:tc>
        <w:tc>
          <w:tcPr>
            <w:tcW w:w="444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77">
              <w:r>
                <w:rPr>
                  <w:rFonts w:ascii="Arial" w:cs="Arial" w:eastAsia="Arial" w:hAnsi="Arial"/>
                  <w:sz w:val="18"/>
                  <w:szCs w:val="18"/>
                  <w:color w:val="0000EE"/>
                  <w:w w:val="93"/>
                </w:rPr>
                <w:t>Certification of Principal Financial Officer Pursuant to Rules</w:t>
              </w:r>
            </w:hyperlink>
          </w:p>
        </w:tc>
        <w:tc>
          <w:tcPr>
            <w:tcW w:w="260" w:type="dxa"/>
            <w:vAlign w:val="bottom"/>
            <w:gridSpan w:val="4"/>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45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77">
              <w:r>
                <w:rPr>
                  <w:rFonts w:ascii="Arial" w:cs="Arial" w:eastAsia="Arial" w:hAnsi="Arial"/>
                  <w:sz w:val="18"/>
                  <w:szCs w:val="18"/>
                  <w:color w:val="0000EE"/>
                  <w:w w:val="90"/>
                </w:rPr>
                <w:t>13a-14(a) and 15d-14(a) under the Securities Exchange Act of</w:t>
              </w:r>
            </w:hyperlink>
          </w:p>
        </w:tc>
        <w:tc>
          <w:tcPr>
            <w:tcW w:w="200" w:type="dxa"/>
            <w:vAlign w:val="bottom"/>
            <w:gridSpan w:val="3"/>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4700" w:type="dxa"/>
            <w:vAlign w:val="bottom"/>
            <w:gridSpan w:val="10"/>
          </w:tcPr>
          <w:p>
            <w:pPr>
              <w:spacing w:after="0" w:line="196"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1934, as Adopted Pursuant to Section 302 of the Sarbanes-Oxley</w:t>
              </w:r>
            </w:hyperlink>
          </w:p>
        </w:tc>
      </w:tr>
      <w:tr>
        <w:trPr>
          <w:trHeight w:val="196"/>
        </w:trPr>
        <w:tc>
          <w:tcPr>
            <w:tcW w:w="860" w:type="dxa"/>
            <w:vAlign w:val="bottom"/>
          </w:tcPr>
          <w:p>
            <w:pPr>
              <w:spacing w:after="0"/>
              <w:rPr>
                <w:sz w:val="17"/>
                <w:szCs w:val="17"/>
                <w:color w:val="auto"/>
              </w:rPr>
            </w:pPr>
          </w:p>
        </w:tc>
        <w:tc>
          <w:tcPr>
            <w:tcW w:w="9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77">
              <w:r>
                <w:rPr>
                  <w:rFonts w:ascii="Arial" w:cs="Arial" w:eastAsia="Arial" w:hAnsi="Arial"/>
                  <w:sz w:val="18"/>
                  <w:szCs w:val="18"/>
                  <w:color w:val="0000EE"/>
                  <w:w w:val="93"/>
                </w:rPr>
                <w:t>Act of 2002.</w:t>
              </w:r>
            </w:hyperlink>
          </w:p>
        </w:tc>
        <w:tc>
          <w:tcPr>
            <w:tcW w:w="376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1"/>
              </w:rPr>
              <w:t>32.1</w:t>
            </w:r>
          </w:p>
        </w:tc>
        <w:tc>
          <w:tcPr>
            <w:tcW w:w="42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80">
              <w:r>
                <w:rPr>
                  <w:rFonts w:ascii="Arial" w:cs="Arial" w:eastAsia="Arial" w:hAnsi="Arial"/>
                  <w:sz w:val="18"/>
                  <w:szCs w:val="18"/>
                  <w:color w:val="0000EE"/>
                  <w:w w:val="92"/>
                </w:rPr>
                <w:t>Certification of Principal Executive Officer Pursuant to 18</w:t>
              </w:r>
            </w:hyperlink>
          </w:p>
        </w:tc>
        <w:tc>
          <w:tcPr>
            <w:tcW w:w="480" w:type="dxa"/>
            <w:vAlign w:val="bottom"/>
            <w:gridSpan w:val="5"/>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4700" w:type="dxa"/>
            <w:vAlign w:val="bottom"/>
            <w:gridSpan w:val="10"/>
          </w:tcPr>
          <w:p>
            <w:pPr>
              <w:spacing w:after="0" w:line="196" w:lineRule="exact"/>
              <w:rPr>
                <w:rFonts w:ascii="Arial" w:cs="Arial" w:eastAsia="Arial" w:hAnsi="Arial"/>
                <w:sz w:val="18"/>
                <w:szCs w:val="18"/>
                <w:color w:val="0000EE"/>
                <w:w w:val="91"/>
              </w:rPr>
            </w:pPr>
            <w:hyperlink w:anchor="page80">
              <w:r>
                <w:rPr>
                  <w:rFonts w:ascii="Arial" w:cs="Arial" w:eastAsia="Arial" w:hAnsi="Arial"/>
                  <w:sz w:val="18"/>
                  <w:szCs w:val="18"/>
                  <w:color w:val="0000EE"/>
                  <w:w w:val="91"/>
                </w:rPr>
                <w:t>U.S.C. Section 1350, as Adopted Pursuant to Section 906 of the</w:t>
              </w:r>
            </w:hyperlink>
          </w:p>
        </w:tc>
      </w:tr>
      <w:tr>
        <w:trPr>
          <w:trHeight w:val="196"/>
        </w:trPr>
        <w:tc>
          <w:tcPr>
            <w:tcW w:w="86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80">
              <w:r>
                <w:rPr>
                  <w:rFonts w:ascii="Arial" w:cs="Arial" w:eastAsia="Arial" w:hAnsi="Arial"/>
                  <w:sz w:val="18"/>
                  <w:szCs w:val="18"/>
                  <w:color w:val="0000EE"/>
                  <w:w w:val="91"/>
                </w:rPr>
                <w:t>Sarbanes-Oxley Act of 2002.</w:t>
              </w:r>
            </w:hyperlink>
          </w:p>
        </w:tc>
        <w:tc>
          <w:tcPr>
            <w:tcW w:w="2480" w:type="dxa"/>
            <w:vAlign w:val="bottom"/>
            <w:tcBorders>
              <w:top w:val="single" w:sz="8" w:color="0000EE"/>
            </w:tcBorders>
            <w:gridSpan w:val="5"/>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412"/>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1"/>
              </w:rPr>
              <w:t>32.2</w:t>
            </w:r>
          </w:p>
        </w:tc>
        <w:tc>
          <w:tcPr>
            <w:tcW w:w="470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81">
              <w:r>
                <w:rPr>
                  <w:rFonts w:ascii="Arial" w:cs="Arial" w:eastAsia="Arial" w:hAnsi="Arial"/>
                  <w:sz w:val="18"/>
                  <w:szCs w:val="18"/>
                  <w:color w:val="0000EE"/>
                  <w:w w:val="92"/>
                </w:rPr>
                <w:t>Certification of Principal Financial Officer Pursuant to 18 U.S.C.</w:t>
              </w:r>
            </w:hyperlink>
          </w:p>
        </w:tc>
      </w:tr>
      <w:tr>
        <w:trPr>
          <w:trHeight w:val="196"/>
        </w:trPr>
        <w:tc>
          <w:tcPr>
            <w:tcW w:w="860" w:type="dxa"/>
            <w:vAlign w:val="bottom"/>
          </w:tcPr>
          <w:p>
            <w:pPr>
              <w:spacing w:after="0"/>
              <w:rPr>
                <w:sz w:val="17"/>
                <w:szCs w:val="17"/>
                <w:color w:val="auto"/>
              </w:rPr>
            </w:pPr>
          </w:p>
        </w:tc>
        <w:tc>
          <w:tcPr>
            <w:tcW w:w="40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Section 1350, as Adopted Pursuant to Section 906 of the</w:t>
              </w:r>
            </w:hyperlink>
          </w:p>
        </w:tc>
        <w:tc>
          <w:tcPr>
            <w:tcW w:w="620" w:type="dxa"/>
            <w:vAlign w:val="bottom"/>
            <w:gridSpan w:val="6"/>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4700" w:type="dxa"/>
            <w:vAlign w:val="bottom"/>
            <w:gridSpan w:val="10"/>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Sarbanes-Oxley Act of 2002.</w:t>
              </w:r>
            </w:hyperlink>
          </w:p>
        </w:tc>
      </w:tr>
      <w:tr>
        <w:trPr>
          <w:trHeight w:val="453"/>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2"/>
              </w:rPr>
              <w:t>101.INS</w:t>
            </w:r>
          </w:p>
        </w:tc>
        <w:tc>
          <w:tcPr>
            <w:tcW w:w="21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XBRL Instance Document</w:t>
            </w:r>
          </w:p>
        </w:tc>
        <w:tc>
          <w:tcPr>
            <w:tcW w:w="2600" w:type="dxa"/>
            <w:vAlign w:val="bottom"/>
            <w:gridSpan w:val="8"/>
          </w:tcPr>
          <w:p>
            <w:pPr>
              <w:spacing w:after="0"/>
              <w:rPr>
                <w:sz w:val="24"/>
                <w:szCs w:val="24"/>
                <w:color w:val="auto"/>
              </w:rPr>
            </w:pPr>
          </w:p>
        </w:tc>
      </w:tr>
      <w:tr>
        <w:trPr>
          <w:trHeight w:val="338"/>
        </w:trPr>
        <w:tc>
          <w:tcPr>
            <w:tcW w:w="860" w:type="dxa"/>
            <w:vAlign w:val="bottom"/>
          </w:tcPr>
          <w:p>
            <w:pPr>
              <w:jc w:val="center"/>
              <w:ind w:right="70"/>
              <w:spacing w:after="0"/>
              <w:rPr>
                <w:sz w:val="20"/>
                <w:szCs w:val="20"/>
                <w:color w:val="auto"/>
              </w:rPr>
            </w:pPr>
            <w:r>
              <w:rPr>
                <w:rFonts w:ascii="Arial" w:cs="Arial" w:eastAsia="Arial" w:hAnsi="Arial"/>
                <w:sz w:val="18"/>
                <w:szCs w:val="18"/>
                <w:color w:val="auto"/>
                <w:w w:val="90"/>
              </w:rPr>
              <w:t>101.SCH</w:t>
            </w:r>
          </w:p>
        </w:tc>
        <w:tc>
          <w:tcPr>
            <w:tcW w:w="470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7"/>
              </w:rPr>
              <w:t>101.CAL</w:t>
            </w:r>
          </w:p>
        </w:tc>
        <w:tc>
          <w:tcPr>
            <w:tcW w:w="4700" w:type="dxa"/>
            <w:vAlign w:val="bottom"/>
            <w:gridSpan w:val="10"/>
          </w:tcPr>
          <w:p>
            <w:pPr>
              <w:spacing w:after="0"/>
              <w:rPr>
                <w:sz w:val="20"/>
                <w:szCs w:val="20"/>
                <w:color w:val="auto"/>
              </w:rPr>
            </w:pPr>
            <w:r>
              <w:rPr>
                <w:rFonts w:ascii="Arial" w:cs="Arial" w:eastAsia="Arial" w:hAnsi="Arial"/>
                <w:sz w:val="18"/>
                <w:szCs w:val="18"/>
                <w:color w:val="auto"/>
                <w:w w:val="97"/>
              </w:rPr>
              <w:t>XBRL Taxonomy Extension Calculation Linkbase Document</w:t>
            </w:r>
          </w:p>
        </w:tc>
      </w:tr>
      <w:tr>
        <w:trPr>
          <w:trHeight w:val="338"/>
        </w:trPr>
        <w:tc>
          <w:tcPr>
            <w:tcW w:w="860" w:type="dxa"/>
            <w:vAlign w:val="bottom"/>
          </w:tcPr>
          <w:p>
            <w:pPr>
              <w:jc w:val="center"/>
              <w:ind w:right="70"/>
              <w:spacing w:after="0"/>
              <w:rPr>
                <w:sz w:val="20"/>
                <w:szCs w:val="20"/>
                <w:color w:val="auto"/>
              </w:rPr>
            </w:pPr>
            <w:r>
              <w:rPr>
                <w:rFonts w:ascii="Arial" w:cs="Arial" w:eastAsia="Arial" w:hAnsi="Arial"/>
                <w:sz w:val="18"/>
                <w:szCs w:val="18"/>
                <w:color w:val="auto"/>
                <w:w w:val="92"/>
              </w:rPr>
              <w:t>101.DEF</w:t>
            </w:r>
          </w:p>
        </w:tc>
        <w:tc>
          <w:tcPr>
            <w:tcW w:w="470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8"/>
              </w:rPr>
              <w:t>101.LAB</w:t>
            </w:r>
          </w:p>
        </w:tc>
        <w:tc>
          <w:tcPr>
            <w:tcW w:w="470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88"/>
              </w:rPr>
              <w:t>101.PRE</w:t>
            </w:r>
          </w:p>
        </w:tc>
        <w:tc>
          <w:tcPr>
            <w:tcW w:w="4700" w:type="dxa"/>
            <w:vAlign w:val="bottom"/>
            <w:gridSpan w:val="10"/>
          </w:tcPr>
          <w:p>
            <w:pPr>
              <w:spacing w:after="0"/>
              <w:rPr>
                <w:sz w:val="20"/>
                <w:szCs w:val="20"/>
                <w:color w:val="auto"/>
              </w:rPr>
            </w:pPr>
            <w:r>
              <w:rPr>
                <w:rFonts w:ascii="Arial" w:cs="Arial" w:eastAsia="Arial" w:hAnsi="Arial"/>
                <w:sz w:val="18"/>
                <w:szCs w:val="18"/>
                <w:color w:val="auto"/>
                <w:w w:val="95"/>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68580</wp:posOffset>
            </wp:positionV>
            <wp:extent cx="13627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195" w:lineRule="exact"/>
        <w:rPr>
          <w:sz w:val="20"/>
          <w:szCs w:val="20"/>
          <w:color w:val="auto"/>
        </w:rPr>
      </w:pPr>
    </w:p>
    <w:p>
      <w:pPr>
        <w:ind w:left="360" w:hanging="316"/>
        <w:spacing w:after="0"/>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40" w:hanging="396"/>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879" w:lineRule="exact"/>
        <w:rPr>
          <w:sz w:val="20"/>
          <w:szCs w:val="20"/>
          <w:color w:val="auto"/>
        </w:rPr>
      </w:pPr>
    </w:p>
    <w:p>
      <w:pPr>
        <w:sectPr>
          <w:pgSz w:w="11900" w:h="16838" w:orient="portrait"/>
          <w:cols w:equalWidth="0" w:num="2">
            <w:col w:w="7820" w:space="720"/>
            <w:col w:w="479"/>
          </w:cols>
          <w:pgMar w:left="1440" w:top="125" w:right="1440"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70" w:name="page71"/>
    <w:bookmarkEnd w:id="7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31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BioXcel Therapeutics, Inc.</w:t>
            </w:r>
          </w:p>
        </w:tc>
      </w:tr>
      <w:tr>
        <w:trPr>
          <w:trHeight w:val="418"/>
        </w:trPr>
        <w:tc>
          <w:tcPr>
            <w:tcW w:w="2960" w:type="dxa"/>
            <w:vAlign w:val="bottom"/>
          </w:tcPr>
          <w:p>
            <w:pPr>
              <w:spacing w:after="0"/>
              <w:rPr>
                <w:sz w:val="20"/>
                <w:szCs w:val="20"/>
                <w:color w:val="auto"/>
              </w:rPr>
            </w:pPr>
            <w:r>
              <w:rPr>
                <w:rFonts w:ascii="Arial" w:cs="Arial" w:eastAsia="Arial" w:hAnsi="Arial"/>
                <w:sz w:val="18"/>
                <w:szCs w:val="18"/>
                <w:color w:val="auto"/>
              </w:rPr>
              <w:t>Dated: May 12, 2020</w:t>
            </w:r>
          </w:p>
        </w:tc>
        <w:tc>
          <w:tcPr>
            <w:tcW w:w="150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By:</w:t>
            </w:r>
          </w:p>
        </w:tc>
      </w:tr>
      <w:tr>
        <w:trPr>
          <w:trHeight w:val="230"/>
        </w:trPr>
        <w:tc>
          <w:tcPr>
            <w:tcW w:w="29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Vimal Mehta</w:t>
            </w:r>
          </w:p>
        </w:tc>
      </w:tr>
      <w:tr>
        <w:trPr>
          <w:trHeight w:val="195"/>
        </w:trPr>
        <w:tc>
          <w:tcPr>
            <w:tcW w:w="29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460" w:type="dxa"/>
            <w:vAlign w:val="bottom"/>
          </w:tcPr>
          <w:p>
            <w:pPr>
              <w:spacing w:after="0" w:line="195" w:lineRule="exact"/>
              <w:rPr>
                <w:sz w:val="20"/>
                <w:szCs w:val="20"/>
                <w:color w:val="auto"/>
              </w:rPr>
            </w:pPr>
            <w:r>
              <w:rPr>
                <w:rFonts w:ascii="Arial" w:cs="Arial" w:eastAsia="Arial" w:hAnsi="Arial"/>
                <w:sz w:val="18"/>
                <w:szCs w:val="18"/>
                <w:color w:val="auto"/>
              </w:rPr>
              <w:t>Vimal Mehta</w:t>
            </w:r>
          </w:p>
        </w:tc>
      </w:tr>
      <w:tr>
        <w:trPr>
          <w:trHeight w:val="216"/>
        </w:trPr>
        <w:tc>
          <w:tcPr>
            <w:tcW w:w="29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29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634"/>
        </w:trPr>
        <w:tc>
          <w:tcPr>
            <w:tcW w:w="2960" w:type="dxa"/>
            <w:vAlign w:val="bottom"/>
          </w:tcPr>
          <w:p>
            <w:pPr>
              <w:spacing w:after="0"/>
              <w:rPr>
                <w:sz w:val="20"/>
                <w:szCs w:val="20"/>
                <w:color w:val="auto"/>
              </w:rPr>
            </w:pPr>
            <w:r>
              <w:rPr>
                <w:rFonts w:ascii="Arial" w:cs="Arial" w:eastAsia="Arial" w:hAnsi="Arial"/>
                <w:sz w:val="18"/>
                <w:szCs w:val="18"/>
                <w:color w:val="auto"/>
              </w:rPr>
              <w:t>Dated: May 12, 2020</w:t>
            </w:r>
          </w:p>
        </w:tc>
        <w:tc>
          <w:tcPr>
            <w:tcW w:w="150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By:</w:t>
            </w:r>
          </w:p>
        </w:tc>
      </w:tr>
      <w:tr>
        <w:trPr>
          <w:trHeight w:val="230"/>
        </w:trPr>
        <w:tc>
          <w:tcPr>
            <w:tcW w:w="29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Steinhart</w:t>
            </w:r>
          </w:p>
        </w:tc>
      </w:tr>
      <w:tr>
        <w:trPr>
          <w:trHeight w:val="195"/>
        </w:trPr>
        <w:tc>
          <w:tcPr>
            <w:tcW w:w="29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460" w:type="dxa"/>
            <w:vAlign w:val="bottom"/>
          </w:tcPr>
          <w:p>
            <w:pPr>
              <w:spacing w:after="0" w:line="195" w:lineRule="exact"/>
              <w:rPr>
                <w:sz w:val="20"/>
                <w:szCs w:val="20"/>
                <w:color w:val="auto"/>
              </w:rPr>
            </w:pPr>
            <w:r>
              <w:rPr>
                <w:rFonts w:ascii="Arial" w:cs="Arial" w:eastAsia="Arial" w:hAnsi="Arial"/>
                <w:sz w:val="18"/>
                <w:szCs w:val="18"/>
                <w:color w:val="auto"/>
              </w:rPr>
              <w:t>Richard Steinhart, Chief Financial Officer</w:t>
            </w:r>
          </w:p>
        </w:tc>
      </w:tr>
      <w:tr>
        <w:trPr>
          <w:trHeight w:val="230"/>
        </w:trPr>
        <w:tc>
          <w:tcPr>
            <w:tcW w:w="29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864"/>
        </w:trPr>
        <w:tc>
          <w:tcPr>
            <w:tcW w:w="2960" w:type="dxa"/>
            <w:vAlign w:val="bottom"/>
          </w:tcPr>
          <w:p>
            <w:pPr>
              <w:spacing w:after="0"/>
              <w:rPr>
                <w:sz w:val="24"/>
                <w:szCs w:val="24"/>
                <w:color w:val="auto"/>
              </w:rPr>
            </w:pPr>
          </w:p>
        </w:tc>
        <w:tc>
          <w:tcPr>
            <w:tcW w:w="5960" w:type="dxa"/>
            <w:vAlign w:val="bottom"/>
            <w:gridSpan w:val="2"/>
          </w:tcPr>
          <w:p>
            <w:pPr>
              <w:jc w:val="right"/>
              <w:ind w:right="4270"/>
              <w:spacing w:after="0"/>
              <w:rPr>
                <w:sz w:val="20"/>
                <w:szCs w:val="20"/>
                <w:color w:val="auto"/>
              </w:rPr>
            </w:pPr>
            <w:r>
              <w:rPr>
                <w:rFonts w:ascii="Arial" w:cs="Arial" w:eastAsia="Arial" w:hAnsi="Arial"/>
                <w:sz w:val="18"/>
                <w:szCs w:val="18"/>
                <w:color w:val="auto"/>
              </w:rPr>
              <w:t>71</w:t>
            </w:r>
          </w:p>
        </w:tc>
      </w:tr>
      <w:tr>
        <w:trPr>
          <w:trHeight w:val="561"/>
        </w:trPr>
        <w:tc>
          <w:tcPr>
            <w:tcW w:w="29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71" w:name="page72"/>
    <w:bookmarkEnd w:id="71"/>
    <w:p>
      <w:pPr>
        <w:jc w:val="right"/>
        <w:ind w:right="219"/>
        <w:spacing w:after="0"/>
        <w:rPr>
          <w:sz w:val="20"/>
          <w:szCs w:val="20"/>
          <w:color w:val="auto"/>
        </w:rPr>
      </w:pPr>
      <w:r>
        <w:rPr>
          <w:rFonts w:ascii="Arial" w:cs="Arial" w:eastAsia="Arial" w:hAnsi="Arial"/>
          <w:sz w:val="22"/>
          <w:szCs w:val="22"/>
          <w:b w:val="1"/>
          <w:bCs w:val="1"/>
          <w:color w:val="auto"/>
        </w:rPr>
        <w:t>Exhibit 10.1</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BioXcel Therapeutics, Inc.</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Non-Employee Director Compensation Program</w:t>
      </w:r>
    </w:p>
    <w:p>
      <w:pPr>
        <w:spacing w:after="0" w:line="239" w:lineRule="exact"/>
        <w:rPr>
          <w:sz w:val="20"/>
          <w:szCs w:val="20"/>
          <w:color w:val="auto"/>
        </w:rPr>
      </w:pPr>
    </w:p>
    <w:p>
      <w:pPr>
        <w:jc w:val="both"/>
        <w:ind w:left="200" w:right="219"/>
        <w:spacing w:after="0" w:line="271" w:lineRule="auto"/>
        <w:rPr>
          <w:sz w:val="20"/>
          <w:szCs w:val="20"/>
          <w:color w:val="auto"/>
        </w:rPr>
      </w:pPr>
      <w:r>
        <w:rPr>
          <w:rFonts w:ascii="Arial" w:cs="Arial" w:eastAsia="Arial" w:hAnsi="Arial"/>
          <w:sz w:val="19"/>
          <w:szCs w:val="19"/>
          <w:color w:val="auto"/>
        </w:rPr>
        <w:t>Non-employee members of the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of BioXcel Therapeutics,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shall receive cash and equity compensation as set forth in this Non-Employee Director Compensation Program (this “</w:t>
      </w:r>
      <w:r>
        <w:rPr>
          <w:rFonts w:ascii="Arial" w:cs="Arial" w:eastAsia="Arial" w:hAnsi="Arial"/>
          <w:sz w:val="19"/>
          <w:szCs w:val="19"/>
          <w:b w:val="1"/>
          <w:bCs w:val="1"/>
          <w:i w:val="1"/>
          <w:iCs w:val="1"/>
          <w:color w:val="auto"/>
        </w:rPr>
        <w:t>Program</w:t>
      </w:r>
      <w:r>
        <w:rPr>
          <w:rFonts w:ascii="Arial" w:cs="Arial" w:eastAsia="Arial" w:hAnsi="Arial"/>
          <w:sz w:val="19"/>
          <w:szCs w:val="19"/>
          <w:color w:val="auto"/>
        </w:rPr>
        <w:t>”). The cash and equity compensation described in this Program shall be paid or be made, as applicable, automatically and without further action of the Board, to each member of the Board who is not an employee of the Company or any parent or subsidiary of the Company (each, a “</w:t>
      </w:r>
      <w:r>
        <w:rPr>
          <w:rFonts w:ascii="Arial" w:cs="Arial" w:eastAsia="Arial" w:hAnsi="Arial"/>
          <w:sz w:val="19"/>
          <w:szCs w:val="19"/>
          <w:b w:val="1"/>
          <w:bCs w:val="1"/>
          <w:i w:val="1"/>
          <w:iCs w:val="1"/>
          <w:color w:val="auto"/>
        </w:rPr>
        <w:t>Non-Employee Director</w:t>
      </w:r>
      <w:r>
        <w:rPr>
          <w:rFonts w:ascii="Arial" w:cs="Arial" w:eastAsia="Arial" w:hAnsi="Arial"/>
          <w:sz w:val="19"/>
          <w:szCs w:val="19"/>
          <w:color w:val="auto"/>
        </w:rPr>
        <w:t>”) who is entitled to receive such cash or equity compensation, unless such Non-Employee Director declines the receipt of such cash or equity compensation by written notice to the Company and subject to any limits on non-employee director compensation set forth in the Equity Plan (as defined below).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except for equity compensation previously granted to a Non-Employee Director.</w:t>
      </w:r>
    </w:p>
    <w:p>
      <w:pPr>
        <w:spacing w:after="0" w:line="200" w:lineRule="exact"/>
        <w:rPr>
          <w:sz w:val="20"/>
          <w:szCs w:val="20"/>
          <w:color w:val="auto"/>
        </w:rPr>
      </w:pPr>
    </w:p>
    <w:p>
      <w:pPr>
        <w:spacing w:after="0" w:line="20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Cash Compensation</w:t>
      </w:r>
    </w:p>
    <w:p>
      <w:pPr>
        <w:spacing w:after="0" w:line="212" w:lineRule="exact"/>
        <w:rPr>
          <w:sz w:val="20"/>
          <w:szCs w:val="20"/>
          <w:color w:val="auto"/>
        </w:rPr>
      </w:pPr>
    </w:p>
    <w:p>
      <w:pPr>
        <w:ind w:left="200" w:right="879"/>
        <w:spacing w:after="0" w:line="250" w:lineRule="auto"/>
        <w:rPr>
          <w:sz w:val="20"/>
          <w:szCs w:val="20"/>
          <w:color w:val="auto"/>
        </w:rPr>
      </w:pPr>
      <w:r>
        <w:rPr>
          <w:rFonts w:ascii="Arial" w:cs="Arial" w:eastAsia="Arial" w:hAnsi="Arial"/>
          <w:sz w:val="22"/>
          <w:szCs w:val="22"/>
          <w:color w:val="auto"/>
        </w:rPr>
        <w:t>The schedule of annual retainers (the “</w:t>
      </w:r>
      <w:r>
        <w:rPr>
          <w:rFonts w:ascii="Arial" w:cs="Arial" w:eastAsia="Arial" w:hAnsi="Arial"/>
          <w:sz w:val="22"/>
          <w:szCs w:val="22"/>
          <w:b w:val="1"/>
          <w:bCs w:val="1"/>
          <w:i w:val="1"/>
          <w:iCs w:val="1"/>
          <w:color w:val="auto"/>
        </w:rPr>
        <w:t>Annual Retainers</w:t>
      </w:r>
      <w:r>
        <w:rPr>
          <w:rFonts w:ascii="Arial" w:cs="Arial" w:eastAsia="Arial" w:hAnsi="Arial"/>
          <w:sz w:val="22"/>
          <w:szCs w:val="22"/>
          <w:color w:val="auto"/>
        </w:rPr>
        <w:t>”) for the Non-Employee Directors is as follows:</w:t>
      </w:r>
    </w:p>
    <w:p>
      <w:pPr>
        <w:spacing w:after="0" w:line="190"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480" w:type="dxa"/>
            <w:vAlign w:val="bottom"/>
            <w:tcBorders>
              <w:right w:val="single" w:sz="8" w:color="auto"/>
            </w:tcBorders>
          </w:tcPr>
          <w:p>
            <w:pPr>
              <w:spacing w:after="0"/>
              <w:rPr>
                <w:sz w:val="18"/>
                <w:szCs w:val="18"/>
                <w:color w:val="auto"/>
              </w:rPr>
            </w:pPr>
          </w:p>
        </w:tc>
        <w:tc>
          <w:tcPr>
            <w:tcW w:w="2060" w:type="dxa"/>
            <w:vAlign w:val="bottom"/>
            <w:tcBorders>
              <w:top w:val="single" w:sz="8" w:color="auto"/>
            </w:tcBorders>
            <w:shd w:val="clear" w:color="auto" w:fill="BFBFBF"/>
          </w:tcPr>
          <w:p>
            <w:pPr>
              <w:spacing w:after="0"/>
              <w:rPr>
                <w:sz w:val="18"/>
                <w:szCs w:val="18"/>
                <w:color w:val="auto"/>
              </w:rPr>
            </w:pPr>
          </w:p>
        </w:tc>
        <w:tc>
          <w:tcPr>
            <w:tcW w:w="3460" w:type="dxa"/>
            <w:vAlign w:val="bottom"/>
            <w:tcBorders>
              <w:top w:val="single" w:sz="8" w:color="auto"/>
              <w:right w:val="single" w:sz="8" w:color="auto"/>
            </w:tcBorders>
            <w:gridSpan w:val="2"/>
            <w:shd w:val="clear" w:color="auto" w:fill="BFBFBF"/>
          </w:tcPr>
          <w:p>
            <w:pPr>
              <w:spacing w:after="0" w:line="216" w:lineRule="exact"/>
              <w:rPr>
                <w:sz w:val="20"/>
                <w:szCs w:val="20"/>
                <w:color w:val="auto"/>
              </w:rPr>
            </w:pPr>
            <w:r>
              <w:rPr>
                <w:rFonts w:ascii="Arial" w:cs="Arial" w:eastAsia="Arial" w:hAnsi="Arial"/>
                <w:sz w:val="22"/>
                <w:szCs w:val="22"/>
                <w:b w:val="1"/>
                <w:bCs w:val="1"/>
                <w:color w:val="auto"/>
              </w:rPr>
              <w:t>Position</w:t>
            </w:r>
          </w:p>
        </w:tc>
        <w:tc>
          <w:tcPr>
            <w:tcW w:w="2120" w:type="dxa"/>
            <w:vAlign w:val="bottom"/>
            <w:tcBorders>
              <w:top w:val="single" w:sz="8" w:color="auto"/>
              <w:right w:val="single" w:sz="8" w:color="auto"/>
            </w:tcBorders>
            <w:gridSpan w:val="3"/>
            <w:shd w:val="clear" w:color="auto" w:fill="BFBFBF"/>
          </w:tcPr>
          <w:p>
            <w:pPr>
              <w:ind w:left="340"/>
              <w:spacing w:after="0" w:line="216" w:lineRule="exact"/>
              <w:rPr>
                <w:sz w:val="20"/>
                <w:szCs w:val="20"/>
                <w:color w:val="auto"/>
              </w:rPr>
            </w:pPr>
            <w:r>
              <w:rPr>
                <w:rFonts w:ascii="Arial" w:cs="Arial" w:eastAsia="Arial" w:hAnsi="Arial"/>
                <w:sz w:val="22"/>
                <w:szCs w:val="22"/>
                <w:b w:val="1"/>
                <w:bCs w:val="1"/>
                <w:color w:val="auto"/>
              </w:rPr>
              <w:t>Amount</w:t>
            </w:r>
          </w:p>
        </w:tc>
        <w:tc>
          <w:tcPr>
            <w:tcW w:w="460" w:type="dxa"/>
            <w:vAlign w:val="bottom"/>
          </w:tcPr>
          <w:p>
            <w:pPr>
              <w:spacing w:after="0"/>
              <w:rPr>
                <w:sz w:val="18"/>
                <w:szCs w:val="18"/>
                <w:color w:val="auto"/>
              </w:rPr>
            </w:pPr>
          </w:p>
        </w:tc>
      </w:tr>
      <w:tr>
        <w:trPr>
          <w:trHeight w:val="236"/>
        </w:trPr>
        <w:tc>
          <w:tcPr>
            <w:tcW w:w="480" w:type="dxa"/>
            <w:vAlign w:val="bottom"/>
            <w:tcBorders>
              <w:right w:val="single" w:sz="8" w:color="auto"/>
            </w:tcBorders>
          </w:tcPr>
          <w:p>
            <w:pPr>
              <w:spacing w:after="0"/>
              <w:rPr>
                <w:sz w:val="20"/>
                <w:szCs w:val="20"/>
                <w:color w:val="auto"/>
              </w:rPr>
            </w:pPr>
          </w:p>
        </w:tc>
        <w:tc>
          <w:tcPr>
            <w:tcW w:w="2060" w:type="dxa"/>
            <w:vAlign w:val="bottom"/>
            <w:tcBorders>
              <w:top w:val="single" w:sz="8" w:color="BFBFBF"/>
              <w:bottom w:val="single" w:sz="8" w:color="auto"/>
            </w:tcBorders>
            <w:shd w:val="clear" w:color="auto" w:fill="BFBFBF"/>
          </w:tcPr>
          <w:p>
            <w:pPr>
              <w:spacing w:after="0"/>
              <w:rPr>
                <w:sz w:val="20"/>
                <w:szCs w:val="20"/>
                <w:color w:val="auto"/>
              </w:rPr>
            </w:pPr>
          </w:p>
        </w:tc>
        <w:tc>
          <w:tcPr>
            <w:tcW w:w="740" w:type="dxa"/>
            <w:vAlign w:val="bottom"/>
            <w:tcBorders>
              <w:top w:val="single" w:sz="8" w:color="auto"/>
              <w:bottom w:val="single" w:sz="8" w:color="auto"/>
            </w:tcBorders>
            <w:shd w:val="clear" w:color="auto" w:fill="BFBFBF"/>
          </w:tcPr>
          <w:p>
            <w:pPr>
              <w:spacing w:after="0"/>
              <w:rPr>
                <w:sz w:val="20"/>
                <w:szCs w:val="20"/>
                <w:color w:val="auto"/>
              </w:rPr>
            </w:pPr>
          </w:p>
        </w:tc>
        <w:tc>
          <w:tcPr>
            <w:tcW w:w="2720" w:type="dxa"/>
            <w:vAlign w:val="bottom"/>
            <w:tcBorders>
              <w:top w:val="single" w:sz="8" w:color="BFBFBF"/>
              <w:bottom w:val="single" w:sz="8" w:color="auto"/>
              <w:right w:val="single" w:sz="8" w:color="auto"/>
            </w:tcBorders>
            <w:shd w:val="clear" w:color="auto" w:fill="BFBFBF"/>
          </w:tcPr>
          <w:p>
            <w:pPr>
              <w:spacing w:after="0"/>
              <w:rPr>
                <w:sz w:val="20"/>
                <w:szCs w:val="20"/>
                <w:color w:val="auto"/>
              </w:rPr>
            </w:pPr>
          </w:p>
        </w:tc>
        <w:tc>
          <w:tcPr>
            <w:tcW w:w="340" w:type="dxa"/>
            <w:vAlign w:val="bottom"/>
            <w:tcBorders>
              <w:top w:val="single" w:sz="8" w:color="BFBFBF"/>
              <w:bottom w:val="single" w:sz="8" w:color="auto"/>
            </w:tcBorders>
            <w:shd w:val="clear" w:color="auto" w:fill="BFBFBF"/>
          </w:tcPr>
          <w:p>
            <w:pPr>
              <w:spacing w:after="0"/>
              <w:rPr>
                <w:sz w:val="20"/>
                <w:szCs w:val="20"/>
                <w:color w:val="auto"/>
              </w:rPr>
            </w:pPr>
          </w:p>
        </w:tc>
        <w:tc>
          <w:tcPr>
            <w:tcW w:w="760" w:type="dxa"/>
            <w:vAlign w:val="bottom"/>
            <w:tcBorders>
              <w:top w:val="single" w:sz="8" w:color="auto"/>
              <w:bottom w:val="single" w:sz="8" w:color="auto"/>
            </w:tcBorders>
            <w:shd w:val="clear" w:color="auto" w:fill="BFBFBF"/>
          </w:tcPr>
          <w:p>
            <w:pPr>
              <w:spacing w:after="0"/>
              <w:rPr>
                <w:sz w:val="20"/>
                <w:szCs w:val="20"/>
                <w:color w:val="auto"/>
              </w:rPr>
            </w:pPr>
          </w:p>
        </w:tc>
        <w:tc>
          <w:tcPr>
            <w:tcW w:w="1020" w:type="dxa"/>
            <w:vAlign w:val="bottom"/>
            <w:tcBorders>
              <w:top w:val="single" w:sz="8" w:color="BFBFBF"/>
              <w:bottom w:val="single" w:sz="8" w:color="auto"/>
              <w:right w:val="single" w:sz="8" w:color="auto"/>
            </w:tcBorders>
            <w:shd w:val="clear" w:color="auto" w:fill="BFBFBF"/>
          </w:tcPr>
          <w:p>
            <w:pPr>
              <w:spacing w:after="0"/>
              <w:rPr>
                <w:sz w:val="20"/>
                <w:szCs w:val="20"/>
                <w:color w:val="auto"/>
              </w:rPr>
            </w:pPr>
          </w:p>
        </w:tc>
        <w:tc>
          <w:tcPr>
            <w:tcW w:w="460" w:type="dxa"/>
            <w:vAlign w:val="bottom"/>
          </w:tcPr>
          <w:p>
            <w:pPr>
              <w:spacing w:after="0"/>
              <w:rPr>
                <w:sz w:val="20"/>
                <w:szCs w:val="20"/>
                <w:color w:val="auto"/>
              </w:rPr>
            </w:pPr>
          </w:p>
        </w:tc>
      </w:tr>
      <w:tr>
        <w:trPr>
          <w:trHeight w:val="268"/>
        </w:trPr>
        <w:tc>
          <w:tcPr>
            <w:tcW w:w="480" w:type="dxa"/>
            <w:vAlign w:val="bottom"/>
            <w:tcBorders>
              <w:right w:val="single" w:sz="8" w:color="auto"/>
            </w:tcBorders>
          </w:tcPr>
          <w:p>
            <w:pPr>
              <w:spacing w:after="0"/>
              <w:rPr>
                <w:sz w:val="23"/>
                <w:szCs w:val="23"/>
                <w:color w:val="auto"/>
              </w:rPr>
            </w:pPr>
          </w:p>
        </w:tc>
        <w:tc>
          <w:tcPr>
            <w:tcW w:w="5520" w:type="dxa"/>
            <w:vAlign w:val="bottom"/>
            <w:tcBorders>
              <w:right w:val="single" w:sz="8" w:color="auto"/>
            </w:tcBorders>
            <w:gridSpan w:val="3"/>
          </w:tcPr>
          <w:p>
            <w:pPr>
              <w:ind w:left="120"/>
              <w:spacing w:after="0"/>
              <w:rPr>
                <w:sz w:val="20"/>
                <w:szCs w:val="20"/>
                <w:color w:val="auto"/>
              </w:rPr>
            </w:pPr>
            <w:r>
              <w:rPr>
                <w:rFonts w:ascii="Arial" w:cs="Arial" w:eastAsia="Arial" w:hAnsi="Arial"/>
                <w:sz w:val="22"/>
                <w:szCs w:val="22"/>
                <w:color w:val="auto"/>
              </w:rPr>
              <w:t>Base Board Fee</w:t>
            </w:r>
          </w:p>
        </w:tc>
        <w:tc>
          <w:tcPr>
            <w:tcW w:w="1100" w:type="dxa"/>
            <w:vAlign w:val="bottom"/>
            <w:gridSpan w:val="2"/>
          </w:tcPr>
          <w:p>
            <w:pPr>
              <w:ind w:left="120"/>
              <w:spacing w:after="0"/>
              <w:rPr>
                <w:sz w:val="20"/>
                <w:szCs w:val="20"/>
                <w:color w:val="auto"/>
              </w:rPr>
            </w:pPr>
            <w:r>
              <w:rPr>
                <w:rFonts w:ascii="Arial" w:cs="Arial" w:eastAsia="Arial" w:hAnsi="Arial"/>
                <w:sz w:val="22"/>
                <w:szCs w:val="22"/>
                <w:color w:val="auto"/>
              </w:rPr>
              <w:t>$60,000</w:t>
            </w:r>
          </w:p>
        </w:tc>
        <w:tc>
          <w:tcPr>
            <w:tcW w:w="1020" w:type="dxa"/>
            <w:vAlign w:val="bottom"/>
            <w:tcBorders>
              <w:right w:val="single" w:sz="8" w:color="auto"/>
            </w:tcBorders>
          </w:tcPr>
          <w:p>
            <w:pPr>
              <w:spacing w:after="0"/>
              <w:rPr>
                <w:sz w:val="23"/>
                <w:szCs w:val="23"/>
                <w:color w:val="auto"/>
              </w:rPr>
            </w:pPr>
          </w:p>
        </w:tc>
        <w:tc>
          <w:tcPr>
            <w:tcW w:w="460" w:type="dxa"/>
            <w:vAlign w:val="bottom"/>
          </w:tcPr>
          <w:p>
            <w:pPr>
              <w:spacing w:after="0"/>
              <w:rPr>
                <w:sz w:val="23"/>
                <w:szCs w:val="23"/>
                <w:color w:val="auto"/>
              </w:rPr>
            </w:pPr>
          </w:p>
        </w:tc>
      </w:tr>
      <w:tr>
        <w:trPr>
          <w:trHeight w:val="185"/>
        </w:trPr>
        <w:tc>
          <w:tcPr>
            <w:tcW w:w="480" w:type="dxa"/>
            <w:vAlign w:val="bottom"/>
            <w:tcBorders>
              <w:right w:val="single" w:sz="8" w:color="auto"/>
            </w:tcBorders>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720" w:type="dxa"/>
            <w:vAlign w:val="bottom"/>
            <w:tcBorders>
              <w:bottom w:val="single" w:sz="8" w:color="auto"/>
              <w:right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r>
      <w:tr>
        <w:trPr>
          <w:trHeight w:val="268"/>
        </w:trPr>
        <w:tc>
          <w:tcPr>
            <w:tcW w:w="480" w:type="dxa"/>
            <w:vAlign w:val="bottom"/>
            <w:tcBorders>
              <w:right w:val="single" w:sz="8" w:color="auto"/>
            </w:tcBorders>
          </w:tcPr>
          <w:p>
            <w:pPr>
              <w:spacing w:after="0"/>
              <w:rPr>
                <w:sz w:val="23"/>
                <w:szCs w:val="23"/>
                <w:color w:val="auto"/>
              </w:rPr>
            </w:pPr>
          </w:p>
        </w:tc>
        <w:tc>
          <w:tcPr>
            <w:tcW w:w="5520" w:type="dxa"/>
            <w:vAlign w:val="bottom"/>
            <w:tcBorders>
              <w:right w:val="single" w:sz="8" w:color="auto"/>
            </w:tcBorders>
            <w:gridSpan w:val="3"/>
          </w:tcPr>
          <w:p>
            <w:pPr>
              <w:ind w:left="120"/>
              <w:spacing w:after="0"/>
              <w:rPr>
                <w:sz w:val="20"/>
                <w:szCs w:val="20"/>
                <w:color w:val="auto"/>
              </w:rPr>
            </w:pPr>
            <w:r>
              <w:rPr>
                <w:rFonts w:ascii="Arial" w:cs="Arial" w:eastAsia="Arial" w:hAnsi="Arial"/>
                <w:sz w:val="22"/>
                <w:szCs w:val="22"/>
                <w:color w:val="auto"/>
              </w:rPr>
              <w:t>Chair of the Board or Lead Independent Director</w:t>
            </w:r>
          </w:p>
        </w:tc>
        <w:tc>
          <w:tcPr>
            <w:tcW w:w="1100" w:type="dxa"/>
            <w:vAlign w:val="bottom"/>
            <w:gridSpan w:val="2"/>
          </w:tcPr>
          <w:p>
            <w:pPr>
              <w:ind w:left="120"/>
              <w:spacing w:after="0"/>
              <w:rPr>
                <w:sz w:val="20"/>
                <w:szCs w:val="20"/>
                <w:color w:val="auto"/>
              </w:rPr>
            </w:pPr>
            <w:r>
              <w:rPr>
                <w:rFonts w:ascii="Arial" w:cs="Arial" w:eastAsia="Arial" w:hAnsi="Arial"/>
                <w:sz w:val="22"/>
                <w:szCs w:val="22"/>
                <w:color w:val="auto"/>
              </w:rPr>
              <w:t>$30,000</w:t>
            </w:r>
          </w:p>
        </w:tc>
        <w:tc>
          <w:tcPr>
            <w:tcW w:w="1020" w:type="dxa"/>
            <w:vAlign w:val="bottom"/>
            <w:tcBorders>
              <w:right w:val="single" w:sz="8" w:color="auto"/>
            </w:tcBorders>
          </w:tcPr>
          <w:p>
            <w:pPr>
              <w:spacing w:after="0"/>
              <w:rPr>
                <w:sz w:val="23"/>
                <w:szCs w:val="23"/>
                <w:color w:val="auto"/>
              </w:rPr>
            </w:pPr>
          </w:p>
        </w:tc>
        <w:tc>
          <w:tcPr>
            <w:tcW w:w="460" w:type="dxa"/>
            <w:vAlign w:val="bottom"/>
          </w:tcPr>
          <w:p>
            <w:pPr>
              <w:spacing w:after="0"/>
              <w:rPr>
                <w:sz w:val="23"/>
                <w:szCs w:val="23"/>
                <w:color w:val="auto"/>
              </w:rPr>
            </w:pPr>
          </w:p>
        </w:tc>
      </w:tr>
      <w:tr>
        <w:trPr>
          <w:trHeight w:val="185"/>
        </w:trPr>
        <w:tc>
          <w:tcPr>
            <w:tcW w:w="480" w:type="dxa"/>
            <w:vAlign w:val="bottom"/>
            <w:tcBorders>
              <w:right w:val="single" w:sz="8" w:color="auto"/>
            </w:tcBorders>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720" w:type="dxa"/>
            <w:vAlign w:val="bottom"/>
            <w:tcBorders>
              <w:bottom w:val="single" w:sz="8" w:color="auto"/>
              <w:right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r>
      <w:tr>
        <w:trPr>
          <w:trHeight w:val="268"/>
        </w:trPr>
        <w:tc>
          <w:tcPr>
            <w:tcW w:w="480" w:type="dxa"/>
            <w:vAlign w:val="bottom"/>
            <w:tcBorders>
              <w:right w:val="single" w:sz="8" w:color="auto"/>
            </w:tcBorders>
          </w:tcPr>
          <w:p>
            <w:pPr>
              <w:spacing w:after="0"/>
              <w:rPr>
                <w:sz w:val="23"/>
                <w:szCs w:val="23"/>
                <w:color w:val="auto"/>
              </w:rPr>
            </w:pPr>
          </w:p>
        </w:tc>
        <w:tc>
          <w:tcPr>
            <w:tcW w:w="5520" w:type="dxa"/>
            <w:vAlign w:val="bottom"/>
            <w:tcBorders>
              <w:right w:val="single" w:sz="8" w:color="auto"/>
            </w:tcBorders>
            <w:gridSpan w:val="3"/>
          </w:tcPr>
          <w:p>
            <w:pPr>
              <w:ind w:left="120"/>
              <w:spacing w:after="0"/>
              <w:rPr>
                <w:sz w:val="20"/>
                <w:szCs w:val="20"/>
                <w:color w:val="auto"/>
              </w:rPr>
            </w:pPr>
            <w:r>
              <w:rPr>
                <w:rFonts w:ascii="Arial" w:cs="Arial" w:eastAsia="Arial" w:hAnsi="Arial"/>
                <w:sz w:val="22"/>
                <w:szCs w:val="22"/>
                <w:color w:val="auto"/>
              </w:rPr>
              <w:t>Chair of Audit Committee</w:t>
            </w:r>
          </w:p>
        </w:tc>
        <w:tc>
          <w:tcPr>
            <w:tcW w:w="1100" w:type="dxa"/>
            <w:vAlign w:val="bottom"/>
            <w:gridSpan w:val="2"/>
          </w:tcPr>
          <w:p>
            <w:pPr>
              <w:ind w:left="120"/>
              <w:spacing w:after="0"/>
              <w:rPr>
                <w:sz w:val="20"/>
                <w:szCs w:val="20"/>
                <w:color w:val="auto"/>
              </w:rPr>
            </w:pPr>
            <w:r>
              <w:rPr>
                <w:rFonts w:ascii="Arial" w:cs="Arial" w:eastAsia="Arial" w:hAnsi="Arial"/>
                <w:sz w:val="22"/>
                <w:szCs w:val="22"/>
                <w:color w:val="auto"/>
              </w:rPr>
              <w:t>$20,000</w:t>
            </w:r>
          </w:p>
        </w:tc>
        <w:tc>
          <w:tcPr>
            <w:tcW w:w="1020" w:type="dxa"/>
            <w:vAlign w:val="bottom"/>
            <w:tcBorders>
              <w:right w:val="single" w:sz="8" w:color="auto"/>
            </w:tcBorders>
          </w:tcPr>
          <w:p>
            <w:pPr>
              <w:spacing w:after="0"/>
              <w:rPr>
                <w:sz w:val="23"/>
                <w:szCs w:val="23"/>
                <w:color w:val="auto"/>
              </w:rPr>
            </w:pPr>
          </w:p>
        </w:tc>
        <w:tc>
          <w:tcPr>
            <w:tcW w:w="460" w:type="dxa"/>
            <w:vAlign w:val="bottom"/>
          </w:tcPr>
          <w:p>
            <w:pPr>
              <w:spacing w:after="0"/>
              <w:rPr>
                <w:sz w:val="23"/>
                <w:szCs w:val="23"/>
                <w:color w:val="auto"/>
              </w:rPr>
            </w:pPr>
          </w:p>
        </w:tc>
      </w:tr>
      <w:tr>
        <w:trPr>
          <w:trHeight w:val="185"/>
        </w:trPr>
        <w:tc>
          <w:tcPr>
            <w:tcW w:w="480" w:type="dxa"/>
            <w:vAlign w:val="bottom"/>
            <w:tcBorders>
              <w:right w:val="single" w:sz="8" w:color="auto"/>
            </w:tcBorders>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720" w:type="dxa"/>
            <w:vAlign w:val="bottom"/>
            <w:tcBorders>
              <w:bottom w:val="single" w:sz="8" w:color="auto"/>
              <w:right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r>
      <w:tr>
        <w:trPr>
          <w:trHeight w:val="268"/>
        </w:trPr>
        <w:tc>
          <w:tcPr>
            <w:tcW w:w="480" w:type="dxa"/>
            <w:vAlign w:val="bottom"/>
            <w:tcBorders>
              <w:right w:val="single" w:sz="8" w:color="auto"/>
            </w:tcBorders>
          </w:tcPr>
          <w:p>
            <w:pPr>
              <w:spacing w:after="0"/>
              <w:rPr>
                <w:sz w:val="23"/>
                <w:szCs w:val="23"/>
                <w:color w:val="auto"/>
              </w:rPr>
            </w:pPr>
          </w:p>
        </w:tc>
        <w:tc>
          <w:tcPr>
            <w:tcW w:w="5520" w:type="dxa"/>
            <w:vAlign w:val="bottom"/>
            <w:tcBorders>
              <w:right w:val="single" w:sz="8" w:color="auto"/>
            </w:tcBorders>
            <w:gridSpan w:val="3"/>
          </w:tcPr>
          <w:p>
            <w:pPr>
              <w:ind w:left="120"/>
              <w:spacing w:after="0"/>
              <w:rPr>
                <w:sz w:val="20"/>
                <w:szCs w:val="20"/>
                <w:color w:val="auto"/>
              </w:rPr>
            </w:pPr>
            <w:r>
              <w:rPr>
                <w:rFonts w:ascii="Arial" w:cs="Arial" w:eastAsia="Arial" w:hAnsi="Arial"/>
                <w:sz w:val="22"/>
                <w:szCs w:val="22"/>
                <w:color w:val="auto"/>
              </w:rPr>
              <w:t>Chair of Compensation Committee</w:t>
            </w:r>
          </w:p>
        </w:tc>
        <w:tc>
          <w:tcPr>
            <w:tcW w:w="1100" w:type="dxa"/>
            <w:vAlign w:val="bottom"/>
            <w:gridSpan w:val="2"/>
          </w:tcPr>
          <w:p>
            <w:pPr>
              <w:ind w:left="120"/>
              <w:spacing w:after="0"/>
              <w:rPr>
                <w:sz w:val="20"/>
                <w:szCs w:val="20"/>
                <w:color w:val="auto"/>
              </w:rPr>
            </w:pPr>
            <w:r>
              <w:rPr>
                <w:rFonts w:ascii="Arial" w:cs="Arial" w:eastAsia="Arial" w:hAnsi="Arial"/>
                <w:sz w:val="22"/>
                <w:szCs w:val="22"/>
                <w:color w:val="auto"/>
              </w:rPr>
              <w:t>$10,000</w:t>
            </w:r>
          </w:p>
        </w:tc>
        <w:tc>
          <w:tcPr>
            <w:tcW w:w="1020" w:type="dxa"/>
            <w:vAlign w:val="bottom"/>
            <w:tcBorders>
              <w:right w:val="single" w:sz="8" w:color="auto"/>
            </w:tcBorders>
          </w:tcPr>
          <w:p>
            <w:pPr>
              <w:spacing w:after="0"/>
              <w:rPr>
                <w:sz w:val="23"/>
                <w:szCs w:val="23"/>
                <w:color w:val="auto"/>
              </w:rPr>
            </w:pPr>
          </w:p>
        </w:tc>
        <w:tc>
          <w:tcPr>
            <w:tcW w:w="460" w:type="dxa"/>
            <w:vAlign w:val="bottom"/>
          </w:tcPr>
          <w:p>
            <w:pPr>
              <w:spacing w:after="0"/>
              <w:rPr>
                <w:sz w:val="23"/>
                <w:szCs w:val="23"/>
                <w:color w:val="auto"/>
              </w:rPr>
            </w:pPr>
          </w:p>
        </w:tc>
      </w:tr>
      <w:tr>
        <w:trPr>
          <w:trHeight w:val="185"/>
        </w:trPr>
        <w:tc>
          <w:tcPr>
            <w:tcW w:w="480" w:type="dxa"/>
            <w:vAlign w:val="bottom"/>
            <w:tcBorders>
              <w:right w:val="single" w:sz="8" w:color="auto"/>
            </w:tcBorders>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720" w:type="dxa"/>
            <w:vAlign w:val="bottom"/>
            <w:tcBorders>
              <w:bottom w:val="single" w:sz="8" w:color="auto"/>
              <w:right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r>
      <w:tr>
        <w:trPr>
          <w:trHeight w:val="215"/>
        </w:trPr>
        <w:tc>
          <w:tcPr>
            <w:tcW w:w="480" w:type="dxa"/>
            <w:vAlign w:val="bottom"/>
            <w:tcBorders>
              <w:right w:val="single" w:sz="8" w:color="auto"/>
            </w:tcBorders>
          </w:tcPr>
          <w:p>
            <w:pPr>
              <w:spacing w:after="0"/>
              <w:rPr>
                <w:sz w:val="18"/>
                <w:szCs w:val="18"/>
                <w:color w:val="auto"/>
              </w:rPr>
            </w:pPr>
          </w:p>
        </w:tc>
        <w:tc>
          <w:tcPr>
            <w:tcW w:w="5520" w:type="dxa"/>
            <w:vAlign w:val="bottom"/>
            <w:tcBorders>
              <w:right w:val="single" w:sz="8" w:color="auto"/>
            </w:tcBorders>
            <w:gridSpan w:val="3"/>
          </w:tcPr>
          <w:p>
            <w:pPr>
              <w:ind w:left="120"/>
              <w:spacing w:after="0" w:line="216" w:lineRule="exact"/>
              <w:rPr>
                <w:sz w:val="20"/>
                <w:szCs w:val="20"/>
                <w:color w:val="auto"/>
              </w:rPr>
            </w:pPr>
            <w:r>
              <w:rPr>
                <w:rFonts w:ascii="Arial" w:cs="Arial" w:eastAsia="Arial" w:hAnsi="Arial"/>
                <w:sz w:val="22"/>
                <w:szCs w:val="22"/>
                <w:color w:val="auto"/>
              </w:rPr>
              <w:t>Chair of Nominating and Corporate Governance</w:t>
            </w:r>
          </w:p>
        </w:tc>
        <w:tc>
          <w:tcPr>
            <w:tcW w:w="1100" w:type="dxa"/>
            <w:vAlign w:val="bottom"/>
            <w:gridSpan w:val="2"/>
          </w:tcPr>
          <w:p>
            <w:pPr>
              <w:ind w:left="120"/>
              <w:spacing w:after="0" w:line="216" w:lineRule="exact"/>
              <w:rPr>
                <w:sz w:val="20"/>
                <w:szCs w:val="20"/>
                <w:color w:val="auto"/>
              </w:rPr>
            </w:pPr>
            <w:r>
              <w:rPr>
                <w:rFonts w:ascii="Arial" w:cs="Arial" w:eastAsia="Arial" w:hAnsi="Arial"/>
                <w:sz w:val="22"/>
                <w:szCs w:val="22"/>
                <w:color w:val="auto"/>
              </w:rPr>
              <w:t>$7,000</w:t>
            </w:r>
          </w:p>
        </w:tc>
        <w:tc>
          <w:tcPr>
            <w:tcW w:w="102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r>
      <w:tr>
        <w:trPr>
          <w:trHeight w:val="274"/>
        </w:trPr>
        <w:tc>
          <w:tcPr>
            <w:tcW w:w="480" w:type="dxa"/>
            <w:vAlign w:val="bottom"/>
            <w:tcBorders>
              <w:right w:val="single" w:sz="8" w:color="auto"/>
            </w:tcBorders>
          </w:tcPr>
          <w:p>
            <w:pPr>
              <w:spacing w:after="0"/>
              <w:rPr>
                <w:sz w:val="23"/>
                <w:szCs w:val="23"/>
                <w:color w:val="auto"/>
              </w:rPr>
            </w:pPr>
          </w:p>
        </w:tc>
        <w:tc>
          <w:tcPr>
            <w:tcW w:w="5520" w:type="dxa"/>
            <w:vAlign w:val="bottom"/>
            <w:tcBorders>
              <w:right w:val="single" w:sz="8" w:color="auto"/>
            </w:tcBorders>
            <w:gridSpan w:val="3"/>
          </w:tcPr>
          <w:p>
            <w:pPr>
              <w:ind w:left="120"/>
              <w:spacing w:after="0"/>
              <w:rPr>
                <w:sz w:val="20"/>
                <w:szCs w:val="20"/>
                <w:color w:val="auto"/>
              </w:rPr>
            </w:pPr>
            <w:r>
              <w:rPr>
                <w:rFonts w:ascii="Arial" w:cs="Arial" w:eastAsia="Arial" w:hAnsi="Arial"/>
                <w:sz w:val="22"/>
                <w:szCs w:val="22"/>
                <w:color w:val="auto"/>
              </w:rPr>
              <w:t>Committee</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20" w:type="dxa"/>
            <w:vAlign w:val="bottom"/>
            <w:tcBorders>
              <w:right w:val="single" w:sz="8" w:color="auto"/>
            </w:tcBorders>
          </w:tcPr>
          <w:p>
            <w:pPr>
              <w:spacing w:after="0"/>
              <w:rPr>
                <w:sz w:val="23"/>
                <w:szCs w:val="23"/>
                <w:color w:val="auto"/>
              </w:rPr>
            </w:pPr>
          </w:p>
        </w:tc>
        <w:tc>
          <w:tcPr>
            <w:tcW w:w="460" w:type="dxa"/>
            <w:vAlign w:val="bottom"/>
          </w:tcPr>
          <w:p>
            <w:pPr>
              <w:spacing w:after="0"/>
              <w:rPr>
                <w:sz w:val="23"/>
                <w:szCs w:val="23"/>
                <w:color w:val="auto"/>
              </w:rPr>
            </w:pPr>
          </w:p>
        </w:tc>
      </w:tr>
      <w:tr>
        <w:trPr>
          <w:trHeight w:val="206"/>
        </w:trPr>
        <w:tc>
          <w:tcPr>
            <w:tcW w:w="480" w:type="dxa"/>
            <w:vAlign w:val="bottom"/>
            <w:tcBorders>
              <w:right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72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r>
      <w:tr>
        <w:trPr>
          <w:trHeight w:val="268"/>
        </w:trPr>
        <w:tc>
          <w:tcPr>
            <w:tcW w:w="480" w:type="dxa"/>
            <w:vAlign w:val="bottom"/>
            <w:tcBorders>
              <w:right w:val="single" w:sz="8" w:color="auto"/>
            </w:tcBorders>
          </w:tcPr>
          <w:p>
            <w:pPr>
              <w:spacing w:after="0"/>
              <w:rPr>
                <w:sz w:val="23"/>
                <w:szCs w:val="23"/>
                <w:color w:val="auto"/>
              </w:rPr>
            </w:pPr>
          </w:p>
        </w:tc>
        <w:tc>
          <w:tcPr>
            <w:tcW w:w="5520" w:type="dxa"/>
            <w:vAlign w:val="bottom"/>
            <w:tcBorders>
              <w:right w:val="single" w:sz="8" w:color="auto"/>
            </w:tcBorders>
            <w:gridSpan w:val="3"/>
          </w:tcPr>
          <w:p>
            <w:pPr>
              <w:ind w:left="120"/>
              <w:spacing w:after="0"/>
              <w:rPr>
                <w:sz w:val="20"/>
                <w:szCs w:val="20"/>
                <w:color w:val="auto"/>
              </w:rPr>
            </w:pPr>
            <w:r>
              <w:rPr>
                <w:rFonts w:ascii="Arial" w:cs="Arial" w:eastAsia="Arial" w:hAnsi="Arial"/>
                <w:sz w:val="22"/>
                <w:szCs w:val="22"/>
                <w:color w:val="auto"/>
              </w:rPr>
              <w:t>Member of Audit Committee (non-Chair)</w:t>
            </w:r>
          </w:p>
        </w:tc>
        <w:tc>
          <w:tcPr>
            <w:tcW w:w="1100" w:type="dxa"/>
            <w:vAlign w:val="bottom"/>
            <w:gridSpan w:val="2"/>
          </w:tcPr>
          <w:p>
            <w:pPr>
              <w:ind w:left="120"/>
              <w:spacing w:after="0"/>
              <w:rPr>
                <w:sz w:val="20"/>
                <w:szCs w:val="20"/>
                <w:color w:val="auto"/>
              </w:rPr>
            </w:pPr>
            <w:r>
              <w:rPr>
                <w:rFonts w:ascii="Arial" w:cs="Arial" w:eastAsia="Arial" w:hAnsi="Arial"/>
                <w:sz w:val="22"/>
                <w:szCs w:val="22"/>
                <w:color w:val="auto"/>
              </w:rPr>
              <w:t>$7,500</w:t>
            </w:r>
          </w:p>
        </w:tc>
        <w:tc>
          <w:tcPr>
            <w:tcW w:w="1020" w:type="dxa"/>
            <w:vAlign w:val="bottom"/>
            <w:tcBorders>
              <w:right w:val="single" w:sz="8" w:color="auto"/>
            </w:tcBorders>
          </w:tcPr>
          <w:p>
            <w:pPr>
              <w:spacing w:after="0"/>
              <w:rPr>
                <w:sz w:val="23"/>
                <w:szCs w:val="23"/>
                <w:color w:val="auto"/>
              </w:rPr>
            </w:pPr>
          </w:p>
        </w:tc>
        <w:tc>
          <w:tcPr>
            <w:tcW w:w="460" w:type="dxa"/>
            <w:vAlign w:val="bottom"/>
          </w:tcPr>
          <w:p>
            <w:pPr>
              <w:spacing w:after="0"/>
              <w:rPr>
                <w:sz w:val="23"/>
                <w:szCs w:val="23"/>
                <w:color w:val="auto"/>
              </w:rPr>
            </w:pPr>
          </w:p>
        </w:tc>
      </w:tr>
      <w:tr>
        <w:trPr>
          <w:trHeight w:val="185"/>
        </w:trPr>
        <w:tc>
          <w:tcPr>
            <w:tcW w:w="480" w:type="dxa"/>
            <w:vAlign w:val="bottom"/>
            <w:tcBorders>
              <w:right w:val="single" w:sz="8" w:color="auto"/>
            </w:tcBorders>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720" w:type="dxa"/>
            <w:vAlign w:val="bottom"/>
            <w:tcBorders>
              <w:bottom w:val="single" w:sz="8" w:color="auto"/>
              <w:right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r>
      <w:tr>
        <w:trPr>
          <w:trHeight w:val="268"/>
        </w:trPr>
        <w:tc>
          <w:tcPr>
            <w:tcW w:w="480" w:type="dxa"/>
            <w:vAlign w:val="bottom"/>
            <w:tcBorders>
              <w:right w:val="single" w:sz="8" w:color="auto"/>
            </w:tcBorders>
          </w:tcPr>
          <w:p>
            <w:pPr>
              <w:spacing w:after="0"/>
              <w:rPr>
                <w:sz w:val="23"/>
                <w:szCs w:val="23"/>
                <w:color w:val="auto"/>
              </w:rPr>
            </w:pPr>
          </w:p>
        </w:tc>
        <w:tc>
          <w:tcPr>
            <w:tcW w:w="5520" w:type="dxa"/>
            <w:vAlign w:val="bottom"/>
            <w:tcBorders>
              <w:right w:val="single" w:sz="8" w:color="auto"/>
            </w:tcBorders>
            <w:gridSpan w:val="3"/>
          </w:tcPr>
          <w:p>
            <w:pPr>
              <w:ind w:left="120"/>
              <w:spacing w:after="0"/>
              <w:rPr>
                <w:sz w:val="20"/>
                <w:szCs w:val="20"/>
                <w:color w:val="auto"/>
              </w:rPr>
            </w:pPr>
            <w:r>
              <w:rPr>
                <w:rFonts w:ascii="Arial" w:cs="Arial" w:eastAsia="Arial" w:hAnsi="Arial"/>
                <w:sz w:val="22"/>
                <w:szCs w:val="22"/>
                <w:color w:val="auto"/>
              </w:rPr>
              <w:t>Member of Compensation Committee (non-Chair)</w:t>
            </w:r>
          </w:p>
        </w:tc>
        <w:tc>
          <w:tcPr>
            <w:tcW w:w="1100" w:type="dxa"/>
            <w:vAlign w:val="bottom"/>
            <w:gridSpan w:val="2"/>
          </w:tcPr>
          <w:p>
            <w:pPr>
              <w:ind w:left="120"/>
              <w:spacing w:after="0"/>
              <w:rPr>
                <w:sz w:val="20"/>
                <w:szCs w:val="20"/>
                <w:color w:val="auto"/>
              </w:rPr>
            </w:pPr>
            <w:r>
              <w:rPr>
                <w:rFonts w:ascii="Arial" w:cs="Arial" w:eastAsia="Arial" w:hAnsi="Arial"/>
                <w:sz w:val="22"/>
                <w:szCs w:val="22"/>
                <w:color w:val="auto"/>
              </w:rPr>
              <w:t>$5,000</w:t>
            </w:r>
          </w:p>
        </w:tc>
        <w:tc>
          <w:tcPr>
            <w:tcW w:w="1020" w:type="dxa"/>
            <w:vAlign w:val="bottom"/>
            <w:tcBorders>
              <w:right w:val="single" w:sz="8" w:color="auto"/>
            </w:tcBorders>
          </w:tcPr>
          <w:p>
            <w:pPr>
              <w:spacing w:after="0"/>
              <w:rPr>
                <w:sz w:val="23"/>
                <w:szCs w:val="23"/>
                <w:color w:val="auto"/>
              </w:rPr>
            </w:pPr>
          </w:p>
        </w:tc>
        <w:tc>
          <w:tcPr>
            <w:tcW w:w="460" w:type="dxa"/>
            <w:vAlign w:val="bottom"/>
          </w:tcPr>
          <w:p>
            <w:pPr>
              <w:spacing w:after="0"/>
              <w:rPr>
                <w:sz w:val="23"/>
                <w:szCs w:val="23"/>
                <w:color w:val="auto"/>
              </w:rPr>
            </w:pPr>
          </w:p>
        </w:tc>
      </w:tr>
      <w:tr>
        <w:trPr>
          <w:trHeight w:val="185"/>
        </w:trPr>
        <w:tc>
          <w:tcPr>
            <w:tcW w:w="480" w:type="dxa"/>
            <w:vAlign w:val="bottom"/>
            <w:tcBorders>
              <w:right w:val="single" w:sz="8" w:color="auto"/>
            </w:tcBorders>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720" w:type="dxa"/>
            <w:vAlign w:val="bottom"/>
            <w:tcBorders>
              <w:bottom w:val="single" w:sz="8" w:color="auto"/>
              <w:right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r>
      <w:tr>
        <w:trPr>
          <w:trHeight w:val="215"/>
        </w:trPr>
        <w:tc>
          <w:tcPr>
            <w:tcW w:w="480" w:type="dxa"/>
            <w:vAlign w:val="bottom"/>
            <w:tcBorders>
              <w:right w:val="single" w:sz="8" w:color="auto"/>
            </w:tcBorders>
          </w:tcPr>
          <w:p>
            <w:pPr>
              <w:spacing w:after="0"/>
              <w:rPr>
                <w:sz w:val="18"/>
                <w:szCs w:val="18"/>
                <w:color w:val="auto"/>
              </w:rPr>
            </w:pPr>
          </w:p>
        </w:tc>
        <w:tc>
          <w:tcPr>
            <w:tcW w:w="5520" w:type="dxa"/>
            <w:vAlign w:val="bottom"/>
            <w:tcBorders>
              <w:right w:val="single" w:sz="8" w:color="auto"/>
            </w:tcBorders>
            <w:gridSpan w:val="3"/>
          </w:tcPr>
          <w:p>
            <w:pPr>
              <w:ind w:left="120"/>
              <w:spacing w:after="0" w:line="216" w:lineRule="exact"/>
              <w:rPr>
                <w:sz w:val="20"/>
                <w:szCs w:val="20"/>
                <w:color w:val="auto"/>
              </w:rPr>
            </w:pPr>
            <w:r>
              <w:rPr>
                <w:rFonts w:ascii="Arial" w:cs="Arial" w:eastAsia="Arial" w:hAnsi="Arial"/>
                <w:sz w:val="22"/>
                <w:szCs w:val="22"/>
                <w:color w:val="auto"/>
              </w:rPr>
              <w:t>Member of Nominating and Corporate Governance</w:t>
            </w:r>
          </w:p>
        </w:tc>
        <w:tc>
          <w:tcPr>
            <w:tcW w:w="1100" w:type="dxa"/>
            <w:vAlign w:val="bottom"/>
            <w:gridSpan w:val="2"/>
          </w:tcPr>
          <w:p>
            <w:pPr>
              <w:ind w:left="120"/>
              <w:spacing w:after="0" w:line="216" w:lineRule="exact"/>
              <w:rPr>
                <w:sz w:val="20"/>
                <w:szCs w:val="20"/>
                <w:color w:val="auto"/>
              </w:rPr>
            </w:pPr>
            <w:r>
              <w:rPr>
                <w:rFonts w:ascii="Arial" w:cs="Arial" w:eastAsia="Arial" w:hAnsi="Arial"/>
                <w:sz w:val="22"/>
                <w:szCs w:val="22"/>
                <w:color w:val="auto"/>
              </w:rPr>
              <w:t>$3,500</w:t>
            </w:r>
          </w:p>
        </w:tc>
        <w:tc>
          <w:tcPr>
            <w:tcW w:w="102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r>
      <w:tr>
        <w:trPr>
          <w:trHeight w:val="274"/>
        </w:trPr>
        <w:tc>
          <w:tcPr>
            <w:tcW w:w="480" w:type="dxa"/>
            <w:vAlign w:val="bottom"/>
            <w:tcBorders>
              <w:right w:val="single" w:sz="8" w:color="auto"/>
            </w:tcBorders>
          </w:tcPr>
          <w:p>
            <w:pPr>
              <w:spacing w:after="0"/>
              <w:rPr>
                <w:sz w:val="23"/>
                <w:szCs w:val="23"/>
                <w:color w:val="auto"/>
              </w:rPr>
            </w:pPr>
          </w:p>
        </w:tc>
        <w:tc>
          <w:tcPr>
            <w:tcW w:w="5520" w:type="dxa"/>
            <w:vAlign w:val="bottom"/>
            <w:tcBorders>
              <w:right w:val="single" w:sz="8" w:color="auto"/>
            </w:tcBorders>
            <w:gridSpan w:val="3"/>
          </w:tcPr>
          <w:p>
            <w:pPr>
              <w:ind w:left="120"/>
              <w:spacing w:after="0"/>
              <w:rPr>
                <w:sz w:val="20"/>
                <w:szCs w:val="20"/>
                <w:color w:val="auto"/>
              </w:rPr>
            </w:pPr>
            <w:r>
              <w:rPr>
                <w:rFonts w:ascii="Arial" w:cs="Arial" w:eastAsia="Arial" w:hAnsi="Arial"/>
                <w:sz w:val="22"/>
                <w:szCs w:val="22"/>
                <w:color w:val="auto"/>
              </w:rPr>
              <w:t>Committee (non-Chair)</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20" w:type="dxa"/>
            <w:vAlign w:val="bottom"/>
            <w:tcBorders>
              <w:right w:val="single" w:sz="8" w:color="auto"/>
            </w:tcBorders>
          </w:tcPr>
          <w:p>
            <w:pPr>
              <w:spacing w:after="0"/>
              <w:rPr>
                <w:sz w:val="23"/>
                <w:szCs w:val="23"/>
                <w:color w:val="auto"/>
              </w:rPr>
            </w:pPr>
          </w:p>
        </w:tc>
        <w:tc>
          <w:tcPr>
            <w:tcW w:w="460" w:type="dxa"/>
            <w:vAlign w:val="bottom"/>
          </w:tcPr>
          <w:p>
            <w:pPr>
              <w:spacing w:after="0"/>
              <w:rPr>
                <w:sz w:val="23"/>
                <w:szCs w:val="23"/>
                <w:color w:val="auto"/>
              </w:rPr>
            </w:pPr>
          </w:p>
        </w:tc>
      </w:tr>
      <w:tr>
        <w:trPr>
          <w:trHeight w:val="206"/>
        </w:trPr>
        <w:tc>
          <w:tcPr>
            <w:tcW w:w="480" w:type="dxa"/>
            <w:vAlign w:val="bottom"/>
            <w:tcBorders>
              <w:right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72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r>
      <w:tr>
        <w:trPr>
          <w:trHeight w:val="705"/>
        </w:trPr>
        <w:tc>
          <w:tcPr>
            <w:tcW w:w="480" w:type="dxa"/>
            <w:vAlign w:val="bottom"/>
          </w:tcPr>
          <w:p>
            <w:pPr>
              <w:spacing w:after="0"/>
              <w:rPr>
                <w:sz w:val="24"/>
                <w:szCs w:val="24"/>
                <w:color w:val="auto"/>
              </w:rPr>
            </w:pPr>
          </w:p>
        </w:tc>
        <w:tc>
          <w:tcPr>
            <w:tcW w:w="5520" w:type="dxa"/>
            <w:vAlign w:val="bottom"/>
            <w:gridSpan w:val="3"/>
          </w:tcPr>
          <w:p>
            <w:pPr>
              <w:ind w:left="3760"/>
              <w:spacing w:after="0"/>
              <w:rPr>
                <w:sz w:val="20"/>
                <w:szCs w:val="20"/>
                <w:color w:val="auto"/>
              </w:rPr>
            </w:pPr>
            <w:r>
              <w:rPr>
                <w:rFonts w:ascii="Arial" w:cs="Arial" w:eastAsia="Arial" w:hAnsi="Arial"/>
                <w:sz w:val="22"/>
                <w:szCs w:val="22"/>
                <w:color w:val="auto"/>
              </w:rPr>
              <w:t>1</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550"/>
        </w:trPr>
        <w:tc>
          <w:tcPr>
            <w:tcW w:w="4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2" w:right="1440" w:bottom="1440" w:gutter="0" w:footer="0" w:header="0"/>
        </w:sectPr>
      </w:pPr>
    </w:p>
    <w:bookmarkStart w:id="72" w:name="page73"/>
    <w:bookmarkEnd w:id="72"/>
    <w:p>
      <w:pPr>
        <w:jc w:val="both"/>
        <w:ind w:left="200" w:right="219"/>
        <w:spacing w:after="0" w:line="275" w:lineRule="auto"/>
        <w:rPr>
          <w:sz w:val="20"/>
          <w:szCs w:val="20"/>
          <w:color w:val="auto"/>
        </w:rPr>
      </w:pPr>
      <w:r>
        <w:rPr>
          <w:rFonts w:ascii="Arial" w:cs="Arial" w:eastAsia="Arial" w:hAnsi="Arial"/>
          <w:sz w:val="19"/>
          <w:szCs w:val="19"/>
          <w:color w:val="auto"/>
        </w:rPr>
        <w:t>For the avoidance of doubt, the Annual Retainers in the table above are additive and a Non-Employee Director shall be eligible to earn an Annual Retainer for each position in which he or she serves. The Annual Retainers shall be earned on a quarterly basis based on a calendar quarter and shall be paid in cash by the Company in arrears not later than the fifteenth day following the end of each calendar quarter. In the event a Non-Employee Director does not serve as a Non-Employee Director, or in the applicable position, for an entire calendar quarter, the retainer paid to such Non-Employee Director shall be prorated for the portion of such calendar quarter actually served as a Non-Employee Director, or in such position, as applicable.</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Equity Compensation</w:t>
      </w:r>
    </w:p>
    <w:p>
      <w:pPr>
        <w:spacing w:after="0" w:line="212" w:lineRule="exact"/>
        <w:rPr>
          <w:sz w:val="20"/>
          <w:szCs w:val="20"/>
          <w:color w:val="auto"/>
        </w:rPr>
      </w:pPr>
    </w:p>
    <w:p>
      <w:pPr>
        <w:jc w:val="both"/>
        <w:ind w:left="200" w:right="219"/>
        <w:spacing w:after="0" w:line="248" w:lineRule="auto"/>
        <w:rPr>
          <w:sz w:val="20"/>
          <w:szCs w:val="20"/>
          <w:color w:val="auto"/>
        </w:rPr>
      </w:pPr>
      <w:r>
        <w:rPr>
          <w:rFonts w:ascii="Arial" w:cs="Arial" w:eastAsia="Arial" w:hAnsi="Arial"/>
          <w:sz w:val="21"/>
          <w:szCs w:val="21"/>
          <w:color w:val="auto"/>
        </w:rPr>
        <w:t>Each Non-Employee Director shall be granted options to purchase shares of the Company’s common stock (each, an “</w:t>
      </w:r>
      <w:r>
        <w:rPr>
          <w:rFonts w:ascii="Arial" w:cs="Arial" w:eastAsia="Arial" w:hAnsi="Arial"/>
          <w:sz w:val="21"/>
          <w:szCs w:val="21"/>
          <w:b w:val="1"/>
          <w:bCs w:val="1"/>
          <w:i w:val="1"/>
          <w:iCs w:val="1"/>
          <w:color w:val="auto"/>
        </w:rPr>
        <w:t>Option</w:t>
      </w:r>
      <w:r>
        <w:rPr>
          <w:rFonts w:ascii="Arial" w:cs="Arial" w:eastAsia="Arial" w:hAnsi="Arial"/>
          <w:sz w:val="21"/>
          <w:szCs w:val="21"/>
          <w:color w:val="auto"/>
        </w:rPr>
        <w:t>”) as set forth in this Program. Each Option shall be granted under and subject to the terms and provisions of the Company’s 2020 Incentive Award Plan or any other applicable Company equity incentive plan then-maintained by the Company (the “</w:t>
      </w:r>
      <w:r>
        <w:rPr>
          <w:rFonts w:ascii="Arial" w:cs="Arial" w:eastAsia="Arial" w:hAnsi="Arial"/>
          <w:sz w:val="21"/>
          <w:szCs w:val="21"/>
          <w:b w:val="1"/>
          <w:bCs w:val="1"/>
          <w:i w:val="1"/>
          <w:iCs w:val="1"/>
          <w:color w:val="auto"/>
        </w:rPr>
        <w:t>Equity Plan</w:t>
      </w:r>
      <w:r>
        <w:rPr>
          <w:rFonts w:ascii="Arial" w:cs="Arial" w:eastAsia="Arial" w:hAnsi="Arial"/>
          <w:sz w:val="21"/>
          <w:szCs w:val="21"/>
          <w:color w:val="auto"/>
        </w:rPr>
        <w:t>”) and shall be subject to an award agreement, including attached exhibits, in substantially the form previously approved by the Board.</w:t>
      </w:r>
    </w:p>
    <w:p>
      <w:pPr>
        <w:spacing w:after="0" w:line="177" w:lineRule="exact"/>
        <w:rPr>
          <w:sz w:val="20"/>
          <w:szCs w:val="20"/>
          <w:color w:val="auto"/>
        </w:rPr>
      </w:pPr>
    </w:p>
    <w:p>
      <w:pPr>
        <w:jc w:val="both"/>
        <w:ind w:left="200" w:right="219" w:firstLine="1305"/>
        <w:spacing w:after="0" w:line="248" w:lineRule="auto"/>
        <w:tabs>
          <w:tab w:leader="none" w:pos="2408" w:val="left"/>
        </w:tabs>
        <w:numPr>
          <w:ilvl w:val="0"/>
          <w:numId w:val="38"/>
        </w:numPr>
        <w:rPr>
          <w:rFonts w:ascii="Arial" w:cs="Arial" w:eastAsia="Arial" w:hAnsi="Arial"/>
          <w:sz w:val="21"/>
          <w:szCs w:val="21"/>
          <w:color w:val="auto"/>
        </w:rPr>
      </w:pPr>
      <w:r>
        <w:rPr>
          <w:rFonts w:ascii="Arial" w:cs="Arial" w:eastAsia="Arial" w:hAnsi="Arial"/>
          <w:sz w:val="21"/>
          <w:szCs w:val="21"/>
          <w:u w:val="single" w:color="auto"/>
          <w:color w:val="auto"/>
        </w:rPr>
        <w:t>Option Grant</w:t>
      </w:r>
      <w:r>
        <w:rPr>
          <w:rFonts w:ascii="Arial" w:cs="Arial" w:eastAsia="Arial" w:hAnsi="Arial"/>
          <w:sz w:val="21"/>
          <w:szCs w:val="21"/>
          <w:color w:val="auto"/>
        </w:rPr>
        <w:t>. A Non-Employee Director who (i) is initially elected or appointed to the Board at an annual meeting of the Company’s stockholders or (ii) has been serving as a Non-Employee Director on the Board as of the date of any annual meeting of the Company’s stockholders and will continue to serve as a Non-Employee Director immediately following such meeting, shall be automatically granted an Option to purchase 20,000 shares of the Company’s common stock on the date of such annual meeting.</w:t>
      </w:r>
    </w:p>
    <w:p>
      <w:pPr>
        <w:spacing w:after="0" w:line="203" w:lineRule="exact"/>
        <w:rPr>
          <w:rFonts w:ascii="Arial" w:cs="Arial" w:eastAsia="Arial" w:hAnsi="Arial"/>
          <w:sz w:val="21"/>
          <w:szCs w:val="21"/>
          <w:color w:val="auto"/>
        </w:rPr>
      </w:pPr>
    </w:p>
    <w:p>
      <w:pPr>
        <w:ind w:left="2180" w:hanging="675"/>
        <w:spacing w:after="0"/>
        <w:tabs>
          <w:tab w:leader="none" w:pos="218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Terms of Options Granted to Non-Employee Directors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200" w:right="219" w:firstLine="1953"/>
        <w:spacing w:after="0" w:line="257" w:lineRule="auto"/>
        <w:tabs>
          <w:tab w:leader="none" w:pos="2832" w:val="left"/>
        </w:tabs>
        <w:numPr>
          <w:ilvl w:val="1"/>
          <w:numId w:val="38"/>
        </w:numPr>
        <w:rPr>
          <w:rFonts w:ascii="Arial" w:cs="Arial" w:eastAsia="Arial" w:hAnsi="Arial"/>
          <w:sz w:val="21"/>
          <w:szCs w:val="21"/>
          <w:color w:val="auto"/>
        </w:rPr>
      </w:pPr>
      <w:r>
        <w:rPr>
          <w:rFonts w:ascii="Arial" w:cs="Arial" w:eastAsia="Arial" w:hAnsi="Arial"/>
          <w:sz w:val="21"/>
          <w:szCs w:val="21"/>
          <w:i w:val="1"/>
          <w:iCs w:val="1"/>
          <w:color w:val="auto"/>
        </w:rPr>
        <w:t>Exercise Price</w:t>
      </w:r>
      <w:r>
        <w:rPr>
          <w:rFonts w:ascii="Arial" w:cs="Arial" w:eastAsia="Arial" w:hAnsi="Arial"/>
          <w:sz w:val="21"/>
          <w:szCs w:val="21"/>
          <w:color w:val="auto"/>
        </w:rPr>
        <w:t>. The per-share exercise price of each Option granted</w:t>
      </w:r>
      <w:r>
        <w:rPr>
          <w:rFonts w:ascii="Arial" w:cs="Arial" w:eastAsia="Arial" w:hAnsi="Arial"/>
          <w:sz w:val="21"/>
          <w:szCs w:val="21"/>
          <w:i w:val="1"/>
          <w:iCs w:val="1"/>
          <w:color w:val="auto"/>
        </w:rPr>
        <w:t xml:space="preserve"> </w:t>
      </w:r>
      <w:r>
        <w:rPr>
          <w:rFonts w:ascii="Arial" w:cs="Arial" w:eastAsia="Arial" w:hAnsi="Arial"/>
          <w:sz w:val="21"/>
          <w:szCs w:val="21"/>
          <w:color w:val="auto"/>
        </w:rPr>
        <w:t>to a Non-Employee Director shall equal the Fair Market Value (as defined in the Equity Plan) of a share of the Company’s common stock on the date the Option is granted.</w:t>
      </w:r>
    </w:p>
    <w:p>
      <w:pPr>
        <w:spacing w:after="0" w:line="169" w:lineRule="exact"/>
        <w:rPr>
          <w:rFonts w:ascii="Arial" w:cs="Arial" w:eastAsia="Arial" w:hAnsi="Arial"/>
          <w:sz w:val="21"/>
          <w:szCs w:val="21"/>
          <w:color w:val="auto"/>
        </w:rPr>
      </w:pPr>
    </w:p>
    <w:p>
      <w:pPr>
        <w:jc w:val="both"/>
        <w:ind w:left="200" w:right="219" w:firstLine="1953"/>
        <w:spacing w:after="0" w:line="236" w:lineRule="auto"/>
        <w:tabs>
          <w:tab w:leader="none" w:pos="3048" w:val="left"/>
        </w:tabs>
        <w:numPr>
          <w:ilvl w:val="1"/>
          <w:numId w:val="38"/>
        </w:numPr>
        <w:rPr>
          <w:rFonts w:ascii="Arial" w:cs="Arial" w:eastAsia="Arial" w:hAnsi="Arial"/>
          <w:sz w:val="22"/>
          <w:szCs w:val="22"/>
          <w:color w:val="auto"/>
        </w:rPr>
      </w:pPr>
      <w:r>
        <w:rPr>
          <w:rFonts w:ascii="Arial" w:cs="Arial" w:eastAsia="Arial" w:hAnsi="Arial"/>
          <w:sz w:val="22"/>
          <w:szCs w:val="22"/>
          <w:i w:val="1"/>
          <w:iCs w:val="1"/>
          <w:color w:val="auto"/>
        </w:rPr>
        <w:t>Vesting</w:t>
      </w:r>
      <w:r>
        <w:rPr>
          <w:rFonts w:ascii="Arial" w:cs="Arial" w:eastAsia="Arial" w:hAnsi="Arial"/>
          <w:sz w:val="22"/>
          <w:szCs w:val="22"/>
          <w:color w:val="auto"/>
        </w:rPr>
        <w:t>. Each Option shall vest and become exercisable on the</w:t>
      </w:r>
      <w:r>
        <w:rPr>
          <w:rFonts w:ascii="Arial" w:cs="Arial" w:eastAsia="Arial" w:hAnsi="Arial"/>
          <w:sz w:val="22"/>
          <w:szCs w:val="22"/>
          <w:i w:val="1"/>
          <w:iCs w:val="1"/>
          <w:color w:val="auto"/>
        </w:rPr>
        <w:t xml:space="preserve"> </w:t>
      </w:r>
      <w:r>
        <w:rPr>
          <w:rFonts w:ascii="Arial" w:cs="Arial" w:eastAsia="Arial" w:hAnsi="Arial"/>
          <w:sz w:val="22"/>
          <w:szCs w:val="22"/>
          <w:color w:val="auto"/>
        </w:rPr>
        <w:t>earlier of the first anniversary of the date of grant or the day immediately prior to the date of the next annual meeting of the Company’s stockholders occurring after the date of grant, in either case, subject to the Non-Employee Director continuing in service as a Non-Employee Director through such vesting date.</w:t>
      </w:r>
    </w:p>
    <w:p>
      <w:pPr>
        <w:spacing w:after="0" w:line="187" w:lineRule="exact"/>
        <w:rPr>
          <w:rFonts w:ascii="Arial" w:cs="Arial" w:eastAsia="Arial" w:hAnsi="Arial"/>
          <w:sz w:val="22"/>
          <w:szCs w:val="22"/>
          <w:color w:val="auto"/>
        </w:rPr>
      </w:pPr>
    </w:p>
    <w:p>
      <w:pPr>
        <w:jc w:val="both"/>
        <w:ind w:left="200" w:right="219" w:firstLine="1953"/>
        <w:spacing w:after="0" w:line="279" w:lineRule="auto"/>
        <w:tabs>
          <w:tab w:leader="none" w:pos="2886" w:val="left"/>
        </w:tabs>
        <w:numPr>
          <w:ilvl w:val="1"/>
          <w:numId w:val="38"/>
        </w:numPr>
        <w:rPr>
          <w:rFonts w:ascii="Arial" w:cs="Arial" w:eastAsia="Arial" w:hAnsi="Arial"/>
          <w:sz w:val="19"/>
          <w:szCs w:val="19"/>
          <w:color w:val="auto"/>
        </w:rPr>
      </w:pPr>
      <w:r>
        <w:rPr>
          <w:rFonts w:ascii="Arial" w:cs="Arial" w:eastAsia="Arial" w:hAnsi="Arial"/>
          <w:sz w:val="19"/>
          <w:szCs w:val="19"/>
          <w:i w:val="1"/>
          <w:iCs w:val="1"/>
          <w:color w:val="auto"/>
        </w:rPr>
        <w:t>Forfeiture of Options</w:t>
      </w:r>
      <w:r>
        <w:rPr>
          <w:rFonts w:ascii="Arial" w:cs="Arial" w:eastAsia="Arial" w:hAnsi="Arial"/>
          <w:sz w:val="19"/>
          <w:szCs w:val="19"/>
          <w:color w:val="auto"/>
        </w:rPr>
        <w:t>. Unless the Board otherwise determines, any</w:t>
      </w:r>
      <w:r>
        <w:rPr>
          <w:rFonts w:ascii="Arial" w:cs="Arial" w:eastAsia="Arial" w:hAnsi="Arial"/>
          <w:sz w:val="19"/>
          <w:szCs w:val="19"/>
          <w:i w:val="1"/>
          <w:iCs w:val="1"/>
          <w:color w:val="auto"/>
        </w:rPr>
        <w:t xml:space="preserve"> </w:t>
      </w:r>
      <w:r>
        <w:rPr>
          <w:rFonts w:ascii="Arial" w:cs="Arial" w:eastAsia="Arial" w:hAnsi="Arial"/>
          <w:sz w:val="19"/>
          <w:szCs w:val="19"/>
          <w:color w:val="auto"/>
        </w:rPr>
        <w:t>portion of an Option which is unvested or unexercisable at the time of a Non-Employee Director’s termination of service on the Board as a Non-Employee Director shall be immediately forfeited upon such termination of service and shall not thereafter become vested and exercisable. All of a Non-Employee Director’s Options shall vest in full immediately prior to the occurrence of a Change in Control (as defined in the Equity Plan), to the extent outstanding at such time.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3" w:name="page74"/>
    <w:bookmarkEnd w:id="73"/>
    <w:p>
      <w:pPr>
        <w:ind w:left="3140" w:hanging="987"/>
        <w:spacing w:after="0"/>
        <w:tabs>
          <w:tab w:leader="none" w:pos="3140" w:val="left"/>
        </w:tabs>
        <w:numPr>
          <w:ilvl w:val="0"/>
          <w:numId w:val="39"/>
        </w:numPr>
        <w:rPr>
          <w:rFonts w:ascii="Arial" w:cs="Arial" w:eastAsia="Arial" w:hAnsi="Arial"/>
          <w:sz w:val="21"/>
          <w:szCs w:val="21"/>
          <w:color w:val="auto"/>
        </w:rPr>
      </w:pPr>
      <w:r>
        <w:rPr>
          <w:rFonts w:ascii="Arial" w:cs="Arial" w:eastAsia="Arial" w:hAnsi="Arial"/>
          <w:sz w:val="21"/>
          <w:szCs w:val="21"/>
          <w:i w:val="1"/>
          <w:iCs w:val="1"/>
          <w:color w:val="auto"/>
        </w:rPr>
        <w:t>Term</w:t>
      </w:r>
      <w:r>
        <w:rPr>
          <w:rFonts w:ascii="Arial" w:cs="Arial" w:eastAsia="Arial" w:hAnsi="Arial"/>
          <w:sz w:val="21"/>
          <w:szCs w:val="21"/>
          <w:color w:val="auto"/>
        </w:rPr>
        <w:t>.  The maximum term of each Option granted to a Non-</w:t>
      </w:r>
    </w:p>
    <w:p>
      <w:pPr>
        <w:spacing w:after="0" w:line="20" w:lineRule="exact"/>
        <w:rPr>
          <w:rFonts w:ascii="Arial" w:cs="Arial" w:eastAsia="Arial" w:hAnsi="Arial"/>
          <w:sz w:val="21"/>
          <w:szCs w:val="21"/>
          <w:color w:val="auto"/>
        </w:rPr>
      </w:pPr>
    </w:p>
    <w:p>
      <w:pPr>
        <w:ind w:left="200"/>
        <w:spacing w:after="0"/>
        <w:rPr>
          <w:rFonts w:ascii="Arial" w:cs="Arial" w:eastAsia="Arial" w:hAnsi="Arial"/>
          <w:sz w:val="21"/>
          <w:szCs w:val="21"/>
          <w:color w:val="auto"/>
        </w:rPr>
      </w:pPr>
      <w:r>
        <w:rPr>
          <w:rFonts w:ascii="Arial" w:cs="Arial" w:eastAsia="Arial" w:hAnsi="Arial"/>
          <w:sz w:val="21"/>
          <w:szCs w:val="21"/>
          <w:color w:val="auto"/>
        </w:rPr>
        <w:t>Employee Director hereunder shall be ten (10) years from the date the Option is granted.</w:t>
      </w:r>
    </w:p>
    <w:p>
      <w:pPr>
        <w:spacing w:after="0" w:line="199" w:lineRule="exact"/>
        <w:rPr>
          <w:rFonts w:ascii="Arial" w:cs="Arial" w:eastAsia="Arial" w:hAnsi="Arial"/>
          <w:sz w:val="21"/>
          <w:szCs w:val="21"/>
          <w:color w:val="auto"/>
        </w:rPr>
      </w:pPr>
    </w:p>
    <w:p>
      <w:pPr>
        <w:ind w:left="4120"/>
        <w:spacing w:after="0"/>
        <w:rPr>
          <w:rFonts w:ascii="Arial" w:cs="Arial" w:eastAsia="Arial" w:hAnsi="Arial"/>
          <w:sz w:val="21"/>
          <w:szCs w:val="21"/>
          <w:color w:val="auto"/>
        </w:rPr>
      </w:pPr>
      <w:r>
        <w:rPr>
          <w:rFonts w:ascii="Arial" w:cs="Arial" w:eastAsia="Arial" w:hAnsi="Arial"/>
          <w:sz w:val="22"/>
          <w:szCs w:val="22"/>
          <w:color w:val="auto"/>
        </w:rPr>
        <w: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4" w:name="page75"/>
    <w:bookmarkEnd w:id="74"/>
    <w:p>
      <w:pPr>
        <w:jc w:val="right"/>
        <w:ind w:right="219"/>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Vimal Mehta, Ph.D., certify that:</w:t>
      </w:r>
    </w:p>
    <w:p>
      <w:pPr>
        <w:spacing w:after="0" w:line="374" w:lineRule="exact"/>
        <w:rPr>
          <w:sz w:val="20"/>
          <w:szCs w:val="20"/>
          <w:color w:val="auto"/>
        </w:rPr>
      </w:pPr>
    </w:p>
    <w:p>
      <w:pPr>
        <w:ind w:left="540" w:right="459" w:hanging="331"/>
        <w:spacing w:after="0" w:line="277"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2020 of BioXcel Therapeutics, Inc.;</w:t>
      </w:r>
    </w:p>
    <w:p>
      <w:pPr>
        <w:spacing w:after="0" w:line="170" w:lineRule="exact"/>
        <w:rPr>
          <w:rFonts w:ascii="Arial" w:cs="Arial" w:eastAsia="Arial" w:hAnsi="Arial"/>
          <w:sz w:val="18"/>
          <w:szCs w:val="18"/>
          <w:color w:val="auto"/>
        </w:rPr>
      </w:pPr>
    </w:p>
    <w:p>
      <w:pPr>
        <w:ind w:left="540" w:right="459" w:hanging="331"/>
        <w:spacing w:after="0" w:line="263"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40" w:right="359" w:hanging="331"/>
        <w:spacing w:after="0" w:line="263"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540" w:right="379" w:hanging="331"/>
        <w:spacing w:after="0" w:line="311" w:lineRule="auto"/>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Arial" w:cs="Arial" w:eastAsia="Arial" w:hAnsi="Arial"/>
          <w:sz w:val="16"/>
          <w:szCs w:val="16"/>
          <w:color w:val="auto"/>
        </w:rPr>
      </w:pPr>
    </w:p>
    <w:p>
      <w:pPr>
        <w:jc w:val="both"/>
        <w:ind w:left="1020" w:right="659" w:hanging="325"/>
        <w:spacing w:after="0" w:line="279" w:lineRule="auto"/>
        <w:tabs>
          <w:tab w:leader="none" w:pos="1668"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7"/>
          <w:szCs w:val="17"/>
          <w:color w:val="auto"/>
        </w:rPr>
      </w:pPr>
    </w:p>
    <w:p>
      <w:pPr>
        <w:ind w:left="1020" w:right="579" w:hanging="325"/>
        <w:spacing w:after="0" w:line="279" w:lineRule="auto"/>
        <w:tabs>
          <w:tab w:leader="none" w:pos="1668"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ind w:left="1020" w:right="319" w:hanging="325"/>
        <w:spacing w:after="0" w:line="263" w:lineRule="auto"/>
        <w:tabs>
          <w:tab w:leader="none" w:pos="1668"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1020" w:right="239" w:hanging="325"/>
        <w:spacing w:after="0" w:line="259" w:lineRule="auto"/>
        <w:tabs>
          <w:tab w:leader="none" w:pos="166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ind w:left="540" w:right="539" w:hanging="331"/>
        <w:spacing w:after="0" w:line="263"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020" w:right="359" w:hanging="325"/>
        <w:spacing w:after="0" w:line="263" w:lineRule="auto"/>
        <w:tabs>
          <w:tab w:leader="none" w:pos="1668"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020" w:right="579" w:hanging="325"/>
        <w:spacing w:after="0" w:line="277" w:lineRule="auto"/>
        <w:tabs>
          <w:tab w:leader="none" w:pos="1668"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Date: May 12, 2020</w:t>
            </w:r>
          </w:p>
        </w:tc>
        <w:tc>
          <w:tcPr>
            <w:tcW w:w="5720" w:type="dxa"/>
            <w:vAlign w:val="bottom"/>
            <w:gridSpan w:val="2"/>
          </w:tcPr>
          <w:p>
            <w:pPr>
              <w:ind w:left="1440"/>
              <w:spacing w:after="0"/>
              <w:rPr>
                <w:sz w:val="20"/>
                <w:szCs w:val="20"/>
                <w:color w:val="auto"/>
              </w:rPr>
            </w:pPr>
            <w:r>
              <w:rPr>
                <w:rFonts w:ascii="Arial" w:cs="Arial" w:eastAsia="Arial" w:hAnsi="Arial"/>
                <w:sz w:val="18"/>
                <w:szCs w:val="18"/>
                <w:color w:val="auto"/>
              </w:rPr>
              <w:t>By: /s/ Vimal Mehta</w:t>
            </w:r>
          </w:p>
        </w:tc>
      </w:tr>
      <w:tr>
        <w:trPr>
          <w:trHeight w:val="195"/>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Vimal Mehta, Ph.D.</w:t>
            </w: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560"/>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8" w:right="1440" w:bottom="1440" w:gutter="0" w:footer="0" w:header="0"/>
        </w:sectPr>
      </w:pPr>
    </w:p>
    <w:bookmarkStart w:id="75" w:name="page76"/>
    <w:bookmarkEnd w:id="75"/>
    <w:p>
      <w:pPr>
        <w:ind w:left="4860"/>
        <w:spacing w:after="0"/>
        <w:rPr>
          <w:sz w:val="20"/>
          <w:szCs w:val="20"/>
          <w:color w:val="auto"/>
        </w:rPr>
      </w:pPr>
      <w:r>
        <w:rPr>
          <w:rFonts w:ascii="Arial" w:cs="Arial" w:eastAsia="Arial" w:hAnsi="Arial"/>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476250</wp:posOffset>
            </wp:positionV>
            <wp:extent cx="545211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88900</wp:posOffset>
            </wp:positionV>
            <wp:extent cx="545211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right"/>
        <w:ind w:right="219"/>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Richard Steinhart, certify that:</w:t>
      </w:r>
    </w:p>
    <w:p>
      <w:pPr>
        <w:spacing w:after="0" w:line="374" w:lineRule="exact"/>
        <w:rPr>
          <w:sz w:val="20"/>
          <w:szCs w:val="20"/>
          <w:color w:val="auto"/>
        </w:rPr>
      </w:pPr>
    </w:p>
    <w:p>
      <w:pPr>
        <w:ind w:left="540" w:right="459" w:hanging="331"/>
        <w:spacing w:after="0" w:line="277"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2020 of BioXcel Therapeutics, Inc.;</w:t>
      </w:r>
    </w:p>
    <w:p>
      <w:pPr>
        <w:spacing w:after="0" w:line="170" w:lineRule="exact"/>
        <w:rPr>
          <w:rFonts w:ascii="Arial" w:cs="Arial" w:eastAsia="Arial" w:hAnsi="Arial"/>
          <w:sz w:val="18"/>
          <w:szCs w:val="18"/>
          <w:color w:val="auto"/>
        </w:rPr>
      </w:pPr>
    </w:p>
    <w:p>
      <w:pPr>
        <w:ind w:left="540" w:right="459" w:hanging="331"/>
        <w:spacing w:after="0" w:line="263"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40" w:right="359" w:hanging="331"/>
        <w:spacing w:after="0" w:line="263"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540" w:right="379" w:hanging="331"/>
        <w:spacing w:after="0" w:line="311" w:lineRule="auto"/>
        <w:tabs>
          <w:tab w:leader="none" w:pos="5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Arial" w:cs="Arial" w:eastAsia="Arial" w:hAnsi="Arial"/>
          <w:sz w:val="16"/>
          <w:szCs w:val="16"/>
          <w:color w:val="auto"/>
        </w:rPr>
      </w:pPr>
    </w:p>
    <w:p>
      <w:pPr>
        <w:ind w:left="1180" w:right="239" w:hanging="323"/>
        <w:spacing w:after="0" w:line="259" w:lineRule="auto"/>
        <w:tabs>
          <w:tab w:leader="none" w:pos="11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180" w:right="239" w:hanging="323"/>
        <w:spacing w:after="0" w:line="259" w:lineRule="auto"/>
        <w:tabs>
          <w:tab w:leader="none" w:pos="11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1180" w:right="339" w:hanging="323"/>
        <w:spacing w:after="0" w:line="263" w:lineRule="auto"/>
        <w:tabs>
          <w:tab w:leader="none" w:pos="11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180" w:right="259" w:hanging="323"/>
        <w:spacing w:after="0" w:line="259" w:lineRule="auto"/>
        <w:tabs>
          <w:tab w:leader="none" w:pos="11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ind w:left="540" w:right="539" w:hanging="331"/>
        <w:spacing w:after="0" w:line="263"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180" w:right="479" w:hanging="323"/>
        <w:spacing w:after="0" w:line="263" w:lineRule="auto"/>
        <w:tabs>
          <w:tab w:leader="none" w:pos="11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180" w:right="259" w:hanging="323"/>
        <w:spacing w:after="0" w:line="277" w:lineRule="auto"/>
        <w:tabs>
          <w:tab w:leader="none" w:pos="11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Date: May 12, 2020</w:t>
            </w:r>
          </w:p>
        </w:tc>
        <w:tc>
          <w:tcPr>
            <w:tcW w:w="5720" w:type="dxa"/>
            <w:vAlign w:val="bottom"/>
            <w:gridSpan w:val="2"/>
          </w:tcPr>
          <w:p>
            <w:pPr>
              <w:ind w:left="1440"/>
              <w:spacing w:after="0"/>
              <w:rPr>
                <w:sz w:val="20"/>
                <w:szCs w:val="20"/>
                <w:color w:val="auto"/>
              </w:rPr>
            </w:pPr>
            <w:r>
              <w:rPr>
                <w:rFonts w:ascii="Arial" w:cs="Arial" w:eastAsia="Arial" w:hAnsi="Arial"/>
                <w:sz w:val="18"/>
                <w:szCs w:val="18"/>
                <w:color w:val="auto"/>
              </w:rPr>
              <w:t>By: /s/ Richard Steinhart</w:t>
            </w:r>
          </w:p>
        </w:tc>
      </w:tr>
      <w:tr>
        <w:trPr>
          <w:trHeight w:val="195"/>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Steinhart</w:t>
            </w: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561"/>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8" w:right="1440" w:bottom="1440" w:gutter="0" w:footer="0" w:header="0"/>
        </w:sectPr>
      </w:pPr>
    </w:p>
    <w:bookmarkStart w:id="78" w:name="page79"/>
    <w:bookmarkEnd w:id="78"/>
    <w:p>
      <w:pPr>
        <w:ind w:left="4860"/>
        <w:spacing w:after="0"/>
        <w:rPr>
          <w:sz w:val="20"/>
          <w:szCs w:val="20"/>
          <w:color w:val="auto"/>
        </w:rPr>
      </w:pPr>
      <w:r>
        <w:rPr>
          <w:rFonts w:ascii="Arial" w:cs="Arial" w:eastAsia="Arial" w:hAnsi="Arial"/>
          <w:sz w:val="17"/>
          <w:szCs w:val="17"/>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588010</wp:posOffset>
            </wp:positionV>
            <wp:extent cx="545211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9" w:name="page80"/>
    <w:bookmarkEnd w:id="79"/>
    <w:p>
      <w:pPr>
        <w:jc w:val="right"/>
        <w:ind w:right="219"/>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ind w:left="200" w:right="219"/>
        <w:spacing w:after="0" w:line="22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86" w:lineRule="exact"/>
        <w:rPr>
          <w:sz w:val="20"/>
          <w:szCs w:val="20"/>
          <w:color w:val="auto"/>
        </w:rPr>
      </w:pPr>
    </w:p>
    <w:p>
      <w:pPr>
        <w:ind w:left="200" w:right="379" w:firstLine="648"/>
        <w:spacing w:after="0" w:line="279" w:lineRule="auto"/>
        <w:rPr>
          <w:sz w:val="20"/>
          <w:szCs w:val="20"/>
          <w:color w:val="auto"/>
        </w:rPr>
      </w:pPr>
      <w:r>
        <w:rPr>
          <w:rFonts w:ascii="Arial" w:cs="Arial" w:eastAsia="Arial" w:hAnsi="Arial"/>
          <w:sz w:val="17"/>
          <w:szCs w:val="17"/>
          <w:color w:val="auto"/>
        </w:rPr>
        <w:t>In connection with the Quarterly Report on Form 10-Q of BioXcel Therapeutics, Inc. (the “Company”) for the quarterly period ended March 31, 2020,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71" w:lineRule="exact"/>
        <w:rPr>
          <w:sz w:val="20"/>
          <w:szCs w:val="20"/>
          <w:color w:val="auto"/>
        </w:rPr>
      </w:pPr>
    </w:p>
    <w:p>
      <w:pPr>
        <w:ind w:left="1020" w:right="919" w:hanging="325"/>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170" w:lineRule="exact"/>
        <w:rPr>
          <w:rFonts w:ascii="Arial" w:cs="Arial" w:eastAsia="Arial" w:hAnsi="Arial"/>
          <w:sz w:val="18"/>
          <w:szCs w:val="18"/>
          <w:color w:val="auto"/>
        </w:rPr>
      </w:pPr>
    </w:p>
    <w:p>
      <w:pPr>
        <w:ind w:left="1020" w:right="359" w:hanging="325"/>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780" w:type="dxa"/>
            <w:vAlign w:val="bottom"/>
            <w:gridSpan w:val="2"/>
          </w:tcPr>
          <w:p>
            <w:pPr>
              <w:spacing w:after="0"/>
              <w:rPr>
                <w:sz w:val="20"/>
                <w:szCs w:val="20"/>
                <w:color w:val="auto"/>
              </w:rPr>
            </w:pPr>
            <w:r>
              <w:rPr>
                <w:rFonts w:ascii="Arial" w:cs="Arial" w:eastAsia="Arial" w:hAnsi="Arial"/>
                <w:sz w:val="18"/>
                <w:szCs w:val="18"/>
                <w:color w:val="auto"/>
              </w:rPr>
              <w:t>Date: May 12, 2020</w:t>
            </w:r>
          </w:p>
        </w:tc>
        <w:tc>
          <w:tcPr>
            <w:tcW w:w="5820" w:type="dxa"/>
            <w:vAlign w:val="bottom"/>
            <w:gridSpan w:val="2"/>
          </w:tcPr>
          <w:p>
            <w:pPr>
              <w:ind w:left="1340"/>
              <w:spacing w:after="0"/>
              <w:rPr>
                <w:sz w:val="20"/>
                <w:szCs w:val="20"/>
                <w:color w:val="auto"/>
              </w:rPr>
            </w:pPr>
            <w:r>
              <w:rPr>
                <w:rFonts w:ascii="Arial" w:cs="Arial" w:eastAsia="Arial" w:hAnsi="Arial"/>
                <w:sz w:val="18"/>
                <w:szCs w:val="18"/>
                <w:color w:val="auto"/>
              </w:rPr>
              <w:t>By:  /s/ Vimal Mehta</w:t>
            </w:r>
          </w:p>
        </w:tc>
      </w:tr>
      <w:tr>
        <w:trPr>
          <w:trHeight w:val="195"/>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Vimal Mehta, Ph.D.</w:t>
            </w: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36"/>
        </w:trPr>
        <w:tc>
          <w:tcPr>
            <w:tcW w:w="20" w:type="dxa"/>
            <w:vAlign w:val="bottom"/>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8" w:right="1440" w:bottom="1440" w:gutter="0" w:footer="0" w:header="0"/>
        </w:sectPr>
      </w:pPr>
    </w:p>
    <w:bookmarkStart w:id="80" w:name="page81"/>
    <w:bookmarkEnd w:id="80"/>
    <w:p>
      <w:pPr>
        <w:jc w:val="right"/>
        <w:ind w:right="219"/>
        <w:spacing w:after="0"/>
        <w:rPr>
          <w:sz w:val="20"/>
          <w:szCs w:val="20"/>
          <w:color w:val="auto"/>
        </w:rPr>
      </w:pPr>
      <w:r>
        <w:rPr>
          <w:rFonts w:ascii="Arial" w:cs="Arial" w:eastAsia="Arial" w:hAnsi="Arial"/>
          <w:sz w:val="18"/>
          <w:szCs w:val="18"/>
          <w:b w:val="1"/>
          <w:bCs w:val="1"/>
          <w:color w:val="auto"/>
        </w:rPr>
        <w:t>Exhibit 32.2</w:t>
      </w:r>
    </w:p>
    <w:p>
      <w:pPr>
        <w:spacing w:after="0" w:line="144" w:lineRule="exact"/>
        <w:rPr>
          <w:sz w:val="20"/>
          <w:szCs w:val="20"/>
          <w:color w:val="auto"/>
        </w:rPr>
      </w:pPr>
    </w:p>
    <w:p>
      <w:pPr>
        <w:jc w:val="center"/>
        <w:ind w:left="200" w:right="219"/>
        <w:spacing w:after="0" w:line="22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86" w:lineRule="exact"/>
        <w:rPr>
          <w:sz w:val="20"/>
          <w:szCs w:val="20"/>
          <w:color w:val="auto"/>
        </w:rPr>
      </w:pPr>
    </w:p>
    <w:p>
      <w:pPr>
        <w:ind w:left="200" w:right="379" w:firstLine="648"/>
        <w:spacing w:after="0" w:line="279" w:lineRule="auto"/>
        <w:rPr>
          <w:sz w:val="20"/>
          <w:szCs w:val="20"/>
          <w:color w:val="auto"/>
        </w:rPr>
      </w:pPr>
      <w:r>
        <w:rPr>
          <w:rFonts w:ascii="Arial" w:cs="Arial" w:eastAsia="Arial" w:hAnsi="Arial"/>
          <w:sz w:val="17"/>
          <w:szCs w:val="17"/>
          <w:color w:val="auto"/>
        </w:rPr>
        <w:t>In connection with the Quarterly Report on Form 10-Q of BioXcel Therapeutics, Inc. (the “Company”) for the quarterly period ended March 31, 2020,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71" w:lineRule="exact"/>
        <w:rPr>
          <w:sz w:val="20"/>
          <w:szCs w:val="20"/>
          <w:color w:val="auto"/>
        </w:rPr>
      </w:pPr>
    </w:p>
    <w:p>
      <w:pPr>
        <w:ind w:left="1020" w:right="919" w:hanging="325"/>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170" w:lineRule="exact"/>
        <w:rPr>
          <w:rFonts w:ascii="Arial" w:cs="Arial" w:eastAsia="Arial" w:hAnsi="Arial"/>
          <w:sz w:val="18"/>
          <w:szCs w:val="18"/>
          <w:color w:val="auto"/>
        </w:rPr>
      </w:pPr>
    </w:p>
    <w:p>
      <w:pPr>
        <w:ind w:left="1020" w:right="359" w:hanging="325"/>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Date: May 12, 2020</w:t>
            </w:r>
          </w:p>
        </w:tc>
        <w:tc>
          <w:tcPr>
            <w:tcW w:w="5720" w:type="dxa"/>
            <w:vAlign w:val="bottom"/>
            <w:gridSpan w:val="2"/>
          </w:tcPr>
          <w:p>
            <w:pPr>
              <w:ind w:left="1440"/>
              <w:spacing w:after="0"/>
              <w:rPr>
                <w:sz w:val="20"/>
                <w:szCs w:val="20"/>
                <w:color w:val="auto"/>
              </w:rPr>
            </w:pPr>
            <w:r>
              <w:rPr>
                <w:rFonts w:ascii="Arial" w:cs="Arial" w:eastAsia="Arial" w:hAnsi="Arial"/>
                <w:sz w:val="18"/>
                <w:szCs w:val="18"/>
                <w:color w:val="auto"/>
              </w:rPr>
              <w:t>By: /s/ Richard Steinhart</w:t>
            </w:r>
          </w:p>
        </w:tc>
      </w:tr>
      <w:tr>
        <w:trPr>
          <w:trHeight w:val="195"/>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Steinhart</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36"/>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1."/>
      <w:numFmt w:val="upperLetter"/>
      <w:start w:val="1"/>
    </w:lvl>
    <w:lvl w:ilvl="1">
      <w:lvlJc w:val="left"/>
      <w:lvlText w:val="%2."/>
      <w:numFmt w:val="decimal"/>
      <w:start w:val="1"/>
    </w:lvl>
  </w:abstractNum>
  <w:abstractNum w:abstractNumId="38">
    <w:nsid w:val="153EA438"/>
    <w:multiLevelType w:val="hybridMultilevel"/>
    <w:lvl w:ilvl="0">
      <w:lvlJc w:val="left"/>
      <w:lvlText w:val="%1."/>
      <w:numFmt w:val="decimal"/>
      <w:start w:val="4"/>
    </w:lvl>
    <w:lvl w:ilvl="1">
      <w:lvlJc w:val="left"/>
      <w:lvlText w:val="*"/>
      <w:numFmt w:val="bullet"/>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85" Type="http://schemas.openxmlformats.org/officeDocument/2006/relationships/hyperlink" Target="http://www.sec.gov/Archives/edgar/data/1357874/000119312519094641/d727819dex31.htm" TargetMode="External"/><Relationship Id="rId86" Type="http://schemas.openxmlformats.org/officeDocument/2006/relationships/hyperlink" Target="http://www.sec.gov/Archives/edgar/data/1357874/000119312519094641/d727819dex32.htm" TargetMode="External"/><Relationship Id="rId87" Type="http://schemas.openxmlformats.org/officeDocument/2006/relationships/hyperlink" Target="http://www.sec.gov/Archives/edgar/data/1720893/000155837020002196/btai-20191231ex102ae77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2020-05-12T15:42:22Z</dcterms:created>
  <dcterms:modified xsi:type="dcterms:W3CDTF">2020-05-12T15:42:22Z</dcterms:modified>
</cp:coreProperties>
</file>