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360045</wp:posOffset>
            </wp:positionV>
            <wp:extent cx="649795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97955" cy="3429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428625</wp:posOffset>
            </wp:positionV>
            <wp:extent cx="64979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9795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2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4"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2426335</wp:posOffset>
            </wp:positionH>
            <wp:positionV relativeFrom="paragraph">
              <wp:posOffset>125095</wp:posOffset>
            </wp:positionV>
            <wp:extent cx="162877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28775" cy="8255"/>
                    </a:xfrm>
                    <a:prstGeom prst="rect">
                      <a:avLst/>
                    </a:prstGeom>
                    <a:noFill/>
                  </pic:spPr>
                </pic:pic>
              </a:graphicData>
            </a:graphic>
          </wp:anchor>
        </w:drawing>
      </w:r>
    </w:p>
    <w:p>
      <w:pPr>
        <w:spacing w:after="0" w:line="256"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5"/>
          <w:szCs w:val="25"/>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2426335</wp:posOffset>
            </wp:positionH>
            <wp:positionV relativeFrom="paragraph">
              <wp:posOffset>144145</wp:posOffset>
            </wp:positionV>
            <wp:extent cx="162877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28775" cy="8255"/>
                    </a:xfrm>
                    <a:prstGeom prst="rect">
                      <a:avLst/>
                    </a:prstGeom>
                    <a:noFill/>
                  </pic:spPr>
                </pic:pic>
              </a:graphicData>
            </a:graphic>
          </wp:anchor>
        </w:drawing>
      </w:r>
    </w:p>
    <w:p>
      <w:pPr>
        <w:spacing w:after="0" w:line="3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104" w:lineRule="exact"/>
        <w:rPr>
          <w:sz w:val="24"/>
          <w:szCs w:val="24"/>
          <w:color w:val="auto"/>
        </w:rPr>
      </w:pPr>
    </w:p>
    <w:p>
      <w:pPr>
        <w:ind w:left="3300" w:right="280" w:hanging="3022"/>
        <w:spacing w:after="0" w:line="375" w:lineRule="auto"/>
        <w:tabs>
          <w:tab w:leader="none" w:pos="732"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March 31, 2025</w:t>
      </w:r>
    </w:p>
    <w:p>
      <w:pPr>
        <w:spacing w:after="0" w:line="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04" w:lineRule="exact"/>
        <w:rPr>
          <w:sz w:val="24"/>
          <w:szCs w:val="24"/>
          <w:color w:val="auto"/>
        </w:rPr>
      </w:pPr>
    </w:p>
    <w:p>
      <w:pPr>
        <w:ind w:left="720" w:hanging="442"/>
        <w:spacing w:after="0"/>
        <w:tabs>
          <w:tab w:leader="none" w:pos="720" w:val="left"/>
        </w:tabs>
        <w:numPr>
          <w:ilvl w:val="0"/>
          <w:numId w:val="2"/>
        </w:numPr>
        <w:rPr>
          <w:rFonts w:ascii="MS PGothic" w:cs="MS PGothic" w:eastAsia="MS PGothic" w:hAnsi="MS PGothic"/>
          <w:sz w:val="17"/>
          <w:szCs w:val="17"/>
          <w:color w:val="auto"/>
          <w:highlight w:val="black"/>
        </w:rPr>
      </w:pPr>
      <w:r>
        <w:rPr>
          <w:rFonts w:ascii="Times New Roman" w:cs="Times New Roman" w:eastAsia="Times New Roman" w:hAnsi="Times New Roman"/>
          <w:sz w:val="17"/>
          <w:szCs w:val="17"/>
          <w:b w:val="1"/>
          <w:bCs w:val="1"/>
          <w:color w:val="auto"/>
        </w:rPr>
        <w:t>TRANSITION REPORT PURSUANT TO SECTION 13 OR 15(d) OF THE SECURITIES EXCHANGE ACT OF 1934</w:t>
      </w:r>
    </w:p>
    <w:p>
      <w:pPr>
        <w:spacing w:after="0" w:line="45" w:lineRule="exact"/>
        <w:rPr>
          <w:sz w:val="24"/>
          <w:szCs w:val="24"/>
          <w:color w:val="auto"/>
        </w:rPr>
      </w:pPr>
    </w:p>
    <w:tbl>
      <w:tblPr>
        <w:tblLayout w:type="fixed"/>
        <w:tblInd w:w="1460" w:type="dxa"/>
        <w:tblCellMar>
          <w:top w:w="0" w:type="dxa"/>
          <w:left w:w="0" w:type="dxa"/>
          <w:bottom w:w="0" w:type="dxa"/>
          <w:right w:w="0" w:type="dxa"/>
        </w:tblCellMar>
      </w:tblPr>
      <w:tr>
        <w:trPr>
          <w:trHeight w:val="238"/>
        </w:trPr>
        <w:tc>
          <w:tcPr>
            <w:tcW w:w="5440" w:type="dxa"/>
            <w:vAlign w:val="bottom"/>
            <w:gridSpan w:val="3"/>
          </w:tcPr>
          <w:p>
            <w:pPr>
              <w:ind w:left="1960"/>
              <w:spacing w:after="0"/>
              <w:rPr>
                <w:sz w:val="20"/>
                <w:szCs w:val="20"/>
                <w:color w:val="auto"/>
              </w:rPr>
            </w:pPr>
            <w:r>
              <w:rPr>
                <w:rFonts w:ascii="Times New Roman" w:cs="Times New Roman" w:eastAsia="Times New Roman" w:hAnsi="Times New Roman"/>
                <w:sz w:val="18"/>
                <w:szCs w:val="18"/>
                <w:b w:val="1"/>
                <w:bCs w:val="1"/>
                <w:color w:val="auto"/>
              </w:rPr>
              <w:t>For the transition period from</w:t>
            </w:r>
          </w:p>
        </w:tc>
        <w:tc>
          <w:tcPr>
            <w:tcW w:w="1360" w:type="dxa"/>
            <w:vAlign w:val="bottom"/>
          </w:tcPr>
          <w:p>
            <w:pPr>
              <w:ind w:left="460"/>
              <w:spacing w:after="0"/>
              <w:rPr>
                <w:sz w:val="20"/>
                <w:szCs w:val="20"/>
                <w:color w:val="auto"/>
              </w:rPr>
            </w:pPr>
            <w:r>
              <w:rPr>
                <w:rFonts w:ascii="Times New Roman" w:cs="Times New Roman" w:eastAsia="Times New Roman" w:hAnsi="Times New Roman"/>
                <w:sz w:val="18"/>
                <w:szCs w:val="18"/>
                <w:b w:val="1"/>
                <w:bCs w:val="1"/>
                <w:color w:val="auto"/>
              </w:rPr>
              <w:t>to</w:t>
            </w:r>
          </w:p>
        </w:tc>
        <w:tc>
          <w:tcPr>
            <w:tcW w:w="0" w:type="dxa"/>
            <w:vAlign w:val="bottom"/>
          </w:tcPr>
          <w:p>
            <w:pPr>
              <w:spacing w:after="0"/>
              <w:rPr>
                <w:sz w:val="1"/>
                <w:szCs w:val="1"/>
                <w:color w:val="auto"/>
              </w:rPr>
            </w:pPr>
          </w:p>
        </w:tc>
      </w:tr>
      <w:tr>
        <w:trPr>
          <w:trHeight w:val="236"/>
        </w:trPr>
        <w:tc>
          <w:tcPr>
            <w:tcW w:w="2360" w:type="dxa"/>
            <w:vAlign w:val="bottom"/>
          </w:tcPr>
          <w:p>
            <w:pPr>
              <w:spacing w:after="0"/>
              <w:rPr>
                <w:sz w:val="20"/>
                <w:szCs w:val="20"/>
                <w:color w:val="auto"/>
              </w:rPr>
            </w:pPr>
          </w:p>
        </w:tc>
        <w:tc>
          <w:tcPr>
            <w:tcW w:w="3080" w:type="dxa"/>
            <w:vAlign w:val="bottom"/>
            <w:gridSpan w:val="2"/>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rPr>
              <w:t>Commission File Number: 001-38410</w:t>
            </w: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1"/>
        </w:trPr>
        <w:tc>
          <w:tcPr>
            <w:tcW w:w="2360" w:type="dxa"/>
            <w:vAlign w:val="bottom"/>
          </w:tcPr>
          <w:p>
            <w:pPr>
              <w:spacing w:after="0"/>
              <w:rPr>
                <w:sz w:val="7"/>
                <w:szCs w:val="7"/>
                <w:color w:val="auto"/>
              </w:rPr>
            </w:pPr>
          </w:p>
        </w:tc>
        <w:tc>
          <w:tcPr>
            <w:tcW w:w="2560" w:type="dxa"/>
            <w:vAlign w:val="bottom"/>
            <w:tcBorders>
              <w:bottom w:val="single" w:sz="8" w:color="auto"/>
            </w:tcBorders>
          </w:tcPr>
          <w:p>
            <w:pPr>
              <w:spacing w:after="0"/>
              <w:rPr>
                <w:sz w:val="7"/>
                <w:szCs w:val="7"/>
                <w:color w:val="auto"/>
              </w:rPr>
            </w:pPr>
          </w:p>
        </w:tc>
        <w:tc>
          <w:tcPr>
            <w:tcW w:w="520" w:type="dxa"/>
            <w:vAlign w:val="bottom"/>
          </w:tcPr>
          <w:p>
            <w:pPr>
              <w:spacing w:after="0"/>
              <w:rPr>
                <w:sz w:val="7"/>
                <w:szCs w:val="7"/>
                <w:color w:val="auto"/>
              </w:rPr>
            </w:pPr>
          </w:p>
        </w:tc>
        <w:tc>
          <w:tcPr>
            <w:tcW w:w="13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62"/>
        </w:trPr>
        <w:tc>
          <w:tcPr>
            <w:tcW w:w="5440" w:type="dxa"/>
            <w:vAlign w:val="bottom"/>
            <w:gridSpan w:val="3"/>
          </w:tcPr>
          <w:p>
            <w:pPr>
              <w:jc w:val="center"/>
              <w:ind w:left="1781"/>
              <w:spacing w:after="0"/>
              <w:rPr>
                <w:sz w:val="20"/>
                <w:szCs w:val="20"/>
                <w:color w:val="auto"/>
              </w:rPr>
            </w:pPr>
            <w:r>
              <w:rPr>
                <w:rFonts w:ascii="Times New Roman" w:cs="Times New Roman" w:eastAsia="Times New Roman" w:hAnsi="Times New Roman"/>
                <w:sz w:val="25"/>
                <w:szCs w:val="25"/>
                <w:b w:val="1"/>
                <w:bCs w:val="1"/>
                <w:color w:val="auto"/>
              </w:rPr>
              <w:t>BioXcel Therapeutics, Inc.</w:t>
            </w: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5440" w:type="dxa"/>
            <w:vAlign w:val="bottom"/>
            <w:gridSpan w:val="3"/>
          </w:tcPr>
          <w:p>
            <w:pPr>
              <w:jc w:val="center"/>
              <w:ind w:left="1781"/>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1"/>
        </w:trPr>
        <w:tc>
          <w:tcPr>
            <w:tcW w:w="2360" w:type="dxa"/>
            <w:vAlign w:val="bottom"/>
          </w:tcPr>
          <w:p>
            <w:pPr>
              <w:spacing w:after="0"/>
              <w:rPr>
                <w:sz w:val="7"/>
                <w:szCs w:val="7"/>
                <w:color w:val="auto"/>
              </w:rPr>
            </w:pPr>
          </w:p>
        </w:tc>
        <w:tc>
          <w:tcPr>
            <w:tcW w:w="2560" w:type="dxa"/>
            <w:vAlign w:val="bottom"/>
            <w:tcBorders>
              <w:bottom w:val="single" w:sz="8" w:color="auto"/>
            </w:tcBorders>
          </w:tcPr>
          <w:p>
            <w:pPr>
              <w:spacing w:after="0"/>
              <w:rPr>
                <w:sz w:val="7"/>
                <w:szCs w:val="7"/>
                <w:color w:val="auto"/>
              </w:rPr>
            </w:pPr>
          </w:p>
        </w:tc>
        <w:tc>
          <w:tcPr>
            <w:tcW w:w="520" w:type="dxa"/>
            <w:vAlign w:val="bottom"/>
          </w:tcPr>
          <w:p>
            <w:pPr>
              <w:spacing w:after="0"/>
              <w:rPr>
                <w:sz w:val="7"/>
                <w:szCs w:val="7"/>
                <w:color w:val="auto"/>
              </w:rPr>
            </w:pPr>
          </w:p>
        </w:tc>
        <w:tc>
          <w:tcPr>
            <w:tcW w:w="13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1"/>
        </w:trPr>
        <w:tc>
          <w:tcPr>
            <w:tcW w:w="5440" w:type="dxa"/>
            <w:vAlign w:val="bottom"/>
            <w:gridSpan w:val="3"/>
          </w:tcPr>
          <w:p>
            <w:pPr>
              <w:jc w:val="center"/>
              <w:ind w:right="3140"/>
              <w:spacing w:after="0"/>
              <w:rPr>
                <w:sz w:val="20"/>
                <w:szCs w:val="20"/>
                <w:color w:val="auto"/>
              </w:rPr>
            </w:pPr>
            <w:r>
              <w:rPr>
                <w:rFonts w:ascii="Times New Roman" w:cs="Times New Roman" w:eastAsia="Times New Roman" w:hAnsi="Times New Roman"/>
                <w:sz w:val="14"/>
                <w:szCs w:val="14"/>
                <w:b w:val="1"/>
                <w:bCs w:val="1"/>
                <w:color w:val="auto"/>
              </w:rPr>
              <w:t>Delaware</w:t>
            </w:r>
          </w:p>
        </w:tc>
        <w:tc>
          <w:tcPr>
            <w:tcW w:w="1360" w:type="dxa"/>
            <w:vAlign w:val="bottom"/>
          </w:tcPr>
          <w:p>
            <w:pPr>
              <w:jc w:val="right"/>
              <w:ind w:right="125"/>
              <w:spacing w:after="0"/>
              <w:rPr>
                <w:sz w:val="20"/>
                <w:szCs w:val="20"/>
                <w:color w:val="auto"/>
              </w:rPr>
            </w:pPr>
            <w:r>
              <w:rPr>
                <w:rFonts w:ascii="Times New Roman" w:cs="Times New Roman" w:eastAsia="Times New Roman" w:hAnsi="Times New Roman"/>
                <w:sz w:val="14"/>
                <w:szCs w:val="14"/>
                <w:b w:val="1"/>
                <w:bCs w:val="1"/>
                <w:color w:val="auto"/>
              </w:rPr>
              <w:t>82-1386754</w:t>
            </w:r>
          </w:p>
        </w:tc>
        <w:tc>
          <w:tcPr>
            <w:tcW w:w="0" w:type="dxa"/>
            <w:vAlign w:val="bottom"/>
          </w:tcPr>
          <w:p>
            <w:pPr>
              <w:spacing w:after="0"/>
              <w:rPr>
                <w:sz w:val="1"/>
                <w:szCs w:val="1"/>
                <w:color w:val="auto"/>
              </w:rPr>
            </w:pPr>
          </w:p>
        </w:tc>
      </w:tr>
      <w:tr>
        <w:trPr>
          <w:trHeight w:val="148"/>
        </w:trPr>
        <w:tc>
          <w:tcPr>
            <w:tcW w:w="5440" w:type="dxa"/>
            <w:vAlign w:val="bottom"/>
            <w:gridSpan w:val="3"/>
          </w:tcPr>
          <w:p>
            <w:pPr>
              <w:jc w:val="center"/>
              <w:ind w:right="3140"/>
              <w:spacing w:after="0" w:line="149" w:lineRule="exact"/>
              <w:rPr>
                <w:sz w:val="20"/>
                <w:szCs w:val="20"/>
                <w:color w:val="auto"/>
              </w:rPr>
            </w:pPr>
            <w:r>
              <w:rPr>
                <w:rFonts w:ascii="Times New Roman" w:cs="Times New Roman" w:eastAsia="Times New Roman" w:hAnsi="Times New Roman"/>
                <w:sz w:val="14"/>
                <w:szCs w:val="14"/>
                <w:color w:val="auto"/>
              </w:rPr>
              <w:t>(State or other jurisdiction of</w:t>
            </w:r>
          </w:p>
        </w:tc>
        <w:tc>
          <w:tcPr>
            <w:tcW w:w="1360" w:type="dxa"/>
            <w:vAlign w:val="bottom"/>
          </w:tcPr>
          <w:p>
            <w:pPr>
              <w:jc w:val="center"/>
              <w:ind w:left="185"/>
              <w:spacing w:after="0" w:line="149" w:lineRule="exact"/>
              <w:rPr>
                <w:sz w:val="20"/>
                <w:szCs w:val="20"/>
                <w:color w:val="auto"/>
              </w:rPr>
            </w:pPr>
            <w:r>
              <w:rPr>
                <w:rFonts w:ascii="Times New Roman" w:cs="Times New Roman" w:eastAsia="Times New Roman" w:hAnsi="Times New Roman"/>
                <w:sz w:val="14"/>
                <w:szCs w:val="14"/>
                <w:color w:val="auto"/>
              </w:rPr>
              <w:t>(I.R.S. Employer</w:t>
            </w:r>
          </w:p>
        </w:tc>
        <w:tc>
          <w:tcPr>
            <w:tcW w:w="0" w:type="dxa"/>
            <w:vAlign w:val="bottom"/>
          </w:tcPr>
          <w:p>
            <w:pPr>
              <w:spacing w:after="0"/>
              <w:rPr>
                <w:sz w:val="1"/>
                <w:szCs w:val="1"/>
                <w:color w:val="auto"/>
              </w:rPr>
            </w:pPr>
          </w:p>
        </w:tc>
      </w:tr>
      <w:tr>
        <w:trPr>
          <w:trHeight w:val="188"/>
        </w:trPr>
        <w:tc>
          <w:tcPr>
            <w:tcW w:w="5440" w:type="dxa"/>
            <w:vAlign w:val="bottom"/>
            <w:gridSpan w:val="3"/>
          </w:tcPr>
          <w:p>
            <w:pPr>
              <w:ind w:left="340"/>
              <w:spacing w:after="0"/>
              <w:rPr>
                <w:sz w:val="20"/>
                <w:szCs w:val="20"/>
                <w:color w:val="auto"/>
              </w:rPr>
            </w:pPr>
            <w:r>
              <w:rPr>
                <w:rFonts w:ascii="Times New Roman" w:cs="Times New Roman" w:eastAsia="Times New Roman" w:hAnsi="Times New Roman"/>
                <w:sz w:val="14"/>
                <w:szCs w:val="14"/>
                <w:color w:val="auto"/>
              </w:rPr>
              <w:t>incorporation or organization)</w:t>
            </w:r>
          </w:p>
        </w:tc>
        <w:tc>
          <w:tcPr>
            <w:tcW w:w="1360" w:type="dxa"/>
            <w:vAlign w:val="bottom"/>
          </w:tcPr>
          <w:p>
            <w:pPr>
              <w:jc w:val="center"/>
              <w:ind w:left="205"/>
              <w:spacing w:after="0"/>
              <w:rPr>
                <w:sz w:val="20"/>
                <w:szCs w:val="20"/>
                <w:color w:val="auto"/>
              </w:rPr>
            </w:pPr>
            <w:r>
              <w:rPr>
                <w:rFonts w:ascii="Times New Roman" w:cs="Times New Roman" w:eastAsia="Times New Roman" w:hAnsi="Times New Roman"/>
                <w:sz w:val="14"/>
                <w:szCs w:val="14"/>
                <w:color w:val="auto"/>
              </w:rPr>
              <w:t>Identification No.)</w:t>
            </w:r>
          </w:p>
        </w:tc>
        <w:tc>
          <w:tcPr>
            <w:tcW w:w="0" w:type="dxa"/>
            <w:vAlign w:val="bottom"/>
          </w:tcPr>
          <w:p>
            <w:pPr>
              <w:spacing w:after="0"/>
              <w:rPr>
                <w:sz w:val="1"/>
                <w:szCs w:val="1"/>
                <w:color w:val="auto"/>
              </w:rPr>
            </w:pPr>
          </w:p>
        </w:tc>
      </w:tr>
      <w:tr>
        <w:trPr>
          <w:trHeight w:val="201"/>
        </w:trPr>
        <w:tc>
          <w:tcPr>
            <w:tcW w:w="5440" w:type="dxa"/>
            <w:vAlign w:val="bottom"/>
            <w:gridSpan w:val="3"/>
          </w:tcPr>
          <w:p>
            <w:pPr>
              <w:jc w:val="center"/>
              <w:ind w:right="3160"/>
              <w:spacing w:after="0"/>
              <w:rPr>
                <w:sz w:val="20"/>
                <w:szCs w:val="20"/>
                <w:color w:val="auto"/>
              </w:rPr>
            </w:pPr>
            <w:r>
              <w:rPr>
                <w:rFonts w:ascii="Times New Roman" w:cs="Times New Roman" w:eastAsia="Times New Roman" w:hAnsi="Times New Roman"/>
                <w:sz w:val="14"/>
                <w:szCs w:val="14"/>
                <w:b w:val="1"/>
                <w:bCs w:val="1"/>
                <w:color w:val="auto"/>
              </w:rPr>
              <w:t>555 Long Wharf Drive</w:t>
            </w:r>
          </w:p>
        </w:tc>
        <w:tc>
          <w:tcPr>
            <w:tcW w:w="1360" w:type="dxa"/>
            <w:vAlign w:val="bottom"/>
            <w:vMerge w:val="restart"/>
          </w:tcPr>
          <w:p>
            <w:pPr>
              <w:jc w:val="right"/>
              <w:ind w:right="285"/>
              <w:spacing w:after="0"/>
              <w:rPr>
                <w:sz w:val="20"/>
                <w:szCs w:val="20"/>
                <w:color w:val="auto"/>
              </w:rPr>
            </w:pPr>
            <w:r>
              <w:rPr>
                <w:rFonts w:ascii="Times New Roman" w:cs="Times New Roman" w:eastAsia="Times New Roman" w:hAnsi="Times New Roman"/>
                <w:sz w:val="14"/>
                <w:szCs w:val="14"/>
                <w:b w:val="1"/>
                <w:bCs w:val="1"/>
                <w:color w:val="auto"/>
              </w:rPr>
              <w:t>06511</w:t>
            </w:r>
          </w:p>
        </w:tc>
        <w:tc>
          <w:tcPr>
            <w:tcW w:w="0" w:type="dxa"/>
            <w:vAlign w:val="bottom"/>
          </w:tcPr>
          <w:p>
            <w:pPr>
              <w:spacing w:after="0"/>
              <w:rPr>
                <w:sz w:val="1"/>
                <w:szCs w:val="1"/>
                <w:color w:val="auto"/>
              </w:rPr>
            </w:pPr>
          </w:p>
        </w:tc>
      </w:tr>
      <w:tr>
        <w:trPr>
          <w:trHeight w:val="151"/>
        </w:trPr>
        <w:tc>
          <w:tcPr>
            <w:tcW w:w="5440" w:type="dxa"/>
            <w:vAlign w:val="bottom"/>
            <w:gridSpan w:val="3"/>
          </w:tcPr>
          <w:p>
            <w:pPr>
              <w:jc w:val="center"/>
              <w:ind w:right="3140"/>
              <w:spacing w:after="0" w:line="151" w:lineRule="exact"/>
              <w:rPr>
                <w:sz w:val="20"/>
                <w:szCs w:val="20"/>
                <w:color w:val="auto"/>
              </w:rPr>
            </w:pPr>
            <w:r>
              <w:rPr>
                <w:rFonts w:ascii="Times New Roman" w:cs="Times New Roman" w:eastAsia="Times New Roman" w:hAnsi="Times New Roman"/>
                <w:sz w:val="14"/>
                <w:szCs w:val="14"/>
                <w:b w:val="1"/>
                <w:bCs w:val="1"/>
                <w:color w:val="auto"/>
              </w:rPr>
              <w:t>New Haven, CT</w:t>
            </w:r>
          </w:p>
        </w:tc>
        <w:tc>
          <w:tcPr>
            <w:tcW w:w="13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5440" w:type="dxa"/>
            <w:vAlign w:val="bottom"/>
            <w:gridSpan w:val="3"/>
          </w:tcPr>
          <w:p>
            <w:pPr>
              <w:jc w:val="center"/>
              <w:ind w:right="3160"/>
              <w:spacing w:after="0"/>
              <w:rPr>
                <w:sz w:val="20"/>
                <w:szCs w:val="20"/>
                <w:color w:val="auto"/>
              </w:rPr>
            </w:pPr>
            <w:r>
              <w:rPr>
                <w:rFonts w:ascii="Times New Roman" w:cs="Times New Roman" w:eastAsia="Times New Roman" w:hAnsi="Times New Roman"/>
                <w:sz w:val="14"/>
                <w:szCs w:val="14"/>
                <w:color w:val="auto"/>
              </w:rPr>
              <w:t>(Address of principal executive offices)</w:t>
            </w:r>
          </w:p>
        </w:tc>
        <w:tc>
          <w:tcPr>
            <w:tcW w:w="1360" w:type="dxa"/>
            <w:vAlign w:val="bottom"/>
          </w:tcPr>
          <w:p>
            <w:pPr>
              <w:jc w:val="center"/>
              <w:ind w:left="205"/>
              <w:spacing w:after="0"/>
              <w:rPr>
                <w:sz w:val="20"/>
                <w:szCs w:val="20"/>
                <w:color w:val="auto"/>
              </w:rPr>
            </w:pPr>
            <w:r>
              <w:rPr>
                <w:rFonts w:ascii="Times New Roman" w:cs="Times New Roman" w:eastAsia="Times New Roman" w:hAnsi="Times New Roman"/>
                <w:sz w:val="14"/>
                <w:szCs w:val="14"/>
                <w:color w:val="auto"/>
              </w:rPr>
              <w:t>(Zip Code)</w:t>
            </w:r>
          </w:p>
        </w:tc>
        <w:tc>
          <w:tcPr>
            <w:tcW w:w="0" w:type="dxa"/>
            <w:vAlign w:val="bottom"/>
          </w:tcPr>
          <w:p>
            <w:pPr>
              <w:spacing w:after="0"/>
              <w:rPr>
                <w:sz w:val="1"/>
                <w:szCs w:val="1"/>
                <w:color w:val="auto"/>
              </w:rPr>
            </w:pPr>
          </w:p>
        </w:tc>
      </w:tr>
      <w:tr>
        <w:trPr>
          <w:trHeight w:val="203"/>
        </w:trPr>
        <w:tc>
          <w:tcPr>
            <w:tcW w:w="4920" w:type="dxa"/>
            <w:vAlign w:val="bottom"/>
            <w:gridSpan w:val="2"/>
          </w:tcPr>
          <w:p>
            <w:pPr>
              <w:jc w:val="center"/>
              <w:ind w:left="2301"/>
              <w:spacing w:after="0"/>
              <w:rPr>
                <w:sz w:val="20"/>
                <w:szCs w:val="20"/>
                <w:color w:val="auto"/>
              </w:rPr>
            </w:pPr>
            <w:r>
              <w:rPr>
                <w:rFonts w:ascii="Times New Roman" w:cs="Times New Roman" w:eastAsia="Times New Roman" w:hAnsi="Times New Roman"/>
                <w:sz w:val="14"/>
                <w:szCs w:val="14"/>
                <w:b w:val="1"/>
                <w:bCs w:val="1"/>
                <w:color w:val="auto"/>
              </w:rPr>
              <w:t>(475) 238-6837</w:t>
            </w:r>
          </w:p>
        </w:tc>
        <w:tc>
          <w:tcPr>
            <w:tcW w:w="5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5440" w:type="dxa"/>
            <w:vAlign w:val="bottom"/>
            <w:gridSpan w:val="3"/>
          </w:tcPr>
          <w:p>
            <w:pPr>
              <w:jc w:val="center"/>
              <w:ind w:left="1761"/>
              <w:spacing w:after="0"/>
              <w:rPr>
                <w:sz w:val="20"/>
                <w:szCs w:val="20"/>
                <w:color w:val="auto"/>
              </w:rPr>
            </w:pPr>
            <w:r>
              <w:rPr>
                <w:rFonts w:ascii="Times New Roman" w:cs="Times New Roman" w:eastAsia="Times New Roman" w:hAnsi="Times New Roman"/>
                <w:sz w:val="14"/>
                <w:szCs w:val="14"/>
                <w:color w:val="auto"/>
              </w:rPr>
              <w:t>(Registrant’s telephone number, including area code)</w:t>
            </w: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53"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N/A</w:t>
      </w:r>
    </w:p>
    <w:p>
      <w:pPr>
        <w:spacing w:after="0" w:line="6"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2426335</wp:posOffset>
            </wp:positionH>
            <wp:positionV relativeFrom="paragraph">
              <wp:posOffset>125095</wp:posOffset>
            </wp:positionV>
            <wp:extent cx="16287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628775" cy="8890"/>
                    </a:xfrm>
                    <a:prstGeom prst="rect">
                      <a:avLst/>
                    </a:prstGeom>
                    <a:noFill/>
                  </pic:spPr>
                </pic:pic>
              </a:graphicData>
            </a:graphic>
          </wp:anchor>
        </w:drawing>
      </w:r>
    </w:p>
    <w:p>
      <w:pPr>
        <w:spacing w:after="0" w:line="382"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Securities registered pursuant to Section 12(b) of the Act:</w:t>
      </w:r>
    </w:p>
    <w:p>
      <w:pPr>
        <w:sectPr>
          <w:pgSz w:w="11900" w:h="16838" w:orient="portrait"/>
          <w:cols w:equalWidth="0" w:num="1">
            <w:col w:w="10140"/>
          </w:cols>
          <w:pgMar w:left="840" w:top="661" w:right="919" w:bottom="1440" w:gutter="0" w:footer="0" w:header="0"/>
        </w:sectPr>
      </w:pPr>
    </w:p>
    <w:p>
      <w:pPr>
        <w:spacing w:after="0" w:line="109" w:lineRule="exact"/>
        <w:rPr>
          <w:sz w:val="24"/>
          <w:szCs w:val="24"/>
          <w:color w:val="auto"/>
        </w:rPr>
      </w:pPr>
    </w:p>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Title of each class</w:t>
      </w:r>
    </w:p>
    <w:p>
      <w:pPr>
        <w:spacing w:after="0" w:line="6" w:lineRule="exact"/>
        <w:rPr>
          <w:sz w:val="24"/>
          <w:szCs w:val="24"/>
          <w:color w:val="auto"/>
        </w:rPr>
      </w:pPr>
    </w:p>
    <w:p>
      <w:pPr>
        <w:jc w:val="center"/>
        <w:ind w:right="120"/>
        <w:spacing w:after="0"/>
        <w:rPr>
          <w:sz w:val="20"/>
          <w:szCs w:val="20"/>
          <w:color w:val="auto"/>
        </w:rPr>
      </w:pPr>
      <w:r>
        <w:rPr>
          <w:rFonts w:ascii="Times New Roman" w:cs="Times New Roman" w:eastAsia="Times New Roman" w:hAnsi="Times New Roman"/>
          <w:sz w:val="14"/>
          <w:szCs w:val="14"/>
          <w:color w:val="auto"/>
        </w:rPr>
        <w:t>Common Stock,</w:t>
      </w:r>
    </w:p>
    <w:p>
      <w:pPr>
        <w:spacing w:after="0" w:line="20" w:lineRule="exact"/>
        <w:rPr>
          <w:sz w:val="24"/>
          <w:szCs w:val="24"/>
          <w:color w:val="auto"/>
        </w:rPr>
      </w:pPr>
      <w:r>
        <w:rPr>
          <w:sz w:val="24"/>
          <w:szCs w:val="24"/>
          <w:color w:val="auto"/>
        </w:rPr>
        <w:br w:type="column"/>
      </w:r>
    </w:p>
    <w:p>
      <w:pPr>
        <w:spacing w:after="0" w:line="89" w:lineRule="exact"/>
        <w:rPr>
          <w:sz w:val="24"/>
          <w:szCs w:val="24"/>
          <w:color w:val="auto"/>
        </w:rPr>
      </w:pPr>
    </w:p>
    <w:p>
      <w:pPr>
        <w:jc w:val="center"/>
        <w:ind w:right="780"/>
        <w:spacing w:after="0"/>
        <w:rPr>
          <w:sz w:val="20"/>
          <w:szCs w:val="20"/>
          <w:color w:val="auto"/>
        </w:rPr>
      </w:pPr>
      <w:r>
        <w:rPr>
          <w:rFonts w:ascii="Times New Roman" w:cs="Times New Roman" w:eastAsia="Times New Roman" w:hAnsi="Times New Roman"/>
          <w:sz w:val="14"/>
          <w:szCs w:val="14"/>
          <w:b w:val="1"/>
          <w:bCs w:val="1"/>
          <w:color w:val="auto"/>
        </w:rPr>
        <w:t>Trading Symbol(s)</w:t>
      </w:r>
    </w:p>
    <w:p>
      <w:pPr>
        <w:spacing w:after="0" w:line="6" w:lineRule="exact"/>
        <w:rPr>
          <w:sz w:val="24"/>
          <w:szCs w:val="24"/>
          <w:color w:val="auto"/>
        </w:rPr>
      </w:pPr>
    </w:p>
    <w:p>
      <w:pPr>
        <w:jc w:val="center"/>
        <w:ind w:right="780"/>
        <w:spacing w:after="0"/>
        <w:rPr>
          <w:sz w:val="20"/>
          <w:szCs w:val="20"/>
          <w:color w:val="auto"/>
        </w:rPr>
      </w:pPr>
      <w:r>
        <w:rPr>
          <w:rFonts w:ascii="Times New Roman" w:cs="Times New Roman" w:eastAsia="Times New Roman" w:hAnsi="Times New Roman"/>
          <w:sz w:val="14"/>
          <w:szCs w:val="14"/>
          <w:color w:val="auto"/>
        </w:rPr>
        <w:t>BTAI</w:t>
      </w:r>
    </w:p>
    <w:p>
      <w:pPr>
        <w:spacing w:after="0" w:line="20" w:lineRule="exact"/>
        <w:rPr>
          <w:sz w:val="24"/>
          <w:szCs w:val="24"/>
          <w:color w:val="auto"/>
        </w:rPr>
      </w:pPr>
      <w:r>
        <w:rPr>
          <w:sz w:val="24"/>
          <w:szCs w:val="24"/>
          <w:color w:val="auto"/>
        </w:rPr>
        <w:br w:type="column"/>
      </w:r>
    </w:p>
    <w:p>
      <w:pPr>
        <w:spacing w:after="0" w:line="89" w:lineRule="exact"/>
        <w:rPr>
          <w:sz w:val="24"/>
          <w:szCs w:val="24"/>
          <w:color w:val="auto"/>
        </w:rPr>
      </w:pPr>
    </w:p>
    <w:p>
      <w:pPr>
        <w:jc w:val="center"/>
        <w:ind w:right="600"/>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p>
      <w:pPr>
        <w:spacing w:after="0" w:line="6" w:lineRule="exact"/>
        <w:rPr>
          <w:sz w:val="24"/>
          <w:szCs w:val="24"/>
          <w:color w:val="auto"/>
        </w:rPr>
      </w:pPr>
    </w:p>
    <w:p>
      <w:pPr>
        <w:jc w:val="center"/>
        <w:ind w:right="600"/>
        <w:spacing w:after="0"/>
        <w:rPr>
          <w:sz w:val="20"/>
          <w:szCs w:val="20"/>
          <w:color w:val="auto"/>
        </w:rPr>
      </w:pPr>
      <w:r>
        <w:rPr>
          <w:rFonts w:ascii="Times New Roman" w:cs="Times New Roman" w:eastAsia="Times New Roman" w:hAnsi="Times New Roman"/>
          <w:sz w:val="14"/>
          <w:szCs w:val="14"/>
          <w:color w:val="auto"/>
        </w:rPr>
        <w:t>Nasdaq Capital Market</w:t>
      </w:r>
    </w:p>
    <w:p>
      <w:pPr>
        <w:spacing w:after="0" w:line="1" w:lineRule="exact"/>
        <w:rPr>
          <w:sz w:val="24"/>
          <w:szCs w:val="24"/>
          <w:color w:val="auto"/>
        </w:rPr>
      </w:pPr>
    </w:p>
    <w:p>
      <w:pPr>
        <w:sectPr>
          <w:pgSz w:w="11900" w:h="16838" w:orient="portrait"/>
          <w:cols w:equalWidth="0" w:num="3">
            <w:col w:w="3520" w:space="720"/>
            <w:col w:w="1920" w:space="720"/>
            <w:col w:w="3260"/>
          </w:cols>
          <w:pgMar w:left="840" w:top="661" w:right="919" w:bottom="1440" w:gutter="0" w:footer="0" w:header="0"/>
          <w:type w:val="continuous"/>
        </w:sectPr>
      </w:pPr>
    </w:p>
    <w:p>
      <w:pPr>
        <w:ind w:left="940"/>
        <w:spacing w:after="0" w:line="238" w:lineRule="auto"/>
        <w:rPr>
          <w:sz w:val="20"/>
          <w:szCs w:val="20"/>
          <w:color w:val="auto"/>
        </w:rPr>
      </w:pPr>
      <w:r>
        <w:rPr>
          <w:rFonts w:ascii="Times New Roman" w:cs="Times New Roman" w:eastAsia="Times New Roman" w:hAnsi="Times New Roman"/>
          <w:sz w:val="14"/>
          <w:szCs w:val="14"/>
          <w:color w:val="auto"/>
        </w:rPr>
        <w:t>$0.001 par value per share</w:t>
      </w:r>
    </w:p>
    <w:p>
      <w:pPr>
        <w:sectPr>
          <w:pgSz w:w="11900" w:h="16838" w:orient="portrait"/>
          <w:cols w:equalWidth="0" w:num="1">
            <w:col w:w="10140"/>
          </w:cols>
          <w:pgMar w:left="840" w:top="661" w:right="919" w:bottom="1440" w:gutter="0" w:footer="0" w:header="0"/>
          <w:type w:val="continuous"/>
        </w:sectPr>
      </w:pPr>
    </w:p>
    <w:p>
      <w:pPr>
        <w:spacing w:after="0" w:line="176" w:lineRule="exact"/>
        <w:rPr>
          <w:sz w:val="24"/>
          <w:szCs w:val="24"/>
          <w:color w:val="auto"/>
        </w:rPr>
      </w:pPr>
    </w:p>
    <w:p>
      <w:pPr>
        <w:spacing w:after="0" w:line="186"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Arial Unicode MS" w:cs="Arial Unicode MS" w:eastAsia="Arial Unicode MS" w:hAnsi="Arial Unicode MS"/>
          <w:sz w:val="14"/>
          <w:szCs w:val="14"/>
          <w:color w:val="auto"/>
        </w:rPr>
        <w:t>⌧</w:t>
      </w:r>
      <w:r>
        <w:rPr>
          <w:rFonts w:ascii="Times New Roman" w:cs="Times New Roman" w:eastAsia="Times New Roman" w:hAnsi="Times New Roman"/>
          <w:sz w:val="14"/>
          <w:szCs w:val="14"/>
          <w:color w:val="auto"/>
        </w:rPr>
        <w:t xml:space="preserve"> No </w:t>
      </w:r>
      <w:r>
        <w:rPr>
          <w:rFonts w:ascii="Arial Unicode MS" w:cs="Arial Unicode MS" w:eastAsia="Arial Unicode MS" w:hAnsi="Arial Unicode MS"/>
          <w:sz w:val="14"/>
          <w:szCs w:val="14"/>
          <w:color w:val="auto"/>
        </w:rPr>
        <w:t>☐</w:t>
      </w:r>
    </w:p>
    <w:p>
      <w:pPr>
        <w:spacing w:after="0" w:line="47" w:lineRule="exact"/>
        <w:rPr>
          <w:sz w:val="24"/>
          <w:szCs w:val="24"/>
          <w:color w:val="auto"/>
        </w:rPr>
      </w:pPr>
    </w:p>
    <w:p>
      <w:pPr>
        <w:ind w:right="380"/>
        <w:spacing w:after="0" w:line="186"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Arial Unicode MS" w:cs="Arial Unicode MS" w:eastAsia="Arial Unicode MS" w:hAnsi="Arial Unicode MS"/>
          <w:sz w:val="14"/>
          <w:szCs w:val="14"/>
          <w:color w:val="auto"/>
        </w:rPr>
        <w:t>⌧</w:t>
      </w:r>
      <w:r>
        <w:rPr>
          <w:rFonts w:ascii="Times New Roman" w:cs="Times New Roman" w:eastAsia="Times New Roman" w:hAnsi="Times New Roman"/>
          <w:sz w:val="14"/>
          <w:szCs w:val="14"/>
          <w:color w:val="auto"/>
        </w:rPr>
        <w:t xml:space="preserve"> No </w:t>
      </w:r>
      <w:r>
        <w:rPr>
          <w:rFonts w:ascii="Arial Unicode MS" w:cs="Arial Unicode MS" w:eastAsia="Arial Unicode MS" w:hAnsi="Arial Unicode MS"/>
          <w:sz w:val="14"/>
          <w:szCs w:val="14"/>
          <w:color w:val="auto"/>
        </w:rPr>
        <w:t>☐</w:t>
      </w:r>
    </w:p>
    <w:p>
      <w:pPr>
        <w:spacing w:after="0" w:line="47" w:lineRule="exact"/>
        <w:rPr>
          <w:sz w:val="24"/>
          <w:szCs w:val="24"/>
          <w:color w:val="auto"/>
        </w:rPr>
      </w:pPr>
    </w:p>
    <w:p>
      <w:pPr>
        <w:spacing w:after="0" w:line="261"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0140"/>
          </w:cols>
          <w:pgMar w:left="840" w:top="661" w:right="919" w:bottom="1440" w:gutter="0" w:footer="0" w:header="0"/>
          <w:type w:val="continuous"/>
        </w:sectPr>
      </w:pPr>
    </w:p>
    <w:p>
      <w:pPr>
        <w:spacing w:after="0" w:line="37" w:lineRule="exact"/>
        <w:rPr>
          <w:sz w:val="24"/>
          <w:szCs w:val="24"/>
          <w:color w:val="auto"/>
        </w:rPr>
      </w:pPr>
    </w:p>
    <w:p>
      <w:pPr>
        <w:ind w:left="1820"/>
        <w:spacing w:after="0" w:line="188" w:lineRule="exact"/>
        <w:rPr>
          <w:sz w:val="20"/>
          <w:szCs w:val="20"/>
          <w:color w:val="auto"/>
        </w:rPr>
      </w:pPr>
      <w:r>
        <w:rPr>
          <w:rFonts w:ascii="Times New Roman" w:cs="Times New Roman" w:eastAsia="Times New Roman" w:hAnsi="Times New Roman"/>
          <w:sz w:val="14"/>
          <w:szCs w:val="14"/>
          <w:color w:val="auto"/>
        </w:rPr>
        <w:t xml:space="preserve">Large accelerated filer </w:t>
      </w:r>
      <w:r>
        <w:rPr>
          <w:rFonts w:ascii="Arial Unicode MS" w:cs="Arial Unicode MS" w:eastAsia="Arial Unicode MS" w:hAnsi="Arial Unicode MS"/>
          <w:sz w:val="14"/>
          <w:szCs w:val="14"/>
          <w:color w:val="auto"/>
        </w:rPr>
        <w:t>☐</w:t>
      </w:r>
    </w:p>
    <w:p>
      <w:pPr>
        <w:spacing w:after="0" w:line="20" w:lineRule="exact"/>
        <w:rPr>
          <w:sz w:val="24"/>
          <w:szCs w:val="24"/>
          <w:color w:val="auto"/>
        </w:rPr>
      </w:pPr>
      <w:r>
        <w:rPr>
          <w:sz w:val="24"/>
          <w:szCs w:val="24"/>
          <w:color w:val="auto"/>
        </w:rPr>
        <w:br w:type="column"/>
      </w:r>
    </w:p>
    <w:p>
      <w:pPr>
        <w:spacing w:after="0" w:line="17" w:lineRule="exact"/>
        <w:rPr>
          <w:sz w:val="24"/>
          <w:szCs w:val="24"/>
          <w:color w:val="auto"/>
        </w:rPr>
      </w:pPr>
    </w:p>
    <w:p>
      <w:pPr>
        <w:spacing w:after="0" w:line="188" w:lineRule="exact"/>
        <w:rPr>
          <w:sz w:val="20"/>
          <w:szCs w:val="20"/>
          <w:color w:val="auto"/>
        </w:rPr>
      </w:pPr>
      <w:r>
        <w:rPr>
          <w:rFonts w:ascii="Times New Roman" w:cs="Times New Roman" w:eastAsia="Times New Roman" w:hAnsi="Times New Roman"/>
          <w:sz w:val="14"/>
          <w:szCs w:val="14"/>
          <w:color w:val="auto"/>
        </w:rPr>
        <w:t xml:space="preserve">Accelerated filer </w:t>
      </w:r>
      <w:r>
        <w:rPr>
          <w:rFonts w:ascii="Arial Unicode MS" w:cs="Arial Unicode MS" w:eastAsia="Arial Unicode MS" w:hAnsi="Arial Unicode MS"/>
          <w:sz w:val="14"/>
          <w:szCs w:val="14"/>
          <w:color w:val="auto"/>
        </w:rPr>
        <w:t>☐</w:t>
      </w:r>
    </w:p>
    <w:p>
      <w:pPr>
        <w:spacing w:after="0" w:line="82" w:lineRule="exact"/>
        <w:rPr>
          <w:sz w:val="24"/>
          <w:szCs w:val="24"/>
          <w:color w:val="auto"/>
        </w:rPr>
      </w:pPr>
    </w:p>
    <w:p>
      <w:pPr>
        <w:sectPr>
          <w:pgSz w:w="11900" w:h="16838" w:orient="portrait"/>
          <w:cols w:equalWidth="0" w:num="2">
            <w:col w:w="6380" w:space="720"/>
            <w:col w:w="3040"/>
          </w:cols>
          <w:pgMar w:left="840" w:top="661" w:right="919" w:bottom="1440" w:gutter="0" w:footer="0" w:header="0"/>
          <w:type w:val="continuous"/>
        </w:sectPr>
      </w:pPr>
    </w:p>
    <w:p>
      <w:pPr>
        <w:ind w:left="1860"/>
        <w:spacing w:after="0" w:line="188" w:lineRule="exact"/>
        <w:rPr>
          <w:sz w:val="20"/>
          <w:szCs w:val="20"/>
          <w:color w:val="auto"/>
        </w:rPr>
      </w:pPr>
      <w:r>
        <w:rPr>
          <w:rFonts w:ascii="Times New Roman" w:cs="Times New Roman" w:eastAsia="Times New Roman" w:hAnsi="Times New Roman"/>
          <w:sz w:val="14"/>
          <w:szCs w:val="14"/>
          <w:color w:val="auto"/>
        </w:rPr>
        <w:t xml:space="preserve">Non-accelerated filer </w:t>
      </w:r>
      <w:r>
        <w:rPr>
          <w:rFonts w:ascii="Arial Unicode MS" w:cs="Arial Unicode MS" w:eastAsia="Arial Unicode MS" w:hAnsi="Arial Unicode MS"/>
          <w:sz w:val="14"/>
          <w:szCs w:val="14"/>
          <w:color w:val="auto"/>
        </w:rPr>
        <w:t>☒</w:t>
      </w:r>
    </w:p>
    <w:p>
      <w:pPr>
        <w:spacing w:after="0" w:line="20" w:lineRule="exact"/>
        <w:rPr>
          <w:sz w:val="24"/>
          <w:szCs w:val="24"/>
          <w:color w:val="auto"/>
        </w:rPr>
      </w:pPr>
      <w:r>
        <w:rPr>
          <w:sz w:val="24"/>
          <w:szCs w:val="24"/>
          <w:color w:val="auto"/>
        </w:rPr>
        <w:br w:type="column"/>
      </w:r>
    </w:p>
    <w:p>
      <w:pPr>
        <w:spacing w:after="0" w:line="168" w:lineRule="exact"/>
        <w:rPr>
          <w:sz w:val="20"/>
          <w:szCs w:val="20"/>
          <w:color w:val="auto"/>
        </w:rPr>
      </w:pPr>
      <w:r>
        <w:rPr>
          <w:rFonts w:ascii="Times New Roman" w:cs="Times New Roman" w:eastAsia="Times New Roman" w:hAnsi="Times New Roman"/>
          <w:sz w:val="14"/>
          <w:szCs w:val="14"/>
          <w:color w:val="auto"/>
        </w:rPr>
        <w:t xml:space="preserve">Smaller reporting company </w:t>
      </w:r>
      <w:r>
        <w:rPr>
          <w:rFonts w:ascii="Arial Unicode MS" w:cs="Arial Unicode MS" w:eastAsia="Arial Unicode MS" w:hAnsi="Arial Unicode MS"/>
          <w:sz w:val="14"/>
          <w:szCs w:val="14"/>
          <w:color w:val="auto"/>
        </w:rPr>
        <w:t>☒</w:t>
      </w:r>
    </w:p>
    <w:p>
      <w:pPr>
        <w:spacing w:after="0" w:line="136" w:lineRule="exact"/>
        <w:rPr>
          <w:sz w:val="24"/>
          <w:szCs w:val="24"/>
          <w:color w:val="auto"/>
        </w:rPr>
      </w:pPr>
    </w:p>
    <w:p>
      <w:pPr>
        <w:sectPr>
          <w:pgSz w:w="11900" w:h="16838" w:orient="portrait"/>
          <w:cols w:equalWidth="0" w:num="2">
            <w:col w:w="6080" w:space="720"/>
            <w:col w:w="3340"/>
          </w:cols>
          <w:pgMar w:left="840" w:top="661" w:right="919" w:bottom="1440" w:gutter="0" w:footer="0" w:header="0"/>
          <w:type w:val="continuous"/>
        </w:sectPr>
      </w:pPr>
    </w:p>
    <w:p>
      <w:pPr>
        <w:ind w:left="6800"/>
        <w:spacing w:after="0" w:line="188" w:lineRule="exact"/>
        <w:rPr>
          <w:sz w:val="20"/>
          <w:szCs w:val="20"/>
          <w:color w:val="auto"/>
        </w:rPr>
      </w:pPr>
      <w:r>
        <w:rPr>
          <w:rFonts w:ascii="Times New Roman" w:cs="Times New Roman" w:eastAsia="Times New Roman" w:hAnsi="Times New Roman"/>
          <w:sz w:val="14"/>
          <w:szCs w:val="14"/>
          <w:color w:val="auto"/>
        </w:rPr>
        <w:t xml:space="preserve">Emerging growth company </w:t>
      </w:r>
      <w:r>
        <w:rPr>
          <w:rFonts w:ascii="Arial Unicode MS" w:cs="Arial Unicode MS" w:eastAsia="Arial Unicode MS" w:hAnsi="Arial Unicode MS"/>
          <w:sz w:val="14"/>
          <w:szCs w:val="14"/>
          <w:color w:val="auto"/>
        </w:rPr>
        <w:t>☐</w:t>
      </w:r>
    </w:p>
    <w:p>
      <w:pPr>
        <w:sectPr>
          <w:pgSz w:w="11900" w:h="16838" w:orient="portrait"/>
          <w:cols w:equalWidth="0" w:num="1">
            <w:col w:w="10140"/>
          </w:cols>
          <w:pgMar w:left="840" w:top="661" w:right="919" w:bottom="1440" w:gutter="0" w:footer="0" w:header="0"/>
          <w:type w:val="continuous"/>
        </w:sectPr>
      </w:pPr>
    </w:p>
    <w:p>
      <w:pPr>
        <w:spacing w:after="0" w:line="222" w:lineRule="exact"/>
        <w:rPr>
          <w:sz w:val="24"/>
          <w:szCs w:val="24"/>
          <w:color w:val="auto"/>
        </w:rPr>
      </w:pPr>
    </w:p>
    <w:p>
      <w:pPr>
        <w:ind w:right="160"/>
        <w:spacing w:after="0" w:line="186"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Arial Unicode MS" w:cs="Arial Unicode MS" w:eastAsia="Arial Unicode MS" w:hAnsi="Arial Unicode MS"/>
          <w:sz w:val="14"/>
          <w:szCs w:val="14"/>
          <w:color w:val="auto"/>
        </w:rPr>
        <w:t>☐</w:t>
      </w:r>
    </w:p>
    <w:p>
      <w:pPr>
        <w:spacing w:after="0" w:line="29" w:lineRule="exact"/>
        <w:rPr>
          <w:sz w:val="24"/>
          <w:szCs w:val="24"/>
          <w:color w:val="auto"/>
        </w:rPr>
      </w:pPr>
    </w:p>
    <w:p>
      <w:pPr>
        <w:spacing w:after="0" w:line="188"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in Rule 12b-2 of the Exchange Act). Yes </w:t>
      </w:r>
      <w:r>
        <w:rPr>
          <w:rFonts w:ascii="Arial Unicode MS" w:cs="Arial Unicode MS" w:eastAsia="Arial Unicode MS" w:hAnsi="Arial Unicode MS"/>
          <w:sz w:val="14"/>
          <w:szCs w:val="14"/>
          <w:color w:val="auto"/>
        </w:rPr>
        <w:t>☐</w:t>
      </w:r>
      <w:r>
        <w:rPr>
          <w:rFonts w:ascii="Times New Roman" w:cs="Times New Roman" w:eastAsia="Times New Roman" w:hAnsi="Times New Roman"/>
          <w:sz w:val="14"/>
          <w:szCs w:val="14"/>
          <w:color w:val="auto"/>
        </w:rPr>
        <w:t xml:space="preserve"> No </w:t>
      </w:r>
      <w:r>
        <w:rPr>
          <w:rFonts w:ascii="Arial Unicode MS" w:cs="Arial Unicode MS" w:eastAsia="Arial Unicode MS" w:hAnsi="Arial Unicode MS"/>
          <w:sz w:val="14"/>
          <w:szCs w:val="14"/>
          <w:color w:val="auto"/>
        </w:rPr>
        <w:t>☒</w:t>
      </w:r>
    </w:p>
    <w:p>
      <w:pPr>
        <w:spacing w:after="0" w:line="195"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The number of shares of the registrant’s common stock, $0.001 par value per share, outstanding at May 9, 2025 was 6,056,046.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503555</wp:posOffset>
            </wp:positionV>
            <wp:extent cx="6497955"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497955" cy="2603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66675</wp:posOffset>
            </wp:positionV>
            <wp:extent cx="649795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497955" cy="889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100965</wp:posOffset>
            </wp:positionV>
            <wp:extent cx="6497955" cy="342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497955" cy="34290"/>
                    </a:xfrm>
                    <a:prstGeom prst="rect">
                      <a:avLst/>
                    </a:prstGeom>
                    <a:noFill/>
                  </pic:spPr>
                </pic:pic>
              </a:graphicData>
            </a:graphic>
          </wp:anchor>
        </w:drawing>
      </w:r>
    </w:p>
    <w:p>
      <w:pPr>
        <w:sectPr>
          <w:pgSz w:w="11900" w:h="16838" w:orient="portrait"/>
          <w:cols w:equalWidth="0" w:num="1">
            <w:col w:w="10140"/>
          </w:cols>
          <w:pgMar w:left="840" w:top="661" w:right="919" w:bottom="1440" w:gutter="0" w:footer="0" w:header="0"/>
          <w:type w:val="continuous"/>
        </w:sectPr>
      </w:pPr>
    </w:p>
    <w:bookmarkStart w:id="1" w:name="page2"/>
    <w:bookmarkEnd w:id="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60" w:type="dxa"/>
        <w:tblCellMar>
          <w:top w:w="0" w:type="dxa"/>
          <w:left w:w="0" w:type="dxa"/>
          <w:bottom w:w="0" w:type="dxa"/>
          <w:right w:w="0" w:type="dxa"/>
        </w:tblCellMar>
      </w:tblPr>
      <w:tr>
        <w:trPr>
          <w:trHeight w:val="238"/>
        </w:trPr>
        <w:tc>
          <w:tcPr>
            <w:tcW w:w="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40" w:type="dxa"/>
            <w:vAlign w:val="bottom"/>
            <w:gridSpan w:val="9"/>
          </w:tcPr>
          <w:p>
            <w:pPr>
              <w:jc w:val="center"/>
              <w:ind w:right="2360"/>
              <w:spacing w:after="0"/>
              <w:rPr>
                <w:sz w:val="20"/>
                <w:szCs w:val="20"/>
                <w:color w:val="auto"/>
              </w:rPr>
            </w:pPr>
            <w:r>
              <w:rPr>
                <w:rFonts w:ascii="Times New Roman" w:cs="Times New Roman" w:eastAsia="Times New Roman" w:hAnsi="Times New Roman"/>
                <w:sz w:val="18"/>
                <w:szCs w:val="18"/>
                <w:b w:val="1"/>
                <w:bCs w:val="1"/>
                <w:color w:val="auto"/>
                <w:w w:val="99"/>
              </w:rPr>
              <w:t>Table of Contents</w:t>
            </w:r>
          </w:p>
        </w:tc>
        <w:tc>
          <w:tcPr>
            <w:tcW w:w="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1"/>
        </w:trPr>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160" w:type="dxa"/>
            <w:vAlign w:val="bottom"/>
            <w:gridSpan w:val="11"/>
            <w:vMerge w:val="restart"/>
          </w:tcPr>
          <w:p>
            <w:pPr>
              <w:jc w:val="center"/>
              <w:ind w:right="2040"/>
              <w:spacing w:after="0"/>
              <w:rPr>
                <w:sz w:val="20"/>
                <w:szCs w:val="20"/>
                <w:color w:val="auto"/>
              </w:rPr>
            </w:pPr>
            <w:r>
              <w:rPr>
                <w:rFonts w:ascii="Times New Roman" w:cs="Times New Roman" w:eastAsia="Times New Roman" w:hAnsi="Times New Roman"/>
                <w:sz w:val="18"/>
                <w:szCs w:val="18"/>
                <w:b w:val="1"/>
                <w:bCs w:val="1"/>
                <w:color w:val="auto"/>
                <w:w w:val="98"/>
              </w:rPr>
              <w:t>PART I - FINANCIAL INFORMATION</w:t>
            </w:r>
          </w:p>
        </w:tc>
        <w:tc>
          <w:tcPr>
            <w:tcW w:w="820" w:type="dxa"/>
            <w:vAlign w:val="bottom"/>
            <w:tcBorders>
              <w:bottom w:val="single" w:sz="8" w:color="auto"/>
            </w:tcBorders>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160" w:type="dxa"/>
            <w:vAlign w:val="bottom"/>
            <w:gridSpan w:val="11"/>
            <w:vMerge w:val="continue"/>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92"/>
        </w:trPr>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60" w:type="dxa"/>
            <w:vAlign w:val="bottom"/>
            <w:tcBorders>
              <w:bottom w:val="single" w:sz="8" w:color="0000EE"/>
            </w:tcBorders>
            <w:gridSpan w:val="8"/>
          </w:tcPr>
          <w:p>
            <w:pPr>
              <w:spacing w:after="0"/>
              <w:rPr>
                <w:sz w:val="20"/>
                <w:szCs w:val="20"/>
                <w:color w:val="auto"/>
              </w:rPr>
            </w:pPr>
            <w:r>
              <w:rPr>
                <w:rFonts w:ascii="Times New Roman" w:cs="Times New Roman" w:eastAsia="Times New Roman" w:hAnsi="Times New Roman"/>
                <w:sz w:val="18"/>
                <w:szCs w:val="18"/>
                <w:color w:val="0000EE"/>
                <w:w w:val="97"/>
              </w:rPr>
              <w:t>Forward Looking Statements</w:t>
            </w:r>
          </w:p>
        </w:tc>
        <w:tc>
          <w:tcPr>
            <w:tcW w:w="5160" w:type="dxa"/>
            <w:vAlign w:val="bottom"/>
            <w:gridSpan w:val="11"/>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2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EE"/>
              </w:rPr>
              <w:t>Summary Risk Factors</w:t>
            </w:r>
          </w:p>
        </w:tc>
        <w:tc>
          <w:tcPr>
            <w:tcW w:w="8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4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0000EE"/>
              </w:rPr>
              <w:t>Item 1.</w:t>
            </w:r>
          </w:p>
        </w:tc>
        <w:tc>
          <w:tcPr>
            <w:tcW w:w="722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EE"/>
              </w:rPr>
              <w:t>Financial Statements (Unaudited)</w:t>
            </w:r>
          </w:p>
        </w:tc>
        <w:tc>
          <w:tcPr>
            <w:tcW w:w="8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2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EE"/>
              </w:rPr>
              <w:t>Condensed Consolidated Balance Sheets as of March 31, 2025 and December 31, 2024</w:t>
            </w:r>
          </w:p>
        </w:tc>
        <w:tc>
          <w:tcPr>
            <w:tcW w:w="8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92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2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EE"/>
              </w:rPr>
              <w:t>Condensed Consolidated Statements of Operations for the three months ended March 31, 2025 and</w:t>
            </w: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360" w:type="dxa"/>
            <w:vAlign w:val="bottom"/>
            <w:tcBorders>
              <w:top w:val="single" w:sz="8" w:color="0000EE"/>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4"/>
              </w:rPr>
              <w:t>2024</w:t>
            </w:r>
          </w:p>
        </w:tc>
        <w:tc>
          <w:tcPr>
            <w:tcW w:w="12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400" w:type="dxa"/>
            <w:vAlign w:val="bottom"/>
            <w:tcBorders>
              <w:top w:val="single" w:sz="8" w:color="0000EE"/>
            </w:tcBorders>
          </w:tcPr>
          <w:p>
            <w:pPr>
              <w:spacing w:after="0"/>
              <w:rPr>
                <w:sz w:val="17"/>
                <w:szCs w:val="17"/>
                <w:color w:val="auto"/>
              </w:rPr>
            </w:pPr>
          </w:p>
        </w:tc>
        <w:tc>
          <w:tcPr>
            <w:tcW w:w="34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34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600" w:type="dxa"/>
            <w:vAlign w:val="bottom"/>
            <w:tcBorders>
              <w:top w:val="single" w:sz="8" w:color="0000EE"/>
            </w:tcBorders>
          </w:tcPr>
          <w:p>
            <w:pPr>
              <w:spacing w:after="0"/>
              <w:rPr>
                <w:sz w:val="17"/>
                <w:szCs w:val="17"/>
                <w:color w:val="auto"/>
              </w:rPr>
            </w:pPr>
          </w:p>
        </w:tc>
        <w:tc>
          <w:tcPr>
            <w:tcW w:w="960" w:type="dxa"/>
            <w:vAlign w:val="bottom"/>
            <w:tcBorders>
              <w:top w:val="single" w:sz="8" w:color="0000EE"/>
            </w:tcBorders>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192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2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EE"/>
              </w:rPr>
              <w:t>Condensed Consolidated Statements of Changes in Stockholders’ (Deficit) Equity for the three</w:t>
            </w: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6700" w:type="dxa"/>
            <w:vAlign w:val="bottom"/>
            <w:tcBorders>
              <w:top w:val="single" w:sz="8" w:color="0000EE"/>
            </w:tcBorders>
            <w:gridSpan w:val="15"/>
          </w:tcPr>
          <w:p>
            <w:pPr>
              <w:spacing w:after="0" w:line="196" w:lineRule="exact"/>
              <w:rPr>
                <w:sz w:val="20"/>
                <w:szCs w:val="20"/>
                <w:color w:val="auto"/>
              </w:rPr>
            </w:pPr>
            <w:r>
              <w:rPr>
                <w:rFonts w:ascii="Times New Roman" w:cs="Times New Roman" w:eastAsia="Times New Roman" w:hAnsi="Times New Roman"/>
                <w:sz w:val="18"/>
                <w:szCs w:val="18"/>
                <w:color w:val="0000EE"/>
              </w:rPr>
              <w:t>months ended March 31, 2025 and 2024</w:t>
            </w:r>
          </w:p>
        </w:tc>
        <w:tc>
          <w:tcPr>
            <w:tcW w:w="440" w:type="dxa"/>
            <w:vAlign w:val="bottom"/>
            <w:gridSpan w:val="3"/>
          </w:tcPr>
          <w:p>
            <w:pPr>
              <w:spacing w:after="0"/>
              <w:rPr>
                <w:sz w:val="17"/>
                <w:szCs w:val="17"/>
                <w:color w:val="auto"/>
              </w:rPr>
            </w:pPr>
          </w:p>
        </w:tc>
        <w:tc>
          <w:tcPr>
            <w:tcW w:w="8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2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EE"/>
              </w:rPr>
              <w:t>Condensed Consolidated Statements of Cash Flows for the three months ended March 31, 2025 and</w:t>
            </w: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360" w:type="dxa"/>
            <w:vAlign w:val="bottom"/>
            <w:tcBorders>
              <w:top w:val="single" w:sz="8" w:color="0000EE"/>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4"/>
              </w:rPr>
              <w:t>2024</w:t>
            </w:r>
          </w:p>
        </w:tc>
        <w:tc>
          <w:tcPr>
            <w:tcW w:w="12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400" w:type="dxa"/>
            <w:vAlign w:val="bottom"/>
            <w:tcBorders>
              <w:top w:val="single" w:sz="8" w:color="0000EE"/>
            </w:tcBorders>
          </w:tcPr>
          <w:p>
            <w:pPr>
              <w:spacing w:after="0"/>
              <w:rPr>
                <w:sz w:val="17"/>
                <w:szCs w:val="17"/>
                <w:color w:val="auto"/>
              </w:rPr>
            </w:pPr>
          </w:p>
        </w:tc>
        <w:tc>
          <w:tcPr>
            <w:tcW w:w="34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34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600" w:type="dxa"/>
            <w:vAlign w:val="bottom"/>
            <w:tcBorders>
              <w:top w:val="single" w:sz="8" w:color="0000EE"/>
            </w:tcBorders>
          </w:tcPr>
          <w:p>
            <w:pPr>
              <w:spacing w:after="0"/>
              <w:rPr>
                <w:sz w:val="17"/>
                <w:szCs w:val="17"/>
                <w:color w:val="auto"/>
              </w:rPr>
            </w:pPr>
          </w:p>
        </w:tc>
        <w:tc>
          <w:tcPr>
            <w:tcW w:w="960" w:type="dxa"/>
            <w:vAlign w:val="bottom"/>
            <w:tcBorders>
              <w:top w:val="single" w:sz="8" w:color="0000EE"/>
            </w:tcBorders>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192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2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EE"/>
              </w:rPr>
              <w:t>Notes to Condensed Consolidated Financial Statements</w:t>
            </w:r>
          </w:p>
        </w:tc>
        <w:tc>
          <w:tcPr>
            <w:tcW w:w="8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660" w:type="dxa"/>
            <w:vAlign w:val="bottom"/>
            <w:gridSpan w:val="3"/>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800" w:type="dxa"/>
            <w:vAlign w:val="bottom"/>
            <w:gridSpan w:val="4"/>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0000EE"/>
              </w:rPr>
              <w:t>Item 2.</w:t>
            </w:r>
          </w:p>
        </w:tc>
        <w:tc>
          <w:tcPr>
            <w:tcW w:w="722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EE"/>
              </w:rPr>
              <w:t>Management’s Discussion and Analysis of Financial Condition and Results of Operations</w:t>
            </w:r>
          </w:p>
        </w:tc>
        <w:tc>
          <w:tcPr>
            <w:tcW w:w="8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2020" w:type="dxa"/>
            <w:vAlign w:val="bottom"/>
            <w:gridSpan w:val="4"/>
            <w:shd w:val="clear" w:color="auto" w:fill="0000EE"/>
          </w:tcPr>
          <w:p>
            <w:pPr>
              <w:spacing w:after="0" w:line="20" w:lineRule="exact"/>
              <w:rPr>
                <w:sz w:val="1"/>
                <w:szCs w:val="1"/>
                <w:color w:val="auto"/>
              </w:rPr>
            </w:pPr>
          </w:p>
        </w:tc>
        <w:tc>
          <w:tcPr>
            <w:tcW w:w="2120" w:type="dxa"/>
            <w:vAlign w:val="bottom"/>
            <w:tcBorders>
              <w:left w:val="single" w:sz="8" w:color="0000EE"/>
            </w:tcBorders>
            <w:gridSpan w:val="2"/>
            <w:shd w:val="clear" w:color="auto" w:fill="0000EE"/>
          </w:tcPr>
          <w:p>
            <w:pPr>
              <w:spacing w:after="0" w:line="20" w:lineRule="exact"/>
              <w:rPr>
                <w:sz w:val="1"/>
                <w:szCs w:val="1"/>
                <w:color w:val="auto"/>
              </w:rPr>
            </w:pPr>
          </w:p>
        </w:tc>
        <w:tc>
          <w:tcPr>
            <w:tcW w:w="800" w:type="dxa"/>
            <w:vAlign w:val="bottom"/>
            <w:gridSpan w:val="4"/>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0000EE"/>
              </w:rPr>
              <w:t>Item 3.</w:t>
            </w:r>
          </w:p>
        </w:tc>
        <w:tc>
          <w:tcPr>
            <w:tcW w:w="722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EE"/>
              </w:rPr>
              <w:t>Quantitative and Qualitative Disclosures About Market Risk</w:t>
            </w:r>
          </w:p>
        </w:tc>
        <w:tc>
          <w:tcPr>
            <w:tcW w:w="8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64</w:t>
            </w: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2020" w:type="dxa"/>
            <w:vAlign w:val="bottom"/>
            <w:gridSpan w:val="4"/>
            <w:shd w:val="clear" w:color="auto" w:fill="0000EE"/>
          </w:tcPr>
          <w:p>
            <w:pPr>
              <w:spacing w:after="0" w:line="20" w:lineRule="exact"/>
              <w:rPr>
                <w:sz w:val="1"/>
                <w:szCs w:val="1"/>
                <w:color w:val="auto"/>
              </w:rPr>
            </w:pPr>
          </w:p>
        </w:tc>
        <w:tc>
          <w:tcPr>
            <w:tcW w:w="2920" w:type="dxa"/>
            <w:vAlign w:val="bottom"/>
            <w:tcBorders>
              <w:left w:val="single" w:sz="8" w:color="0000EE"/>
            </w:tcBorders>
            <w:gridSpan w:val="6"/>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0000EE"/>
              </w:rPr>
              <w:t>Item 4.</w:t>
            </w:r>
          </w:p>
        </w:tc>
        <w:tc>
          <w:tcPr>
            <w:tcW w:w="722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EE"/>
              </w:rPr>
              <w:t>Controls and Procedures</w:t>
            </w:r>
          </w:p>
        </w:tc>
        <w:tc>
          <w:tcPr>
            <w:tcW w:w="8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64</w:t>
            </w:r>
          </w:p>
        </w:tc>
        <w:tc>
          <w:tcPr>
            <w:tcW w:w="0" w:type="dxa"/>
            <w:vAlign w:val="bottom"/>
          </w:tcPr>
          <w:p>
            <w:pPr>
              <w:spacing w:after="0"/>
              <w:rPr>
                <w:sz w:val="1"/>
                <w:szCs w:val="1"/>
                <w:color w:val="auto"/>
              </w:rPr>
            </w:pPr>
          </w:p>
        </w:tc>
      </w:tr>
      <w:tr>
        <w:trPr>
          <w:trHeight w:val="453"/>
        </w:trPr>
        <w:tc>
          <w:tcPr>
            <w:tcW w:w="500" w:type="dxa"/>
            <w:vAlign w:val="bottom"/>
            <w:tcBorders>
              <w:top w:val="single" w:sz="8" w:color="0000EE"/>
            </w:tcBorders>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340" w:type="dxa"/>
            <w:vAlign w:val="bottom"/>
          </w:tcPr>
          <w:p>
            <w:pPr>
              <w:spacing w:after="0"/>
              <w:rPr>
                <w:sz w:val="24"/>
                <w:szCs w:val="24"/>
                <w:color w:val="auto"/>
              </w:rPr>
            </w:pPr>
          </w:p>
        </w:tc>
        <w:tc>
          <w:tcPr>
            <w:tcW w:w="5160" w:type="dxa"/>
            <w:vAlign w:val="bottom"/>
            <w:gridSpan w:val="11"/>
          </w:tcPr>
          <w:p>
            <w:pPr>
              <w:jc w:val="center"/>
              <w:ind w:right="2040"/>
              <w:spacing w:after="0"/>
              <w:rPr>
                <w:sz w:val="20"/>
                <w:szCs w:val="20"/>
                <w:color w:val="auto"/>
              </w:rPr>
            </w:pPr>
            <w:r>
              <w:rPr>
                <w:rFonts w:ascii="Times New Roman" w:cs="Times New Roman" w:eastAsia="Times New Roman" w:hAnsi="Times New Roman"/>
                <w:sz w:val="18"/>
                <w:szCs w:val="18"/>
                <w:b w:val="1"/>
                <w:bCs w:val="1"/>
                <w:color w:val="auto"/>
                <w:w w:val="98"/>
              </w:rPr>
              <w:t>PART II OTHER INFORMATION</w:t>
            </w: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78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Item 1.</w:t>
            </w:r>
          </w:p>
        </w:tc>
        <w:tc>
          <w:tcPr>
            <w:tcW w:w="7220" w:type="dxa"/>
            <w:vAlign w:val="bottom"/>
            <w:gridSpan w:val="19"/>
          </w:tcPr>
          <w:p>
            <w:pPr>
              <w:spacing w:after="0"/>
              <w:rPr>
                <w:sz w:val="20"/>
                <w:szCs w:val="20"/>
                <w:color w:val="auto"/>
              </w:rPr>
            </w:pPr>
            <w:r>
              <w:rPr>
                <w:rFonts w:ascii="Times New Roman" w:cs="Times New Roman" w:eastAsia="Times New Roman" w:hAnsi="Times New Roman"/>
                <w:sz w:val="18"/>
                <w:szCs w:val="18"/>
                <w:color w:val="0000EE"/>
              </w:rPr>
              <w:t>Legal Proceedings</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020" w:type="dxa"/>
            <w:vAlign w:val="bottom"/>
            <w:tcBorders>
              <w:left w:val="single" w:sz="8" w:color="0000EE"/>
            </w:tcBorders>
            <w:gridSpan w:val="4"/>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2920" w:type="dxa"/>
            <w:vAlign w:val="bottom"/>
            <w:gridSpan w:val="6"/>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6"/>
              </w:rPr>
              <w:t>Item 1A.</w:t>
            </w:r>
          </w:p>
        </w:tc>
        <w:tc>
          <w:tcPr>
            <w:tcW w:w="140" w:type="dxa"/>
            <w:vAlign w:val="bottom"/>
          </w:tcPr>
          <w:p>
            <w:pPr>
              <w:spacing w:after="0"/>
              <w:rPr>
                <w:sz w:val="17"/>
                <w:szCs w:val="17"/>
                <w:color w:val="auto"/>
              </w:rPr>
            </w:pPr>
          </w:p>
        </w:tc>
        <w:tc>
          <w:tcPr>
            <w:tcW w:w="722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EE"/>
              </w:rPr>
              <w:t>Risk Factors</w:t>
            </w:r>
          </w:p>
        </w:tc>
        <w:tc>
          <w:tcPr>
            <w:tcW w:w="8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66</w:t>
            </w:r>
          </w:p>
        </w:tc>
        <w:tc>
          <w:tcPr>
            <w:tcW w:w="0" w:type="dxa"/>
            <w:vAlign w:val="bottom"/>
          </w:tcPr>
          <w:p>
            <w:pPr>
              <w:spacing w:after="0"/>
              <w:rPr>
                <w:sz w:val="1"/>
                <w:szCs w:val="1"/>
                <w:color w:val="auto"/>
              </w:rPr>
            </w:pPr>
          </w:p>
        </w:tc>
      </w:tr>
      <w:tr>
        <w:trPr>
          <w:trHeight w:val="20"/>
        </w:trPr>
        <w:tc>
          <w:tcPr>
            <w:tcW w:w="640" w:type="dxa"/>
            <w:vAlign w:val="bottom"/>
            <w:gridSpan w:val="2"/>
            <w:shd w:val="clear" w:color="auto" w:fill="0000EE"/>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20" w:type="dxa"/>
            <w:vAlign w:val="bottom"/>
            <w:gridSpan w:val="4"/>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2920" w:type="dxa"/>
            <w:vAlign w:val="bottom"/>
            <w:gridSpan w:val="6"/>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0000EE"/>
              </w:rPr>
              <w:t>Item 2.</w:t>
            </w:r>
          </w:p>
        </w:tc>
        <w:tc>
          <w:tcPr>
            <w:tcW w:w="140" w:type="dxa"/>
            <w:vAlign w:val="bottom"/>
          </w:tcPr>
          <w:p>
            <w:pPr>
              <w:spacing w:after="0"/>
              <w:rPr>
                <w:sz w:val="17"/>
                <w:szCs w:val="17"/>
                <w:color w:val="auto"/>
              </w:rPr>
            </w:pPr>
          </w:p>
        </w:tc>
        <w:tc>
          <w:tcPr>
            <w:tcW w:w="722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EE"/>
              </w:rPr>
              <w:t>Unregistered Sales of Equity Securities and Use of Proceeds</w:t>
            </w:r>
          </w:p>
        </w:tc>
        <w:tc>
          <w:tcPr>
            <w:tcW w:w="8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131</w:t>
            </w: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280" w:type="dxa"/>
            <w:vAlign w:val="bottom"/>
            <w:tcBorders>
              <w:right w:val="single" w:sz="8" w:color="0000EE"/>
            </w:tcBorders>
            <w:gridSpan w:val="2"/>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1020" w:type="dxa"/>
            <w:vAlign w:val="bottom"/>
            <w:tcBorders>
              <w:left w:val="single" w:sz="8" w:color="0000EE"/>
            </w:tcBorders>
            <w:gridSpan w:val="4"/>
            <w:shd w:val="clear" w:color="auto" w:fill="0000EE"/>
          </w:tcPr>
          <w:p>
            <w:pPr>
              <w:spacing w:after="0" w:line="20" w:lineRule="exact"/>
              <w:rPr>
                <w:sz w:val="1"/>
                <w:szCs w:val="1"/>
                <w:color w:val="auto"/>
              </w:rPr>
            </w:pPr>
          </w:p>
        </w:tc>
        <w:tc>
          <w:tcPr>
            <w:tcW w:w="2020" w:type="dxa"/>
            <w:vAlign w:val="bottom"/>
            <w:gridSpan w:val="4"/>
            <w:shd w:val="clear" w:color="auto" w:fill="0000EE"/>
          </w:tcPr>
          <w:p>
            <w:pPr>
              <w:spacing w:after="0" w:line="20" w:lineRule="exact"/>
              <w:rPr>
                <w:sz w:val="1"/>
                <w:szCs w:val="1"/>
                <w:color w:val="auto"/>
              </w:rPr>
            </w:pPr>
          </w:p>
        </w:tc>
        <w:tc>
          <w:tcPr>
            <w:tcW w:w="2920" w:type="dxa"/>
            <w:vAlign w:val="bottom"/>
            <w:gridSpan w:val="6"/>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0000EE"/>
              </w:rPr>
              <w:t>Item 3.</w:t>
            </w:r>
          </w:p>
        </w:tc>
        <w:tc>
          <w:tcPr>
            <w:tcW w:w="722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EE"/>
              </w:rPr>
              <w:t>Defaults Upon Senior Securities</w:t>
            </w:r>
          </w:p>
        </w:tc>
        <w:tc>
          <w:tcPr>
            <w:tcW w:w="8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131</w:t>
            </w: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280" w:type="dxa"/>
            <w:vAlign w:val="bottom"/>
            <w:tcBorders>
              <w:right w:val="single" w:sz="8" w:color="0000EE"/>
            </w:tcBorders>
            <w:gridSpan w:val="2"/>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1020" w:type="dxa"/>
            <w:vAlign w:val="bottom"/>
            <w:tcBorders>
              <w:left w:val="single" w:sz="8" w:color="0000EE"/>
            </w:tcBorders>
            <w:gridSpan w:val="4"/>
            <w:shd w:val="clear" w:color="auto" w:fill="0000EE"/>
          </w:tcPr>
          <w:p>
            <w:pPr>
              <w:spacing w:after="0" w:line="20" w:lineRule="exact"/>
              <w:rPr>
                <w:sz w:val="1"/>
                <w:szCs w:val="1"/>
                <w:color w:val="auto"/>
              </w:rPr>
            </w:pPr>
          </w:p>
        </w:tc>
        <w:tc>
          <w:tcPr>
            <w:tcW w:w="4940" w:type="dxa"/>
            <w:vAlign w:val="bottom"/>
            <w:gridSpan w:val="1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0000EE"/>
              </w:rPr>
              <w:t>Item 4.</w:t>
            </w:r>
          </w:p>
        </w:tc>
        <w:tc>
          <w:tcPr>
            <w:tcW w:w="722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EE"/>
              </w:rPr>
              <w:t>Mine Safety Disclosures</w:t>
            </w:r>
          </w:p>
        </w:tc>
        <w:tc>
          <w:tcPr>
            <w:tcW w:w="8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131</w:t>
            </w: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280" w:type="dxa"/>
            <w:vAlign w:val="bottom"/>
            <w:tcBorders>
              <w:right w:val="single" w:sz="8" w:color="0000EE"/>
            </w:tcBorders>
            <w:gridSpan w:val="2"/>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5500" w:type="dxa"/>
            <w:vAlign w:val="bottom"/>
            <w:gridSpan w:val="1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0000EE"/>
              </w:rPr>
              <w:t>Item 5.</w:t>
            </w:r>
          </w:p>
        </w:tc>
        <w:tc>
          <w:tcPr>
            <w:tcW w:w="722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EE"/>
              </w:rPr>
              <w:t>Other Information</w:t>
            </w:r>
          </w:p>
        </w:tc>
        <w:tc>
          <w:tcPr>
            <w:tcW w:w="8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131</w:t>
            </w: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280" w:type="dxa"/>
            <w:vAlign w:val="bottom"/>
            <w:tcBorders>
              <w:right w:val="single" w:sz="8" w:color="0000EE"/>
            </w:tcBorders>
            <w:gridSpan w:val="2"/>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5960" w:type="dxa"/>
            <w:vAlign w:val="bottom"/>
            <w:gridSpan w:val="14"/>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0000EE"/>
              </w:rPr>
              <w:t>Item 6.</w:t>
            </w:r>
          </w:p>
        </w:tc>
        <w:tc>
          <w:tcPr>
            <w:tcW w:w="722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EE"/>
              </w:rPr>
              <w:t>Exhibits</w:t>
            </w:r>
          </w:p>
        </w:tc>
        <w:tc>
          <w:tcPr>
            <w:tcW w:w="8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132</w:t>
            </w: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280" w:type="dxa"/>
            <w:vAlign w:val="bottom"/>
            <w:tcBorders>
              <w:right w:val="single" w:sz="8" w:color="0000EE"/>
            </w:tcBorders>
            <w:gridSpan w:val="2"/>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6660" w:type="dxa"/>
            <w:vAlign w:val="bottom"/>
            <w:gridSpan w:val="16"/>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0" w:type="dxa"/>
            <w:vAlign w:val="bottom"/>
            <w:tcBorders>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7"/>
              </w:rPr>
              <w:t>Signatures</w:t>
            </w:r>
          </w:p>
        </w:tc>
        <w:tc>
          <w:tcPr>
            <w:tcW w:w="7220" w:type="dxa"/>
            <w:vAlign w:val="bottom"/>
            <w:gridSpan w:val="19"/>
          </w:tcPr>
          <w:p>
            <w:pPr>
              <w:spacing w:after="0"/>
              <w:rPr>
                <w:sz w:val="17"/>
                <w:szCs w:val="17"/>
                <w:color w:val="auto"/>
              </w:rPr>
            </w:pPr>
          </w:p>
        </w:tc>
        <w:tc>
          <w:tcPr>
            <w:tcW w:w="8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135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25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06415"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 w:name="page3"/>
    <w:bookmarkEnd w:id="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94" w:lineRule="exact"/>
        <w:rPr>
          <w:sz w:val="20"/>
          <w:szCs w:val="20"/>
          <w:color w:val="auto"/>
        </w:rPr>
      </w:pPr>
    </w:p>
    <w:p>
      <w:pPr>
        <w:ind w:left="60" w:right="199" w:firstLine="324"/>
        <w:spacing w:after="0" w:line="233" w:lineRule="auto"/>
        <w:rPr>
          <w:sz w:val="20"/>
          <w:szCs w:val="20"/>
          <w:color w:val="auto"/>
        </w:rPr>
      </w:pPr>
      <w:r>
        <w:rPr>
          <w:rFonts w:ascii="Times New Roman" w:cs="Times New Roman" w:eastAsia="Times New Roman" w:hAnsi="Times New Roman"/>
          <w:sz w:val="18"/>
          <w:szCs w:val="18"/>
          <w:color w:val="auto"/>
        </w:rPr>
        <w:t>This Quarterly Report on Form 10-Q contains forward-looking statements within the meaning of the Private Securities Litigation Reform Act of 1995. We intend such forward-looking statements to be covered by the safe harbor provisions for forward-looking statements contained in Section 27A of the Securities Act of 1933, as amended (the “Securities Act”) and Section 21E of the Securities Exchange Act of 1934, as amended (the “Exchange Act”). The words “anticipate,” “believe,” “can,” “continue,” “could,” “designed,” “estimate,” “expect,” “forecast,” “goal,” “intend,” “may,” “might,” “plan,” “possible,” “potential,” “predict,” “project,” “should,” “target,” “will,” “would” and similar expressions are intended to identify forward-looking statements, though not all forward-looking statements use these words or expressions. All statements contained in this Quarterly Report on Form 10-Q, other than statements of historical fact, are forward-looking statements, including, without limitation, statements regarding:</w:t>
      </w:r>
    </w:p>
    <w:p>
      <w:pPr>
        <w:spacing w:after="0" w:line="5" w:lineRule="exact"/>
        <w:rPr>
          <w:sz w:val="20"/>
          <w:szCs w:val="20"/>
          <w:color w:val="auto"/>
        </w:rPr>
      </w:pPr>
    </w:p>
    <w:p>
      <w:pPr>
        <w:ind w:left="720" w:hanging="319"/>
        <w:spacing w:after="0"/>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sales strategy for IGALMI</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w:t>
      </w:r>
    </w:p>
    <w:p>
      <w:pPr>
        <w:ind w:left="720" w:hanging="319"/>
        <w:spacing w:after="0" w:line="234" w:lineRule="auto"/>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strategy relating to, anticipated benefits from, and cost savings from our Reprioritization (as defined herein);</w:t>
      </w:r>
    </w:p>
    <w:p>
      <w:pPr>
        <w:ind w:left="720" w:hanging="319"/>
        <w:spacing w:after="0" w:line="234" w:lineRule="auto"/>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raise additional capital and continue as a going concern;</w:t>
      </w:r>
    </w:p>
    <w:p>
      <w:pPr>
        <w:ind w:left="720" w:hanging="319"/>
        <w:spacing w:after="0" w:line="234" w:lineRule="auto"/>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relating to our TRANQUILITY program;</w:t>
      </w:r>
    </w:p>
    <w:p>
      <w:pPr>
        <w:ind w:left="720" w:hanging="319"/>
        <w:spacing w:after="0" w:line="234" w:lineRule="auto"/>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of our total addressable markets and related underlying estimates;</w:t>
      </w:r>
    </w:p>
    <w:p>
      <w:pPr>
        <w:ind w:left="720" w:hanging="319"/>
        <w:spacing w:after="0" w:line="234" w:lineRule="auto"/>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relating to clinical trials and marketing applications for our product candidates;</w:t>
      </w:r>
    </w:p>
    <w:p>
      <w:pPr>
        <w:ind w:left="720" w:hanging="319"/>
        <w:spacing w:after="0" w:line="234" w:lineRule="auto"/>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to research, develop and commercialize our current and future product candidates;</w:t>
      </w:r>
    </w:p>
    <w:p>
      <w:pPr>
        <w:ind w:left="720" w:right="599" w:hanging="319"/>
        <w:spacing w:after="0" w:line="226" w:lineRule="auto"/>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to seek to enter into collaborations for the development and commercialization of certain product candidates;</w:t>
      </w:r>
    </w:p>
    <w:p>
      <w:pPr>
        <w:spacing w:after="0" w:line="1" w:lineRule="exact"/>
        <w:rPr>
          <w:rFonts w:ascii="Times New Roman" w:cs="Times New Roman" w:eastAsia="Times New Roman" w:hAnsi="Times New Roman"/>
          <w:sz w:val="18"/>
          <w:szCs w:val="18"/>
          <w:color w:val="auto"/>
        </w:rPr>
      </w:pPr>
    </w:p>
    <w:p>
      <w:pPr>
        <w:ind w:left="720" w:hanging="319"/>
        <w:spacing w:after="0" w:line="234" w:lineRule="auto"/>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benefits of any future collaboration;</w:t>
      </w:r>
    </w:p>
    <w:p>
      <w:pPr>
        <w:ind w:left="720" w:hanging="319"/>
        <w:spacing w:after="0" w:line="234" w:lineRule="auto"/>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and our ability to obtain and maintain regulatory approvals for our product candidates;</w:t>
      </w:r>
    </w:p>
    <w:p>
      <w:pPr>
        <w:ind w:left="720" w:hanging="319"/>
        <w:spacing w:after="0" w:line="234" w:lineRule="auto"/>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and results of discussions we have with regulators;</w:t>
      </w:r>
    </w:p>
    <w:p>
      <w:pPr>
        <w:ind w:left="720" w:right="159" w:hanging="319"/>
        <w:spacing w:after="0" w:line="185" w:lineRule="auto"/>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and degree of market acceptance, clinical utility, number of prescribers and formulary wins of IGALMI</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and any product candidates for which we receive marketing approval;</w:t>
      </w:r>
    </w:p>
    <w:p>
      <w:pPr>
        <w:spacing w:after="0" w:line="1" w:lineRule="exact"/>
        <w:rPr>
          <w:rFonts w:ascii="Times New Roman" w:cs="Times New Roman" w:eastAsia="Times New Roman" w:hAnsi="Times New Roman"/>
          <w:sz w:val="18"/>
          <w:szCs w:val="18"/>
          <w:color w:val="auto"/>
        </w:rPr>
      </w:pPr>
    </w:p>
    <w:p>
      <w:pPr>
        <w:ind w:left="720" w:right="359" w:hanging="319"/>
        <w:spacing w:after="0" w:line="226" w:lineRule="auto"/>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commercialization, marketing and manufacturing capabilities and strategy, including the potential benefits from any advertising campaigns;</w:t>
      </w:r>
    </w:p>
    <w:p>
      <w:pPr>
        <w:spacing w:after="0" w:line="1" w:lineRule="exact"/>
        <w:rPr>
          <w:rFonts w:ascii="Times New Roman" w:cs="Times New Roman" w:eastAsia="Times New Roman" w:hAnsi="Times New Roman"/>
          <w:sz w:val="18"/>
          <w:szCs w:val="18"/>
          <w:color w:val="auto"/>
        </w:rPr>
      </w:pPr>
    </w:p>
    <w:p>
      <w:pPr>
        <w:ind w:left="720" w:hanging="319"/>
        <w:spacing w:after="0" w:line="234" w:lineRule="auto"/>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participation in, and any potential benefits from, events, conferences, presentations and conventions;</w:t>
      </w:r>
    </w:p>
    <w:p>
      <w:pPr>
        <w:ind w:left="720" w:hanging="319"/>
        <w:spacing w:after="0" w:line="234" w:lineRule="auto"/>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intellectual property position and strategy;</w:t>
      </w:r>
    </w:p>
    <w:p>
      <w:pPr>
        <w:ind w:left="720" w:hanging="319"/>
        <w:spacing w:after="0" w:line="234" w:lineRule="auto"/>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estimates regarding expenses, future revenue, capital requirements and need for additional financing;</w:t>
      </w:r>
    </w:p>
    <w:p>
      <w:pPr>
        <w:ind w:left="720" w:right="1039" w:hanging="319"/>
        <w:spacing w:after="0" w:line="226" w:lineRule="auto"/>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investments in, or other strategic options for, our subsidiary, OnkosXcel Therapeutics, LLC (“OnkosXcel”);</w:t>
      </w:r>
    </w:p>
    <w:p>
      <w:pPr>
        <w:spacing w:after="0" w:line="1" w:lineRule="exact"/>
        <w:rPr>
          <w:rFonts w:ascii="Times New Roman" w:cs="Times New Roman" w:eastAsia="Times New Roman" w:hAnsi="Times New Roman"/>
          <w:sz w:val="18"/>
          <w:szCs w:val="18"/>
          <w:color w:val="auto"/>
        </w:rPr>
      </w:pPr>
    </w:p>
    <w:p>
      <w:pPr>
        <w:ind w:left="720" w:hanging="319"/>
        <w:spacing w:after="0" w:line="234" w:lineRule="auto"/>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relating to our competitors and our industry;</w:t>
      </w:r>
    </w:p>
    <w:p>
      <w:pPr>
        <w:ind w:left="720" w:hanging="319"/>
        <w:spacing w:after="0" w:line="234" w:lineRule="auto"/>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covenants under our financing arrangements;</w:t>
      </w:r>
    </w:p>
    <w:p>
      <w:pPr>
        <w:ind w:left="720" w:hanging="319"/>
        <w:spacing w:after="0" w:line="234" w:lineRule="auto"/>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government laws and regulations;</w:t>
      </w:r>
    </w:p>
    <w:p>
      <w:pPr>
        <w:ind w:left="720" w:hanging="319"/>
        <w:spacing w:after="0" w:line="234" w:lineRule="auto"/>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related to legal proceedings and investigations; and</w:t>
      </w:r>
    </w:p>
    <w:p>
      <w:pPr>
        <w:ind w:left="720" w:hanging="319"/>
        <w:spacing w:after="0"/>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relationship with BioXcel LLC.</w:t>
      </w:r>
    </w:p>
    <w:p>
      <w:pPr>
        <w:spacing w:after="0" w:line="84" w:lineRule="exact"/>
        <w:rPr>
          <w:sz w:val="20"/>
          <w:szCs w:val="20"/>
          <w:color w:val="auto"/>
        </w:rPr>
      </w:pPr>
    </w:p>
    <w:p>
      <w:pPr>
        <w:ind w:left="60" w:right="199" w:firstLine="324"/>
        <w:spacing w:after="0" w:line="232" w:lineRule="auto"/>
        <w:rPr>
          <w:sz w:val="20"/>
          <w:szCs w:val="20"/>
          <w:color w:val="auto"/>
        </w:rPr>
      </w:pPr>
      <w:r>
        <w:rPr>
          <w:rFonts w:ascii="Times New Roman" w:cs="Times New Roman" w:eastAsia="Times New Roman" w:hAnsi="Times New Roman"/>
          <w:sz w:val="18"/>
          <w:szCs w:val="18"/>
          <w:color w:val="auto"/>
        </w:rPr>
        <w:t>These forward-looking statements are based on management’s current expectations. These statements are neither promises nor guarantees, but involve known and unknown risks, uncertainties and other important factors that may cause our actual results, performance or achievements to be materially different from any future results, performance or achievements expressed or implied by the forward-looking statements, including, but not limited to, those listed under “Summary Risk Factors,” Part II, Item 1A. “Risk Factors,” and Part I, Item 2. “Management’s Discussion and Analysis of Financial Condition and Results of Operations” and elsewhere in this Quarterly Report on Form 10-Q. These and other important factors discussed under the caption “Risk Factors” in our other filings with the Securities and Exchange Commission (“SEC”) could cause actual results to differ materially from those indicated by the forward-looking statements made in this filing. Given these uncertainties, you should not rely on these forward-looking statements as predictions of future events. While we may elect to update forward-looking statements at some point in the future, we disclaim any obligation to do so, even if subsequent events cause our views to change.</w:t>
      </w:r>
    </w:p>
    <w:p>
      <w:pPr>
        <w:spacing w:after="0" w:line="81" w:lineRule="exact"/>
        <w:rPr>
          <w:sz w:val="20"/>
          <w:szCs w:val="20"/>
          <w:color w:val="auto"/>
        </w:rPr>
      </w:pPr>
    </w:p>
    <w:p>
      <w:pPr>
        <w:ind w:left="60" w:right="299" w:firstLine="324"/>
        <w:spacing w:after="0" w:line="264" w:lineRule="auto"/>
        <w:rPr>
          <w:sz w:val="20"/>
          <w:szCs w:val="20"/>
          <w:color w:val="auto"/>
        </w:rPr>
      </w:pPr>
      <w:r>
        <w:rPr>
          <w:rFonts w:ascii="Times New Roman" w:cs="Times New Roman" w:eastAsia="Times New Roman" w:hAnsi="Times New Roman"/>
          <w:sz w:val="17"/>
          <w:szCs w:val="17"/>
          <w:color w:val="auto"/>
        </w:rPr>
        <w:t>As used in this Quarterly Report on Form 10-Q, unless otherwise specified or the context otherwise requires, the terms “we,” “our,” “us,” the “Company” or “BTI” refer to BioXcel Therapeutics, Inc. and “BioXcel LLC” refers to the Company’s former parent company and significant stockholder, BioXcel LLC and its predecessor, BioXcel Corporation.</w:t>
      </w:r>
    </w:p>
    <w:p>
      <w:pPr>
        <w:spacing w:after="0" w:line="39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254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06415"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 w:name="page4"/>
    <w:bookmarkEnd w:id="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60" w:right="179" w:firstLine="324"/>
        <w:spacing w:after="0" w:line="250" w:lineRule="auto"/>
        <w:rPr>
          <w:sz w:val="20"/>
          <w:szCs w:val="20"/>
          <w:color w:val="auto"/>
        </w:rPr>
      </w:pPr>
      <w:r>
        <w:rPr>
          <w:rFonts w:ascii="Times New Roman" w:cs="Times New Roman" w:eastAsia="Times New Roman" w:hAnsi="Times New Roman"/>
          <w:sz w:val="17"/>
          <w:szCs w:val="17"/>
          <w:color w:val="auto"/>
        </w:rPr>
        <w:t xml:space="preserve">We may use our website as a distribution channel for material information about the Company. Financial and other important information regarding the Company is routinely posted on and accessible through the Investors &amp; Media section of its website at </w:t>
      </w:r>
      <w:r>
        <w:rPr>
          <w:rFonts w:ascii="Times New Roman" w:cs="Times New Roman" w:eastAsia="Times New Roman" w:hAnsi="Times New Roman"/>
          <w:sz w:val="17"/>
          <w:szCs w:val="17"/>
          <w:i w:val="1"/>
          <w:iCs w:val="1"/>
          <w:color w:val="auto"/>
        </w:rPr>
        <w:t>www.bioxceltherapeutics.com</w:t>
      </w:r>
      <w:r>
        <w:rPr>
          <w:rFonts w:ascii="Times New Roman" w:cs="Times New Roman" w:eastAsia="Times New Roman" w:hAnsi="Times New Roman"/>
          <w:sz w:val="17"/>
          <w:szCs w:val="17"/>
          <w:color w:val="auto"/>
        </w:rPr>
        <w:t>. In addition, you may automatically receive email alerts and other information about the Company when you enroll your email address by visiting the “Email Alerts” option under the News</w:t>
      </w:r>
    </w:p>
    <w:p>
      <w:pPr>
        <w:spacing w:after="0" w:line="2" w:lineRule="exact"/>
        <w:rPr>
          <w:sz w:val="20"/>
          <w:szCs w:val="20"/>
          <w:color w:val="auto"/>
        </w:rPr>
      </w:pPr>
    </w:p>
    <w:p>
      <w:pPr>
        <w:ind w:left="60" w:right="399" w:hanging="10"/>
        <w:spacing w:after="0" w:line="234" w:lineRule="auto"/>
        <w:tabs>
          <w:tab w:leader="none" w:pos="1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Events menu of the Investors &amp; Media section of our website at </w:t>
      </w:r>
      <w:r>
        <w:rPr>
          <w:rFonts w:ascii="Times New Roman" w:cs="Times New Roman" w:eastAsia="Times New Roman" w:hAnsi="Times New Roman"/>
          <w:sz w:val="18"/>
          <w:szCs w:val="18"/>
          <w:i w:val="1"/>
          <w:iCs w:val="1"/>
          <w:color w:val="auto"/>
        </w:rPr>
        <w:t>www.bioxceltherapeutics.com</w:t>
      </w:r>
      <w:r>
        <w:rPr>
          <w:rFonts w:ascii="Times New Roman" w:cs="Times New Roman" w:eastAsia="Times New Roman" w:hAnsi="Times New Roman"/>
          <w:sz w:val="18"/>
          <w:szCs w:val="18"/>
          <w:color w:val="auto"/>
        </w:rPr>
        <w:t>. The information contained in, or accessible through, our website does not constitute part quarterly of this report and the inclusion of our website address in this quarterly report is an inactive textual reference only.</w:t>
      </w:r>
    </w:p>
    <w:p>
      <w:pPr>
        <w:spacing w:after="0" w:line="356"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SUMMARY RISK FACTORS</w:t>
      </w:r>
    </w:p>
    <w:p>
      <w:pPr>
        <w:spacing w:after="0" w:line="175" w:lineRule="exact"/>
        <w:rPr>
          <w:sz w:val="20"/>
          <w:szCs w:val="20"/>
          <w:color w:val="auto"/>
        </w:rPr>
      </w:pPr>
    </w:p>
    <w:p>
      <w:pPr>
        <w:ind w:left="60" w:right="599" w:firstLine="324"/>
        <w:spacing w:after="0" w:line="289" w:lineRule="auto"/>
        <w:rPr>
          <w:sz w:val="20"/>
          <w:szCs w:val="20"/>
          <w:color w:val="auto"/>
        </w:rPr>
      </w:pPr>
      <w:r>
        <w:rPr>
          <w:rFonts w:ascii="Times New Roman" w:cs="Times New Roman" w:eastAsia="Times New Roman" w:hAnsi="Times New Roman"/>
          <w:sz w:val="17"/>
          <w:szCs w:val="17"/>
          <w:color w:val="auto"/>
        </w:rPr>
        <w:t>Our business is subject to numerous risks and uncertainties, including those described in Part II, Item 1A. “Risk Factors” in this Quarterly Report on Form 10-Q. You should carefully consider these risks and uncertainties when investing in our common stock. The principal risks and uncertainties affecting our business include the following:</w:t>
      </w:r>
    </w:p>
    <w:p>
      <w:pPr>
        <w:spacing w:after="0" w:line="117" w:lineRule="exact"/>
        <w:rPr>
          <w:sz w:val="20"/>
          <w:szCs w:val="20"/>
          <w:color w:val="auto"/>
        </w:rPr>
      </w:pPr>
    </w:p>
    <w:p>
      <w:pPr>
        <w:ind w:left="720" w:right="499" w:hanging="319"/>
        <w:spacing w:after="0" w:line="282" w:lineRule="auto"/>
        <w:tabs>
          <w:tab w:leader="none" w:pos="7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 limited operating history and have not generated substantial product revenues to date, which may make it difficult to evaluate the success of our business to date and to assess our future viability.</w:t>
      </w:r>
    </w:p>
    <w:p>
      <w:pPr>
        <w:spacing w:after="0" w:line="134" w:lineRule="exact"/>
        <w:rPr>
          <w:rFonts w:ascii="Times New Roman" w:cs="Times New Roman" w:eastAsia="Times New Roman" w:hAnsi="Times New Roman"/>
          <w:sz w:val="18"/>
          <w:szCs w:val="18"/>
          <w:color w:val="auto"/>
        </w:rPr>
      </w:pPr>
    </w:p>
    <w:p>
      <w:pPr>
        <w:ind w:left="720" w:right="679" w:hanging="319"/>
        <w:spacing w:after="0" w:line="312" w:lineRule="auto"/>
        <w:tabs>
          <w:tab w:leader="none" w:pos="72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have incurred significant operating losses since inception and anticipate that we will continue to incur substantial operating losses for the foreseeable future and may never achieve or maintain profitability.</w:t>
      </w:r>
    </w:p>
    <w:p>
      <w:pPr>
        <w:spacing w:after="0" w:line="99" w:lineRule="exact"/>
        <w:rPr>
          <w:rFonts w:ascii="Times New Roman" w:cs="Times New Roman" w:eastAsia="Times New Roman" w:hAnsi="Times New Roman"/>
          <w:sz w:val="17"/>
          <w:szCs w:val="17"/>
          <w:color w:val="auto"/>
        </w:rPr>
      </w:pPr>
    </w:p>
    <w:p>
      <w:pPr>
        <w:ind w:left="720" w:right="139" w:hanging="319"/>
        <w:spacing w:after="0" w:line="282" w:lineRule="auto"/>
        <w:tabs>
          <w:tab w:leader="none" w:pos="7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could be delisted from The Nasdaq Capital Market, which could seriously harm the liquidity of our stock and our ability to raise capital or complete a strategic transaction.</w:t>
      </w:r>
    </w:p>
    <w:p>
      <w:pPr>
        <w:spacing w:after="0" w:line="121" w:lineRule="exact"/>
        <w:rPr>
          <w:rFonts w:ascii="Times New Roman" w:cs="Times New Roman" w:eastAsia="Times New Roman" w:hAnsi="Times New Roman"/>
          <w:sz w:val="18"/>
          <w:szCs w:val="18"/>
          <w:color w:val="auto"/>
        </w:rPr>
      </w:pPr>
    </w:p>
    <w:p>
      <w:pPr>
        <w:ind w:left="720" w:right="139" w:hanging="319"/>
        <w:spacing w:after="0" w:line="258" w:lineRule="auto"/>
        <w:tabs>
          <w:tab w:leader="none" w:pos="7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need substantial additional funding, and if we are unable to raise capital when needed, we could be forced to delay, reduce or eliminate our product development programs or commercialization efforts or otherwise seek strategic alternatives. In addition, the failure to raise additional financing in accordance with the minimum capital raising requirements of our Credit Agreement (as defined herein) would trigger an event of default thereunder.</w:t>
      </w:r>
    </w:p>
    <w:p>
      <w:pPr>
        <w:spacing w:after="0" w:line="156" w:lineRule="exact"/>
        <w:rPr>
          <w:rFonts w:ascii="Times New Roman" w:cs="Times New Roman" w:eastAsia="Times New Roman" w:hAnsi="Times New Roman"/>
          <w:sz w:val="18"/>
          <w:szCs w:val="18"/>
          <w:color w:val="auto"/>
        </w:rPr>
      </w:pPr>
    </w:p>
    <w:p>
      <w:pPr>
        <w:ind w:left="720" w:right="319" w:hanging="319"/>
        <w:spacing w:after="0" w:line="266" w:lineRule="auto"/>
        <w:tabs>
          <w:tab w:leader="none" w:pos="7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significant indebtedness and other contractual obligations that could impair our liquidity, restrict our ability to do business and thereby harm our business, results of operations and financial condition. We may not have sufficient cash flow from operations to satisfy our obligations under the Credit Agreement.</w:t>
      </w:r>
    </w:p>
    <w:p>
      <w:pPr>
        <w:spacing w:after="0" w:line="135" w:lineRule="exact"/>
        <w:rPr>
          <w:rFonts w:ascii="Times New Roman" w:cs="Times New Roman" w:eastAsia="Times New Roman" w:hAnsi="Times New Roman"/>
          <w:sz w:val="18"/>
          <w:szCs w:val="18"/>
          <w:color w:val="auto"/>
        </w:rPr>
      </w:pPr>
    </w:p>
    <w:p>
      <w:pPr>
        <w:ind w:left="720" w:right="499" w:hanging="319"/>
        <w:spacing w:after="0" w:line="282" w:lineRule="auto"/>
        <w:tabs>
          <w:tab w:leader="none" w:pos="7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identified conditions and events that raise substantial doubt about our ability to continue as a going concern.</w:t>
      </w:r>
    </w:p>
    <w:p>
      <w:pPr>
        <w:spacing w:after="0" w:line="12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strategic reprioritization and other workforce reductions in force may not achieve our intended outcome.</w:t>
      </w:r>
    </w:p>
    <w:p>
      <w:pPr>
        <w:spacing w:after="0" w:line="198"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limited experience in drug discovery and drug development.</w:t>
      </w:r>
    </w:p>
    <w:p>
      <w:pPr>
        <w:spacing w:after="0" w:line="184" w:lineRule="exact"/>
        <w:rPr>
          <w:rFonts w:ascii="Times New Roman" w:cs="Times New Roman" w:eastAsia="Times New Roman" w:hAnsi="Times New Roman"/>
          <w:sz w:val="18"/>
          <w:szCs w:val="18"/>
          <w:color w:val="auto"/>
        </w:rPr>
      </w:pPr>
    </w:p>
    <w:p>
      <w:pPr>
        <w:jc w:val="both"/>
        <w:ind w:left="720" w:right="219" w:hanging="319"/>
        <w:spacing w:after="0" w:line="266" w:lineRule="auto"/>
        <w:tabs>
          <w:tab w:leader="none" w:pos="7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relating to our TRANQUILITY II Phase 3 trial may impact the timing of our development plans for, and prospects for seeking or obtaining regulatory approval of, BXCL501 for the acute treatment of agitation (non-daily) associated with dementia in patients with probable Alzheimer’s disease.</w:t>
      </w:r>
    </w:p>
    <w:p>
      <w:pPr>
        <w:spacing w:after="0" w:line="135" w:lineRule="exact"/>
        <w:rPr>
          <w:rFonts w:ascii="Times New Roman" w:cs="Times New Roman" w:eastAsia="Times New Roman" w:hAnsi="Times New Roman"/>
          <w:sz w:val="18"/>
          <w:szCs w:val="18"/>
          <w:color w:val="auto"/>
        </w:rPr>
      </w:pPr>
    </w:p>
    <w:p>
      <w:pPr>
        <w:ind w:left="720" w:right="279" w:hanging="319"/>
        <w:spacing w:after="0" w:line="282" w:lineRule="auto"/>
        <w:tabs>
          <w:tab w:leader="none" w:pos="7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limited clinical data supporting potential safety or efficacy of BXCL501 for use in the at-home setting in the acute treatment of agitation in patients with dementia due to probable Alzheimer’s disease.</w:t>
      </w:r>
    </w:p>
    <w:p>
      <w:pPr>
        <w:spacing w:after="0" w:line="126" w:lineRule="exact"/>
        <w:rPr>
          <w:rFonts w:ascii="Times New Roman" w:cs="Times New Roman" w:eastAsia="Times New Roman" w:hAnsi="Times New Roman"/>
          <w:sz w:val="18"/>
          <w:szCs w:val="18"/>
          <w:color w:val="auto"/>
        </w:rPr>
      </w:pPr>
    </w:p>
    <w:p>
      <w:pPr>
        <w:ind w:left="720" w:right="279" w:hanging="319"/>
        <w:spacing w:after="0" w:line="217" w:lineRule="auto"/>
        <w:tabs>
          <w:tab w:leader="none" w:pos="7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near term, we are dependent on the success of IGALMI</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and four of our product candidates, BXCL501, BXCL502, BXCL701 and BXCL702. If we are unable to complete the clinical development of or obtain marketing approval for our product candidates or successfully commercialize IGALMI</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or our other product candidates, either alone or with a collaborator, or if we experience significant delays in doing so, our business could be substantially harmed.</w:t>
      </w:r>
    </w:p>
    <w:p>
      <w:pPr>
        <w:spacing w:after="0" w:line="200" w:lineRule="exact"/>
        <w:rPr>
          <w:sz w:val="20"/>
          <w:szCs w:val="20"/>
          <w:color w:val="auto"/>
        </w:rPr>
      </w:pPr>
    </w:p>
    <w:p>
      <w:pPr>
        <w:spacing w:after="0" w:line="21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06415"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 w:name="page5"/>
    <w:bookmarkEnd w:id="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20" w:right="159" w:hanging="319"/>
        <w:spacing w:after="0" w:line="266" w:lineRule="auto"/>
        <w:tabs>
          <w:tab w:leader="none" w:pos="7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Interim “top-line” and preliminary data from our clinical trials that we announce or publish from time to time may change as more patient data become available and are subject to audit and verification procedures that could result in material changes in the final data.</w:t>
      </w:r>
    </w:p>
    <w:p>
      <w:pPr>
        <w:spacing w:after="0" w:line="148" w:lineRule="exact"/>
        <w:rPr>
          <w:rFonts w:ascii="Times New Roman" w:cs="Times New Roman" w:eastAsia="Times New Roman" w:hAnsi="Times New Roman"/>
          <w:sz w:val="18"/>
          <w:szCs w:val="18"/>
          <w:color w:val="auto"/>
        </w:rPr>
      </w:pPr>
    </w:p>
    <w:p>
      <w:pPr>
        <w:ind w:left="720" w:right="599" w:hanging="319"/>
        <w:spacing w:after="0" w:line="266" w:lineRule="auto"/>
        <w:tabs>
          <w:tab w:leader="none" w:pos="7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regulatory approval processes of the Food and Drug Administration (“FDA”), and comparable foreign authorities are lengthy, expensive and inherently unpredictable, and if we are ultimately unable to obtain regulatory approval for our product candidates, our business will be substantially harmed.</w:t>
      </w:r>
    </w:p>
    <w:p>
      <w:pPr>
        <w:spacing w:after="0" w:line="135" w:lineRule="exact"/>
        <w:rPr>
          <w:rFonts w:ascii="Times New Roman" w:cs="Times New Roman" w:eastAsia="Times New Roman" w:hAnsi="Times New Roman"/>
          <w:sz w:val="18"/>
          <w:szCs w:val="18"/>
          <w:color w:val="auto"/>
        </w:rPr>
      </w:pPr>
    </w:p>
    <w:p>
      <w:pPr>
        <w:ind w:left="720" w:right="379" w:hanging="319"/>
        <w:spacing w:after="0" w:line="282" w:lineRule="auto"/>
        <w:tabs>
          <w:tab w:leader="none" w:pos="7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trials are expensive, time-consuming, difficult to design, difficult to conduct and involve an uncertain outcome.</w:t>
      </w:r>
    </w:p>
    <w:p>
      <w:pPr>
        <w:spacing w:after="0" w:line="121" w:lineRule="exact"/>
        <w:rPr>
          <w:rFonts w:ascii="Times New Roman" w:cs="Times New Roman" w:eastAsia="Times New Roman" w:hAnsi="Times New Roman"/>
          <w:sz w:val="18"/>
          <w:szCs w:val="18"/>
          <w:color w:val="auto"/>
        </w:rPr>
      </w:pPr>
    </w:p>
    <w:p>
      <w:pPr>
        <w:jc w:val="both"/>
        <w:ind w:left="720" w:right="159" w:hanging="319"/>
        <w:spacing w:after="0" w:line="266" w:lineRule="auto"/>
        <w:tabs>
          <w:tab w:leader="none" w:pos="7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depend on enrollment and evaluation of patients in our clinical trials to continue development of our product candidates. If we are unable to enroll patients in our clinical trials, our research and development efforts could be adversely affected.</w:t>
      </w:r>
    </w:p>
    <w:p>
      <w:pPr>
        <w:spacing w:after="0" w:line="148" w:lineRule="exact"/>
        <w:rPr>
          <w:rFonts w:ascii="Times New Roman" w:cs="Times New Roman" w:eastAsia="Times New Roman" w:hAnsi="Times New Roman"/>
          <w:sz w:val="18"/>
          <w:szCs w:val="18"/>
          <w:color w:val="auto"/>
        </w:rPr>
      </w:pPr>
    </w:p>
    <w:p>
      <w:pPr>
        <w:ind w:left="720" w:right="359" w:hanging="319"/>
        <w:spacing w:after="0" w:line="266" w:lineRule="auto"/>
        <w:tabs>
          <w:tab w:leader="none" w:pos="7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product candidates may cause undesirable side effects or have other properties that could delay or prevent their regulatory approval, limit the commercial profile of an approved label, or result in significant negative consequences following marketing approval.</w:t>
      </w:r>
    </w:p>
    <w:p>
      <w:pPr>
        <w:spacing w:after="0" w:line="135" w:lineRule="exact"/>
        <w:rPr>
          <w:rFonts w:ascii="Times New Roman" w:cs="Times New Roman" w:eastAsia="Times New Roman" w:hAnsi="Times New Roman"/>
          <w:sz w:val="18"/>
          <w:szCs w:val="18"/>
          <w:color w:val="auto"/>
        </w:rPr>
      </w:pPr>
    </w:p>
    <w:p>
      <w:pPr>
        <w:ind w:left="720" w:right="359" w:hanging="319"/>
        <w:spacing w:after="0" w:line="266" w:lineRule="auto"/>
        <w:tabs>
          <w:tab w:leader="none" w:pos="7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discovery and development of product candidates based on EvolverAI, BioXcel LLC’s proprietary pharmaceutical discovery and development engine, and our AI platform is novel and unproven, and we do not know whether we will be able to develop any products of commercial value.</w:t>
      </w:r>
    </w:p>
    <w:p>
      <w:pPr>
        <w:spacing w:after="0" w:line="127" w:lineRule="exact"/>
        <w:rPr>
          <w:rFonts w:ascii="Times New Roman" w:cs="Times New Roman" w:eastAsia="Times New Roman" w:hAnsi="Times New Roman"/>
          <w:sz w:val="18"/>
          <w:szCs w:val="18"/>
          <w:color w:val="auto"/>
        </w:rPr>
      </w:pPr>
    </w:p>
    <w:p>
      <w:pPr>
        <w:ind w:left="720" w:right="219" w:hanging="319"/>
        <w:spacing w:after="0" w:line="234" w:lineRule="auto"/>
        <w:tabs>
          <w:tab w:leader="none" w:pos="7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Although the FDA has approved IGALMI</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for the acute treatment of agitation associated with schizophrenia or bipolar I or II disorder, we will still face extensive and ongoing regulatory requirements and obligations for IGALMI</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and for any product candidates for which we obtain approval.</w:t>
      </w:r>
    </w:p>
    <w:p>
      <w:pPr>
        <w:spacing w:after="0" w:line="60" w:lineRule="exact"/>
        <w:rPr>
          <w:rFonts w:ascii="Times New Roman" w:cs="Times New Roman" w:eastAsia="Times New Roman" w:hAnsi="Times New Roman"/>
          <w:sz w:val="18"/>
          <w:szCs w:val="18"/>
          <w:color w:val="auto"/>
        </w:rPr>
      </w:pPr>
    </w:p>
    <w:p>
      <w:pPr>
        <w:ind w:left="720" w:right="159" w:hanging="319"/>
        <w:spacing w:after="0" w:line="261" w:lineRule="auto"/>
        <w:tabs>
          <w:tab w:leader="none" w:pos="7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found in violation of federal, state or foreign health care “fraud and abuse” laws, we may be required to pay significant fines and penalties, including, without limitation, debarment, suspension or exclusion from participation in federal, state or similar health care programs, which may adversely affect our business, financial condition and results of operations.</w:t>
      </w:r>
    </w:p>
    <w:p>
      <w:pPr>
        <w:spacing w:after="0" w:line="13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continue to depend on BioXcel LLC to provide us with certain services for our business.</w:t>
      </w:r>
    </w:p>
    <w:p>
      <w:pPr>
        <w:spacing w:after="0" w:line="184" w:lineRule="exact"/>
        <w:rPr>
          <w:rFonts w:ascii="Times New Roman" w:cs="Times New Roman" w:eastAsia="Times New Roman" w:hAnsi="Times New Roman"/>
          <w:sz w:val="18"/>
          <w:szCs w:val="18"/>
          <w:color w:val="auto"/>
        </w:rPr>
      </w:pPr>
    </w:p>
    <w:p>
      <w:pPr>
        <w:ind w:left="720" w:right="159" w:hanging="319"/>
        <w:spacing w:after="0" w:line="236" w:lineRule="auto"/>
        <w:tabs>
          <w:tab w:leader="none" w:pos="7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substantially dependent on third parties for the manufacture of our clinical supplies of our product candidates and our commercial supplies of IGALMI</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and we intend to rely on third parties to produce commercial supplies of any other approved product candidate. Therefore, our development of our products could be stopped or delayed, and our commercialization of any future product could be stopped, delayed or made less profitable if third-party manufacturers fail to obtain approval of the FDA or comparable regulatory authorities or fail to provide us with drug product in sufficient quantities or at acceptable prices.</w:t>
      </w:r>
    </w:p>
    <w:p>
      <w:pPr>
        <w:spacing w:after="0" w:line="173" w:lineRule="exact"/>
        <w:rPr>
          <w:rFonts w:ascii="Times New Roman" w:cs="Times New Roman" w:eastAsia="Times New Roman" w:hAnsi="Times New Roman"/>
          <w:sz w:val="18"/>
          <w:szCs w:val="18"/>
          <w:color w:val="auto"/>
        </w:rPr>
      </w:pPr>
    </w:p>
    <w:p>
      <w:pPr>
        <w:ind w:left="720" w:right="159" w:hanging="319"/>
        <w:spacing w:after="0" w:line="289" w:lineRule="auto"/>
        <w:tabs>
          <w:tab w:leader="none" w:pos="72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rely on third parties to conduct our preclinical and clinical trials. If these third parties do not successfully perform their contractual legal and regulatory duties or meet expected deadlines, we may not be able to obtain regulatory approval for or commercialize our product candidates and our business could be substantially harmed.</w:t>
      </w:r>
    </w:p>
    <w:p>
      <w:pPr>
        <w:spacing w:after="0" w:line="117" w:lineRule="exact"/>
        <w:rPr>
          <w:rFonts w:ascii="Times New Roman" w:cs="Times New Roman" w:eastAsia="Times New Roman" w:hAnsi="Times New Roman"/>
          <w:sz w:val="17"/>
          <w:szCs w:val="17"/>
          <w:color w:val="auto"/>
        </w:rPr>
      </w:pPr>
    </w:p>
    <w:p>
      <w:pPr>
        <w:ind w:left="720" w:right="439" w:hanging="319"/>
        <w:spacing w:after="0" w:line="282" w:lineRule="auto"/>
        <w:tabs>
          <w:tab w:leader="none" w:pos="7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Unfavorable global political or economic events and conditions could adversely affect our business, financial condition or results of operations.</w:t>
      </w:r>
    </w:p>
    <w:p>
      <w:pPr>
        <w:spacing w:after="0" w:line="121" w:lineRule="exact"/>
        <w:rPr>
          <w:rFonts w:ascii="Times New Roman" w:cs="Times New Roman" w:eastAsia="Times New Roman" w:hAnsi="Times New Roman"/>
          <w:sz w:val="18"/>
          <w:szCs w:val="18"/>
          <w:color w:val="auto"/>
        </w:rPr>
      </w:pPr>
    </w:p>
    <w:p>
      <w:pPr>
        <w:ind w:left="720" w:right="199" w:hanging="319"/>
        <w:spacing w:after="0" w:line="266" w:lineRule="auto"/>
        <w:tabs>
          <w:tab w:leader="none" w:pos="7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Data breaches or cyber-attacks could disrupt our business operations and information technology systems or those of third parties on which we rely, adversely impact our financial results, or result in the loss or exposure of confidential or sensitive product candidate, clinical trial, employee, or Company information.</w:t>
      </w:r>
    </w:p>
    <w:p>
      <w:pPr>
        <w:spacing w:after="0" w:line="39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25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06415"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 w:name="page6"/>
    <w:bookmarkEnd w:id="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20" w:right="399" w:hanging="319"/>
        <w:spacing w:after="0" w:line="266" w:lineRule="auto"/>
        <w:tabs>
          <w:tab w:leader="none" w:pos="7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perceived failures to comply with applicable data protection, privacy and security laws, regulations, standards and other requirements could adversely affect our business, results of operations, and financial condition.</w:t>
      </w:r>
    </w:p>
    <w:p>
      <w:pPr>
        <w:spacing w:after="0" w:line="148" w:lineRule="exact"/>
        <w:rPr>
          <w:rFonts w:ascii="Times New Roman" w:cs="Times New Roman" w:eastAsia="Times New Roman" w:hAnsi="Times New Roman"/>
          <w:sz w:val="18"/>
          <w:szCs w:val="18"/>
          <w:color w:val="auto"/>
        </w:rPr>
      </w:pPr>
    </w:p>
    <w:p>
      <w:pPr>
        <w:ind w:left="720" w:right="419" w:hanging="319"/>
        <w:spacing w:after="0" w:line="282" w:lineRule="auto"/>
        <w:tabs>
          <w:tab w:leader="none" w:pos="7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scrutiny of and evolving expectations for environmental, social and governance (“ESG”) initiatives may impose additional costs or otherwise adversely impact our business.</w:t>
      </w:r>
    </w:p>
    <w:p>
      <w:pPr>
        <w:spacing w:after="0" w:line="121" w:lineRule="exact"/>
        <w:rPr>
          <w:rFonts w:ascii="Times New Roman" w:cs="Times New Roman" w:eastAsia="Times New Roman" w:hAnsi="Times New Roman"/>
          <w:sz w:val="18"/>
          <w:szCs w:val="18"/>
          <w:color w:val="auto"/>
        </w:rPr>
      </w:pPr>
    </w:p>
    <w:p>
      <w:pPr>
        <w:ind w:left="720" w:right="159" w:hanging="319"/>
        <w:spacing w:after="0" w:line="266" w:lineRule="auto"/>
        <w:tabs>
          <w:tab w:leader="none" w:pos="7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difficult and costly to protect our proprietary rights, and we may not be able to ensure their protection. If our patent position does not adequately protect our product candidates, others could compete against us more directly, which would harm our business, possibly materially.</w:t>
      </w:r>
    </w:p>
    <w:p>
      <w:pPr>
        <w:spacing w:after="0" w:line="135" w:lineRule="exact"/>
        <w:rPr>
          <w:rFonts w:ascii="Times New Roman" w:cs="Times New Roman" w:eastAsia="Times New Roman" w:hAnsi="Times New Roman"/>
          <w:sz w:val="18"/>
          <w:szCs w:val="18"/>
          <w:color w:val="auto"/>
        </w:rPr>
      </w:pPr>
    </w:p>
    <w:p>
      <w:pPr>
        <w:ind w:left="720" w:right="179" w:hanging="319"/>
        <w:spacing w:after="0" w:line="261" w:lineRule="auto"/>
        <w:tabs>
          <w:tab w:leader="none" w:pos="7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and may in the future be subject to legal proceedings, claims and investigations in or outside the ordinary course of business. Such proceedings, claims and investigations could be costly and time-consuming to defend and could result in unfavorable outcomes, which may have a material adverse effect on our business, operating results and financial condition, and negatively affect the price of our common stock.</w:t>
      </w:r>
    </w:p>
    <w:p>
      <w:pPr>
        <w:spacing w:after="0" w:line="200" w:lineRule="exact"/>
        <w:rPr>
          <w:sz w:val="20"/>
          <w:szCs w:val="20"/>
          <w:color w:val="auto"/>
        </w:rPr>
      </w:pPr>
    </w:p>
    <w:p>
      <w:pPr>
        <w:spacing w:after="0" w:line="381" w:lineRule="exact"/>
        <w:rPr>
          <w:sz w:val="20"/>
          <w:szCs w:val="20"/>
          <w:color w:val="auto"/>
        </w:rPr>
      </w:pPr>
    </w:p>
    <w:p>
      <w:pPr>
        <w:ind w:left="2280"/>
        <w:spacing w:after="0"/>
        <w:rPr>
          <w:sz w:val="20"/>
          <w:szCs w:val="20"/>
          <w:color w:val="auto"/>
        </w:rPr>
      </w:pPr>
      <w:r>
        <w:rPr>
          <w:rFonts w:ascii="Times New Roman" w:cs="Times New Roman" w:eastAsia="Times New Roman" w:hAnsi="Times New Roman"/>
          <w:sz w:val="18"/>
          <w:szCs w:val="18"/>
          <w:b w:val="1"/>
          <w:bCs w:val="1"/>
          <w:color w:val="auto"/>
        </w:rPr>
        <w:t>TRADEMARKS, TRADE NAMES AND SERVICE MARKS</w:t>
      </w:r>
    </w:p>
    <w:p>
      <w:pPr>
        <w:spacing w:after="0" w:line="189" w:lineRule="exact"/>
        <w:rPr>
          <w:sz w:val="20"/>
          <w:szCs w:val="20"/>
          <w:color w:val="auto"/>
        </w:rPr>
      </w:pPr>
    </w:p>
    <w:p>
      <w:pPr>
        <w:ind w:left="60" w:right="159" w:firstLine="324"/>
        <w:spacing w:after="0" w:line="216" w:lineRule="auto"/>
        <w:rPr>
          <w:sz w:val="20"/>
          <w:szCs w:val="20"/>
          <w:color w:val="auto"/>
        </w:rPr>
      </w:pPr>
      <w:r>
        <w:rPr>
          <w:rFonts w:ascii="Times New Roman" w:cs="Times New Roman" w:eastAsia="Times New Roman" w:hAnsi="Times New Roman"/>
          <w:sz w:val="18"/>
          <w:szCs w:val="18"/>
          <w:color w:val="auto"/>
        </w:rPr>
        <w:t>This Quarterly Report includes our trademarks, trade names and service marks, including, without limitation, “IGALMI</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and our logo, which are our property and are protected under applicable intellectual property laws. Solely for convenience, trademarks, trade names and service marks may appear in this Quarterly Report without the </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26"/>
          <w:szCs w:val="26"/>
          <w:color w:val="auto"/>
          <w:vertAlign w:val="superscript"/>
        </w:rPr>
        <w:t>SM</w:t>
      </w:r>
      <w:r>
        <w:rPr>
          <w:rFonts w:ascii="Times New Roman" w:cs="Times New Roman" w:eastAsia="Times New Roman" w:hAnsi="Times New Roman"/>
          <w:sz w:val="18"/>
          <w:szCs w:val="18"/>
          <w:color w:val="auto"/>
        </w:rPr>
        <w:t xml:space="preserve"> symbols, but such references are not intended to indicate, in any way, that we or the applicable owner forgo or will not assert, to the fullest extent permitted under applicable law, our rights or the rights of any applicable licensors to these trademarks, trade names and service marks. We do not intend our use or display of other parties’ trademarks, trade names or service marks to imply, and such use or display should not be construed to imply a relationship with, or endorsement or sponsorship of us by, these other parties.</w:t>
      </w:r>
    </w:p>
    <w:p>
      <w:pPr>
        <w:spacing w:after="0" w:line="161"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INDUSTRY AND OTHER DATA</w:t>
      </w:r>
    </w:p>
    <w:p>
      <w:pPr>
        <w:spacing w:after="0" w:line="202" w:lineRule="exact"/>
        <w:rPr>
          <w:sz w:val="20"/>
          <w:szCs w:val="20"/>
          <w:color w:val="auto"/>
        </w:rPr>
      </w:pPr>
    </w:p>
    <w:p>
      <w:pPr>
        <w:ind w:left="60" w:right="159" w:firstLine="324"/>
        <w:spacing w:after="0" w:line="253" w:lineRule="auto"/>
        <w:rPr>
          <w:sz w:val="20"/>
          <w:szCs w:val="20"/>
          <w:color w:val="auto"/>
        </w:rPr>
      </w:pPr>
      <w:r>
        <w:rPr>
          <w:rFonts w:ascii="Times New Roman" w:cs="Times New Roman" w:eastAsia="Times New Roman" w:hAnsi="Times New Roman"/>
          <w:sz w:val="18"/>
          <w:szCs w:val="18"/>
          <w:color w:val="auto"/>
        </w:rPr>
        <w:t>Unless otherwise indicated, information contained in this Quarterly Report concerning our industry and the markets in which we operate, including our general expectations, market position and market opportunity, is based on our management’s estimates and research, as well as industry and general publications and research, surveys and studies conducted by third parties. While we believe the information from these third-party publications, research, surveys and studies included in this Quarterly Report is reliable, we do not guarantee the accuracy or completeness of such information, and we have not independently verified this information. Management’s estimates are derived from publicly available information, their knowledge of our industry and their assumptions based on such information and knowledge, which we believe to be reasonable. This data involves a number of assumptions and limitations which are necessarily subject to a high degree of uncertainty and risk due to a variety of factors, including those described in this Quarterly Report under “Forward-Looking Statements” and Part II, Item 1A “Risk Factors.” These and other factors could cause our future performance and market expectations to differ materially from our assumptions and estimates.</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06415"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 w:name="page7"/>
    <w:bookmarkEnd w:id="6"/>
    <w:p>
      <w:pPr>
        <w:ind w:left="10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198"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18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BIOXCEL THERAPEUTICS, INC.</w:t>
      </w:r>
    </w:p>
    <w:p>
      <w:pPr>
        <w:spacing w:after="0" w:line="1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1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(amounts in thousands, except per share amounts)</w:t>
      </w: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2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9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48"/>
        </w:trPr>
        <w:tc>
          <w:tcPr>
            <w:tcW w:w="6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tcPr>
          <w:p>
            <w:pPr>
              <w:jc w:val="center"/>
              <w:ind w:right="72"/>
              <w:spacing w:after="0" w:line="149" w:lineRule="exact"/>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6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2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60" w:type="dxa"/>
            <w:vAlign w:val="bottom"/>
          </w:tcPr>
          <w:p>
            <w:pPr>
              <w:spacing w:after="0"/>
              <w:rPr>
                <w:sz w:val="15"/>
                <w:szCs w:val="15"/>
                <w:color w:val="auto"/>
              </w:rPr>
            </w:pPr>
          </w:p>
        </w:tc>
        <w:tc>
          <w:tcPr>
            <w:tcW w:w="760" w:type="dxa"/>
            <w:vAlign w:val="bottom"/>
          </w:tcPr>
          <w:p>
            <w:pPr>
              <w:jc w:val="right"/>
              <w:ind w:right="231"/>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10"/>
        </w:trPr>
        <w:tc>
          <w:tcPr>
            <w:tcW w:w="66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8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31,013</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29,854</w:t>
            </w:r>
          </w:p>
        </w:tc>
        <w:tc>
          <w:tcPr>
            <w:tcW w:w="0" w:type="dxa"/>
            <w:vAlign w:val="bottom"/>
          </w:tcPr>
          <w:p>
            <w:pPr>
              <w:spacing w:after="0"/>
              <w:rPr>
                <w:sz w:val="1"/>
                <w:szCs w:val="1"/>
                <w:color w:val="auto"/>
              </w:rPr>
            </w:pPr>
          </w:p>
        </w:tc>
      </w:tr>
      <w:tr>
        <w:trPr>
          <w:trHeight w:val="216"/>
        </w:trPr>
        <w:tc>
          <w:tcPr>
            <w:tcW w:w="66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Accounts receivable, net</w:t>
            </w:r>
          </w:p>
        </w:tc>
        <w:tc>
          <w:tcPr>
            <w:tcW w:w="180" w:type="dxa"/>
            <w:vAlign w:val="bottom"/>
          </w:tcPr>
          <w:p>
            <w:pPr>
              <w:spacing w:after="0"/>
              <w:rPr>
                <w:sz w:val="18"/>
                <w:szCs w:val="18"/>
                <w:color w:val="auto"/>
              </w:rPr>
            </w:pP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0" w:type="dxa"/>
            <w:vAlign w:val="bottom"/>
          </w:tcPr>
          <w:p>
            <w:pPr>
              <w:spacing w:after="0"/>
              <w:rPr>
                <w:sz w:val="1"/>
                <w:szCs w:val="1"/>
                <w:color w:val="auto"/>
              </w:rPr>
            </w:pPr>
          </w:p>
        </w:tc>
      </w:tr>
      <w:tr>
        <w:trPr>
          <w:trHeight w:val="216"/>
        </w:trPr>
        <w:tc>
          <w:tcPr>
            <w:tcW w:w="66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Inventory</w:t>
            </w: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642</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679</w:t>
            </w:r>
          </w:p>
        </w:tc>
        <w:tc>
          <w:tcPr>
            <w:tcW w:w="0" w:type="dxa"/>
            <w:vAlign w:val="bottom"/>
          </w:tcPr>
          <w:p>
            <w:pPr>
              <w:spacing w:after="0"/>
              <w:rPr>
                <w:sz w:val="1"/>
                <w:szCs w:val="1"/>
                <w:color w:val="auto"/>
              </w:rPr>
            </w:pPr>
          </w:p>
        </w:tc>
      </w:tr>
      <w:tr>
        <w:trPr>
          <w:trHeight w:val="216"/>
        </w:trPr>
        <w:tc>
          <w:tcPr>
            <w:tcW w:w="66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Prepaid expenses</w:t>
            </w: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4,737</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5,290</w:t>
            </w:r>
          </w:p>
        </w:tc>
        <w:tc>
          <w:tcPr>
            <w:tcW w:w="0" w:type="dxa"/>
            <w:vAlign w:val="bottom"/>
          </w:tcPr>
          <w:p>
            <w:pPr>
              <w:spacing w:after="0"/>
              <w:rPr>
                <w:sz w:val="1"/>
                <w:szCs w:val="1"/>
                <w:color w:val="auto"/>
              </w:rPr>
            </w:pPr>
          </w:p>
        </w:tc>
      </w:tr>
      <w:tr>
        <w:trPr>
          <w:trHeight w:val="216"/>
        </w:trPr>
        <w:tc>
          <w:tcPr>
            <w:tcW w:w="66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current assets</w:t>
            </w:r>
          </w:p>
        </w:tc>
        <w:tc>
          <w:tcPr>
            <w:tcW w:w="1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1,385</w:t>
            </w:r>
          </w:p>
        </w:tc>
        <w:tc>
          <w:tcPr>
            <w:tcW w:w="2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1,440</w:t>
            </w:r>
          </w:p>
        </w:tc>
        <w:tc>
          <w:tcPr>
            <w:tcW w:w="0" w:type="dxa"/>
            <w:vAlign w:val="bottom"/>
          </w:tcPr>
          <w:p>
            <w:pPr>
              <w:spacing w:after="0"/>
              <w:rPr>
                <w:sz w:val="1"/>
                <w:szCs w:val="1"/>
                <w:color w:val="auto"/>
              </w:rPr>
            </w:pPr>
          </w:p>
        </w:tc>
      </w:tr>
      <w:tr>
        <w:trPr>
          <w:trHeight w:val="209"/>
        </w:trPr>
        <w:tc>
          <w:tcPr>
            <w:tcW w:w="66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current assets</w:t>
            </w: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37,777</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37,394</w:t>
            </w:r>
          </w:p>
        </w:tc>
        <w:tc>
          <w:tcPr>
            <w:tcW w:w="0" w:type="dxa"/>
            <w:vAlign w:val="bottom"/>
          </w:tcPr>
          <w:p>
            <w:pPr>
              <w:spacing w:after="0"/>
              <w:rPr>
                <w:sz w:val="1"/>
                <w:szCs w:val="1"/>
                <w:color w:val="auto"/>
              </w:rPr>
            </w:pPr>
          </w:p>
        </w:tc>
      </w:tr>
      <w:tr>
        <w:trPr>
          <w:trHeight w:val="216"/>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w:t>
            </w:r>
          </w:p>
        </w:tc>
        <w:tc>
          <w:tcPr>
            <w:tcW w:w="0" w:type="dxa"/>
            <w:vAlign w:val="bottom"/>
          </w:tcPr>
          <w:p>
            <w:pPr>
              <w:spacing w:after="0"/>
              <w:rPr>
                <w:sz w:val="1"/>
                <w:szCs w:val="1"/>
                <w:color w:val="auto"/>
              </w:rPr>
            </w:pPr>
          </w:p>
        </w:tc>
      </w:tr>
      <w:tr>
        <w:trPr>
          <w:trHeight w:val="216"/>
        </w:trPr>
        <w:tc>
          <w:tcPr>
            <w:tcW w:w="6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w:t>
            </w:r>
          </w:p>
        </w:tc>
        <w:tc>
          <w:tcPr>
            <w:tcW w:w="0" w:type="dxa"/>
            <w:vAlign w:val="bottom"/>
          </w:tcPr>
          <w:p>
            <w:pPr>
              <w:spacing w:after="0"/>
              <w:rPr>
                <w:sz w:val="1"/>
                <w:szCs w:val="1"/>
                <w:color w:val="auto"/>
              </w:rPr>
            </w:pPr>
          </w:p>
        </w:tc>
      </w:tr>
      <w:tr>
        <w:trPr>
          <w:trHeight w:val="216"/>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1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2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0" w:type="dxa"/>
            <w:vAlign w:val="bottom"/>
          </w:tcPr>
          <w:p>
            <w:pPr>
              <w:spacing w:after="0"/>
              <w:rPr>
                <w:sz w:val="1"/>
                <w:szCs w:val="1"/>
                <w:color w:val="auto"/>
              </w:rPr>
            </w:pPr>
          </w:p>
        </w:tc>
      </w:tr>
      <w:tr>
        <w:trPr>
          <w:trHeight w:val="250"/>
        </w:trPr>
        <w:tc>
          <w:tcPr>
            <w:tcW w:w="666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Total assets</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38,566</w:t>
            </w:r>
          </w:p>
        </w:tc>
        <w:tc>
          <w:tcPr>
            <w:tcW w:w="2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38,338</w:t>
            </w:r>
          </w:p>
        </w:tc>
        <w:tc>
          <w:tcPr>
            <w:tcW w:w="0" w:type="dxa"/>
            <w:vAlign w:val="bottom"/>
          </w:tcPr>
          <w:p>
            <w:pPr>
              <w:spacing w:after="0"/>
              <w:rPr>
                <w:sz w:val="1"/>
                <w:szCs w:val="1"/>
                <w:color w:val="auto"/>
              </w:rPr>
            </w:pPr>
          </w:p>
        </w:tc>
      </w:tr>
      <w:tr>
        <w:trPr>
          <w:trHeight w:val="197"/>
        </w:trPr>
        <w:tc>
          <w:tcPr>
            <w:tcW w:w="6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STOCKHOLDERS' (DEFICIT) EQUITY</w:t>
            </w: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Accounts payable</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15,450</w:t>
            </w:r>
          </w:p>
        </w:tc>
        <w:tc>
          <w:tcPr>
            <w:tcW w:w="2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15,990</w:t>
            </w:r>
          </w:p>
        </w:tc>
        <w:tc>
          <w:tcPr>
            <w:tcW w:w="0" w:type="dxa"/>
            <w:vAlign w:val="bottom"/>
          </w:tcPr>
          <w:p>
            <w:pPr>
              <w:spacing w:after="0"/>
              <w:rPr>
                <w:sz w:val="1"/>
                <w:szCs w:val="1"/>
                <w:color w:val="auto"/>
              </w:rPr>
            </w:pPr>
          </w:p>
        </w:tc>
      </w:tr>
      <w:tr>
        <w:trPr>
          <w:trHeight w:val="216"/>
        </w:trPr>
        <w:tc>
          <w:tcPr>
            <w:tcW w:w="66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Accrued expenses</w:t>
            </w: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3,986</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5,762</w:t>
            </w:r>
          </w:p>
        </w:tc>
        <w:tc>
          <w:tcPr>
            <w:tcW w:w="0" w:type="dxa"/>
            <w:vAlign w:val="bottom"/>
          </w:tcPr>
          <w:p>
            <w:pPr>
              <w:spacing w:after="0"/>
              <w:rPr>
                <w:sz w:val="1"/>
                <w:szCs w:val="1"/>
                <w:color w:val="auto"/>
              </w:rPr>
            </w:pPr>
          </w:p>
        </w:tc>
      </w:tr>
      <w:tr>
        <w:trPr>
          <w:trHeight w:val="216"/>
        </w:trPr>
        <w:tc>
          <w:tcPr>
            <w:tcW w:w="66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5,608</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6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Due to related parties</w:t>
            </w: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0" w:type="dxa"/>
            <w:vAlign w:val="bottom"/>
          </w:tcPr>
          <w:p>
            <w:pPr>
              <w:spacing w:after="0"/>
              <w:rPr>
                <w:sz w:val="1"/>
                <w:szCs w:val="1"/>
                <w:color w:val="auto"/>
              </w:rPr>
            </w:pPr>
          </w:p>
        </w:tc>
      </w:tr>
      <w:tr>
        <w:trPr>
          <w:trHeight w:val="216"/>
        </w:trPr>
        <w:tc>
          <w:tcPr>
            <w:tcW w:w="66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1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383</w:t>
            </w:r>
          </w:p>
        </w:tc>
        <w:tc>
          <w:tcPr>
            <w:tcW w:w="2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374</w:t>
            </w:r>
          </w:p>
        </w:tc>
        <w:tc>
          <w:tcPr>
            <w:tcW w:w="0" w:type="dxa"/>
            <w:vAlign w:val="bottom"/>
          </w:tcPr>
          <w:p>
            <w:pPr>
              <w:spacing w:after="0"/>
              <w:rPr>
                <w:sz w:val="1"/>
                <w:szCs w:val="1"/>
                <w:color w:val="auto"/>
              </w:rPr>
            </w:pPr>
          </w:p>
        </w:tc>
      </w:tr>
      <w:tr>
        <w:trPr>
          <w:trHeight w:val="210"/>
        </w:trPr>
        <w:tc>
          <w:tcPr>
            <w:tcW w:w="66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25,546</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22,233</w:t>
            </w:r>
          </w:p>
        </w:tc>
        <w:tc>
          <w:tcPr>
            <w:tcW w:w="0" w:type="dxa"/>
            <w:vAlign w:val="bottom"/>
          </w:tcPr>
          <w:p>
            <w:pPr>
              <w:spacing w:after="0"/>
              <w:rPr>
                <w:sz w:val="1"/>
                <w:szCs w:val="1"/>
                <w:color w:val="auto"/>
              </w:rPr>
            </w:pPr>
          </w:p>
        </w:tc>
      </w:tr>
      <w:tr>
        <w:trPr>
          <w:trHeight w:val="216"/>
        </w:trPr>
        <w:tc>
          <w:tcPr>
            <w:tcW w:w="6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portion of operating lease liabilities</w:t>
            </w:r>
          </w:p>
        </w:tc>
        <w:tc>
          <w:tcPr>
            <w:tcW w:w="180" w:type="dxa"/>
            <w:vAlign w:val="bottom"/>
          </w:tcPr>
          <w:p>
            <w:pPr>
              <w:spacing w:after="0"/>
              <w:rPr>
                <w:sz w:val="18"/>
                <w:szCs w:val="18"/>
                <w:color w:val="auto"/>
              </w:rPr>
            </w:pP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0" w:type="dxa"/>
            <w:vAlign w:val="bottom"/>
          </w:tcPr>
          <w:p>
            <w:pPr>
              <w:spacing w:after="0"/>
              <w:rPr>
                <w:sz w:val="1"/>
                <w:szCs w:val="1"/>
                <w:color w:val="auto"/>
              </w:rPr>
            </w:pPr>
          </w:p>
        </w:tc>
      </w:tr>
      <w:tr>
        <w:trPr>
          <w:trHeight w:val="216"/>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Derivative liabilities</w:t>
            </w: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3,274</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6,633</w:t>
            </w:r>
          </w:p>
        </w:tc>
        <w:tc>
          <w:tcPr>
            <w:tcW w:w="0" w:type="dxa"/>
            <w:vAlign w:val="bottom"/>
          </w:tcPr>
          <w:p>
            <w:pPr>
              <w:spacing w:after="0"/>
              <w:rPr>
                <w:sz w:val="1"/>
                <w:szCs w:val="1"/>
                <w:color w:val="auto"/>
              </w:rPr>
            </w:pPr>
          </w:p>
        </w:tc>
      </w:tr>
      <w:tr>
        <w:trPr>
          <w:trHeight w:val="216"/>
        </w:trPr>
        <w:tc>
          <w:tcPr>
            <w:tcW w:w="6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Long-term debt</w:t>
            </w:r>
          </w:p>
        </w:tc>
        <w:tc>
          <w:tcPr>
            <w:tcW w:w="1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99,918</w:t>
            </w:r>
          </w:p>
        </w:tc>
        <w:tc>
          <w:tcPr>
            <w:tcW w:w="2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102,508</w:t>
            </w:r>
          </w:p>
        </w:tc>
        <w:tc>
          <w:tcPr>
            <w:tcW w:w="0" w:type="dxa"/>
            <w:vAlign w:val="bottom"/>
          </w:tcPr>
          <w:p>
            <w:pPr>
              <w:spacing w:after="0"/>
              <w:rPr>
                <w:sz w:val="1"/>
                <w:szCs w:val="1"/>
                <w:color w:val="auto"/>
              </w:rPr>
            </w:pPr>
          </w:p>
        </w:tc>
      </w:tr>
      <w:tr>
        <w:trPr>
          <w:trHeight w:val="210"/>
        </w:trPr>
        <w:tc>
          <w:tcPr>
            <w:tcW w:w="66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 liabilities</w:t>
            </w:r>
          </w:p>
        </w:tc>
        <w:tc>
          <w:tcPr>
            <w:tcW w:w="1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128,738</w:t>
            </w:r>
          </w:p>
        </w:tc>
        <w:tc>
          <w:tcPr>
            <w:tcW w:w="2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131,439</w:t>
            </w:r>
          </w:p>
        </w:tc>
        <w:tc>
          <w:tcPr>
            <w:tcW w:w="0" w:type="dxa"/>
            <w:vAlign w:val="bottom"/>
          </w:tcPr>
          <w:p>
            <w:pPr>
              <w:spacing w:after="0"/>
              <w:rPr>
                <w:sz w:val="1"/>
                <w:szCs w:val="1"/>
                <w:color w:val="auto"/>
              </w:rPr>
            </w:pPr>
          </w:p>
        </w:tc>
      </w:tr>
      <w:tr>
        <w:trPr>
          <w:trHeight w:val="210"/>
        </w:trPr>
        <w:tc>
          <w:tcPr>
            <w:tcW w:w="6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 (Note 16)</w:t>
            </w: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Stockholders' (deficit) equity</w:t>
            </w: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6660" w:type="dxa"/>
            <w:vAlign w:val="bottom"/>
            <w:shd w:val="clear" w:color="auto" w:fill="CCEEFF"/>
          </w:tcPr>
          <w:p>
            <w:pPr>
              <w:ind w:left="220"/>
              <w:spacing w:after="0" w:line="198" w:lineRule="exact"/>
              <w:rPr>
                <w:sz w:val="20"/>
                <w:szCs w:val="20"/>
                <w:color w:val="auto"/>
              </w:rPr>
            </w:pPr>
            <w:r>
              <w:rPr>
                <w:rFonts w:ascii="Times New Roman" w:cs="Times New Roman" w:eastAsia="Times New Roman" w:hAnsi="Times New Roman"/>
                <w:sz w:val="18"/>
                <w:szCs w:val="18"/>
                <w:color w:val="auto"/>
              </w:rPr>
              <w:t>Preferred stock, $0.001 par value, 10,000 shares authorized; no shares issued and</w:t>
            </w:r>
          </w:p>
        </w:tc>
        <w:tc>
          <w:tcPr>
            <w:tcW w:w="1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6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outstanding as of March 31, 2025 and December 31, 2024</w:t>
            </w:r>
          </w:p>
        </w:tc>
        <w:tc>
          <w:tcPr>
            <w:tcW w:w="18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6660" w:type="dxa"/>
            <w:vAlign w:val="bottom"/>
          </w:tcPr>
          <w:p>
            <w:pPr>
              <w:ind w:left="220"/>
              <w:spacing w:after="0" w:line="198" w:lineRule="exact"/>
              <w:rPr>
                <w:sz w:val="20"/>
                <w:szCs w:val="20"/>
                <w:color w:val="auto"/>
              </w:rPr>
            </w:pPr>
            <w:r>
              <w:rPr>
                <w:rFonts w:ascii="Times New Roman" w:cs="Times New Roman" w:eastAsia="Times New Roman" w:hAnsi="Times New Roman"/>
                <w:sz w:val="18"/>
                <w:szCs w:val="18"/>
                <w:color w:val="auto"/>
              </w:rPr>
              <w:t>Common stock, $0.001 par value, 200,000 shares authorized as of March 31, 2025 and</w:t>
            </w:r>
          </w:p>
        </w:tc>
        <w:tc>
          <w:tcPr>
            <w:tcW w:w="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December 31, 2024; 5,468 and 3,102 shares issued and outstanding as of</w:t>
            </w: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6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March 31, 2025 and December 31, 2024, respectively</w:t>
            </w:r>
          </w:p>
        </w:tc>
        <w:tc>
          <w:tcPr>
            <w:tcW w:w="1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r>
        <w:trPr>
          <w:trHeight w:val="216"/>
        </w:trPr>
        <w:tc>
          <w:tcPr>
            <w:tcW w:w="66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Additional paid-in-capital</w:t>
            </w: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567,220</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557,047</w:t>
            </w:r>
          </w:p>
        </w:tc>
        <w:tc>
          <w:tcPr>
            <w:tcW w:w="0" w:type="dxa"/>
            <w:vAlign w:val="bottom"/>
          </w:tcPr>
          <w:p>
            <w:pPr>
              <w:spacing w:after="0"/>
              <w:rPr>
                <w:sz w:val="1"/>
                <w:szCs w:val="1"/>
                <w:color w:val="auto"/>
              </w:rPr>
            </w:pPr>
          </w:p>
        </w:tc>
      </w:tr>
      <w:tr>
        <w:trPr>
          <w:trHeight w:val="216"/>
        </w:trPr>
        <w:tc>
          <w:tcPr>
            <w:tcW w:w="66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Accumulated deficit</w:t>
            </w:r>
          </w:p>
        </w:tc>
        <w:tc>
          <w:tcPr>
            <w:tcW w:w="18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(657,451)</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(650,197)</w:t>
            </w:r>
          </w:p>
        </w:tc>
        <w:tc>
          <w:tcPr>
            <w:tcW w:w="0" w:type="dxa"/>
            <w:vAlign w:val="bottom"/>
          </w:tcPr>
          <w:p>
            <w:pPr>
              <w:spacing w:after="0"/>
              <w:rPr>
                <w:sz w:val="1"/>
                <w:szCs w:val="1"/>
                <w:color w:val="auto"/>
              </w:rPr>
            </w:pPr>
          </w:p>
        </w:tc>
      </w:tr>
      <w:tr>
        <w:trPr>
          <w:trHeight w:val="209"/>
        </w:trPr>
        <w:tc>
          <w:tcPr>
            <w:tcW w:w="6660" w:type="dxa"/>
            <w:vAlign w:val="bottom"/>
            <w:tcBorders>
              <w:top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stockholders' (deficit) equity</w:t>
            </w: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(90,172)</w:t>
            </w: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(93,101)</w:t>
            </w:r>
          </w:p>
        </w:tc>
        <w:tc>
          <w:tcPr>
            <w:tcW w:w="0" w:type="dxa"/>
            <w:vAlign w:val="bottom"/>
          </w:tcPr>
          <w:p>
            <w:pPr>
              <w:spacing w:after="0"/>
              <w:rPr>
                <w:sz w:val="1"/>
                <w:szCs w:val="1"/>
                <w:color w:val="auto"/>
              </w:rPr>
            </w:pPr>
          </w:p>
        </w:tc>
      </w:tr>
      <w:tr>
        <w:trPr>
          <w:trHeight w:val="210"/>
        </w:trPr>
        <w:tc>
          <w:tcPr>
            <w:tcW w:w="66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Total liabilities and stockholders' (deficit) equity</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38,566</w:t>
            </w:r>
          </w:p>
        </w:tc>
        <w:tc>
          <w:tcPr>
            <w:tcW w:w="2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38,338</w:t>
            </w:r>
          </w:p>
        </w:tc>
        <w:tc>
          <w:tcPr>
            <w:tcW w:w="0" w:type="dxa"/>
            <w:vAlign w:val="bottom"/>
          </w:tcPr>
          <w:p>
            <w:pPr>
              <w:spacing w:after="0"/>
              <w:rPr>
                <w:sz w:val="1"/>
                <w:szCs w:val="1"/>
                <w:color w:val="auto"/>
              </w:rPr>
            </w:pPr>
          </w:p>
        </w:tc>
      </w:tr>
      <w:tr>
        <w:trPr>
          <w:trHeight w:val="20"/>
        </w:trPr>
        <w:tc>
          <w:tcPr>
            <w:tcW w:w="66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ectPr>
          <w:pgSz w:w="11900" w:h="16838" w:orient="portrait"/>
          <w:cols w:equalWidth="0" w:num="1">
            <w:col w:w="9059"/>
          </w:cols>
          <w:pgMar w:left="1400" w:top="513"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360045</wp:posOffset>
            </wp:positionV>
            <wp:extent cx="5606415"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06415" cy="26035"/>
                    </a:xfrm>
                    <a:prstGeom prst="rect">
                      <a:avLst/>
                    </a:prstGeom>
                    <a:noFill/>
                  </pic:spPr>
                </pic:pic>
              </a:graphicData>
            </a:graphic>
          </wp:anchor>
        </w:drawing>
      </w:r>
    </w:p>
    <w:p>
      <w:pPr>
        <w:sectPr>
          <w:pgSz w:w="11900" w:h="16838" w:orient="portrait"/>
          <w:cols w:equalWidth="0" w:num="1">
            <w:col w:w="9059"/>
          </w:cols>
          <w:pgMar w:left="1400" w:top="513" w:right="1440" w:bottom="1440" w:gutter="0" w:footer="0" w:header="0"/>
          <w:type w:val="continuous"/>
        </w:sectPr>
      </w:pPr>
    </w:p>
    <w:bookmarkStart w:id="7" w:name="page8"/>
    <w:bookmarkEnd w:id="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BIOXCEL THERAPEUTICS, INC.</w:t>
      </w:r>
    </w:p>
    <w:p>
      <w:pPr>
        <w:spacing w:after="0" w:line="22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22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(amounts in thousands, except per share amounts)</w:t>
      </w:r>
    </w:p>
    <w:p>
      <w:pPr>
        <w:spacing w:after="0" w:line="3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4"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57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340" w:type="dxa"/>
            <w:vAlign w:val="bottom"/>
            <w:tcBorders>
              <w:bottom w:val="single" w:sz="8" w:color="auto"/>
            </w:tcBorders>
            <w:gridSpan w:val="4"/>
          </w:tcPr>
          <w:p>
            <w:pPr>
              <w:jc w:val="right"/>
              <w:ind w:right="231"/>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7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353"/>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3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425"/>
        </w:trPr>
        <w:tc>
          <w:tcPr>
            <w:tcW w:w="5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Revenues</w:t>
            </w: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Product revenue, net</w:t>
            </w:r>
          </w:p>
        </w:tc>
        <w:tc>
          <w:tcPr>
            <w:tcW w:w="740" w:type="dxa"/>
            <w:vAlign w:val="bottom"/>
            <w:gridSpan w:val="2"/>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480" w:type="dxa"/>
            <w:vAlign w:val="bottom"/>
            <w:gridSpan w:val="2"/>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582</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7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Cost of goods sold</w:t>
            </w: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4,554</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5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5,699</w:t>
            </w:r>
          </w:p>
        </w:tc>
        <w:tc>
          <w:tcPr>
            <w:tcW w:w="2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13,264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4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Total operating expenses</w:t>
            </w:r>
          </w:p>
        </w:tc>
        <w:tc>
          <w:tcPr>
            <w:tcW w:w="5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10,267</w:t>
            </w:r>
          </w:p>
        </w:tc>
        <w:tc>
          <w:tcPr>
            <w:tcW w:w="24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24,745</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(10,099)</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Interest expense</w:t>
            </w: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3,993</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Interest income</w:t>
            </w: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Other (income) expense, net</w:t>
            </w:r>
          </w:p>
        </w:tc>
        <w:tc>
          <w:tcPr>
            <w:tcW w:w="5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(6,559)</w:t>
            </w:r>
          </w:p>
        </w:tc>
        <w:tc>
          <w:tcPr>
            <w:tcW w:w="2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5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(7,254)</w:t>
            </w:r>
          </w:p>
        </w:tc>
        <w:tc>
          <w:tcPr>
            <w:tcW w:w="24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(26,791)</w:t>
            </w:r>
          </w:p>
        </w:tc>
        <w:tc>
          <w:tcPr>
            <w:tcW w:w="0" w:type="dxa"/>
            <w:vAlign w:val="bottom"/>
          </w:tcPr>
          <w:p>
            <w:pPr>
              <w:spacing w:after="0"/>
              <w:rPr>
                <w:sz w:val="1"/>
                <w:szCs w:val="1"/>
                <w:color w:val="auto"/>
              </w:rPr>
            </w:pPr>
          </w:p>
        </w:tc>
      </w:tr>
      <w:tr>
        <w:trPr>
          <w:trHeight w:val="20"/>
        </w:trPr>
        <w:tc>
          <w:tcPr>
            <w:tcW w:w="57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Basic and diluted net loss per share attributable to common stockholders</w:t>
            </w:r>
          </w:p>
        </w:tc>
        <w:tc>
          <w:tcPr>
            <w:tcW w:w="560" w:type="dxa"/>
            <w:vAlign w:val="bottom"/>
            <w:vMerge w:val="restart"/>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760" w:type="dxa"/>
            <w:vAlign w:val="bottom"/>
            <w:gridSpan w:val="2"/>
            <w:vMerge w:val="continue"/>
          </w:tcPr>
          <w:p>
            <w:pPr>
              <w:spacing w:after="0"/>
              <w:rPr>
                <w:sz w:val="17"/>
                <w:szCs w:val="17"/>
                <w:color w:val="auto"/>
              </w:rPr>
            </w:pPr>
          </w:p>
        </w:tc>
        <w:tc>
          <w:tcPr>
            <w:tcW w:w="560" w:type="dxa"/>
            <w:vAlign w:val="bottom"/>
            <w:vMerge w:val="continue"/>
          </w:tcPr>
          <w:p>
            <w:pPr>
              <w:spacing w:after="0"/>
              <w:rPr>
                <w:sz w:val="17"/>
                <w:szCs w:val="17"/>
                <w:color w:val="auto"/>
              </w:rPr>
            </w:pP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(1.50)</w:t>
            </w:r>
          </w:p>
        </w:tc>
        <w:tc>
          <w:tcPr>
            <w:tcW w:w="240" w:type="dxa"/>
            <w:vAlign w:val="bottom"/>
            <w:vMerge w:val="continue"/>
          </w:tcPr>
          <w:p>
            <w:pPr>
              <w:spacing w:after="0"/>
              <w:rPr>
                <w:sz w:val="17"/>
                <w:szCs w:val="17"/>
                <w:color w:val="auto"/>
              </w:rPr>
            </w:pP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(13.89)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shares outstanding - basic and diluted</w:t>
            </w: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4,834</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1,929</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06415"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 w:name="page9"/>
    <w:bookmarkEnd w:id="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BIOXCEL THERAPEUTICS, INC.</w:t>
      </w:r>
    </w:p>
    <w:p>
      <w:pPr>
        <w:spacing w:after="0" w:line="22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CHANGES IN STOCKHOLDERS’ (DEFICIT) EQUITY</w:t>
      </w:r>
    </w:p>
    <w:p>
      <w:pPr>
        <w:spacing w:after="0" w:line="22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(amounts in thousands)</w:t>
      </w:r>
    </w:p>
    <w:p>
      <w:pPr>
        <w:spacing w:after="0" w:line="3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1"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120" w:type="dxa"/>
            <w:vAlign w:val="bottom"/>
          </w:tcPr>
          <w:p>
            <w:pPr>
              <w:spacing w:after="0"/>
              <w:rPr>
                <w:sz w:val="13"/>
                <w:szCs w:val="13"/>
                <w:color w:val="auto"/>
              </w:rPr>
            </w:pPr>
          </w:p>
        </w:tc>
        <w:tc>
          <w:tcPr>
            <w:tcW w:w="1860" w:type="dxa"/>
            <w:vAlign w:val="bottom"/>
            <w:gridSpan w:val="5"/>
            <w:vMerge w:val="restart"/>
          </w:tcPr>
          <w:p>
            <w:pPr>
              <w:ind w:left="40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980" w:type="dxa"/>
            <w:vAlign w:val="bottom"/>
            <w:gridSpan w:val="3"/>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04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4120" w:type="dxa"/>
            <w:vAlign w:val="bottom"/>
          </w:tcPr>
          <w:p>
            <w:pPr>
              <w:spacing w:after="0"/>
              <w:rPr>
                <w:sz w:val="15"/>
                <w:szCs w:val="15"/>
                <w:color w:val="auto"/>
              </w:rPr>
            </w:pPr>
          </w:p>
        </w:tc>
        <w:tc>
          <w:tcPr>
            <w:tcW w:w="1860" w:type="dxa"/>
            <w:vAlign w:val="bottom"/>
            <w:gridSpan w:val="5"/>
            <w:vMerge w:val="continue"/>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104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120" w:type="dxa"/>
            <w:vAlign w:val="bottom"/>
          </w:tcPr>
          <w:p>
            <w:pPr>
              <w:spacing w:after="0"/>
              <w:rPr>
                <w:sz w:val="12"/>
                <w:szCs w:val="12"/>
                <w:color w:val="auto"/>
              </w:rPr>
            </w:pPr>
          </w:p>
        </w:tc>
        <w:tc>
          <w:tcPr>
            <w:tcW w:w="880" w:type="dxa"/>
            <w:vAlign w:val="bottom"/>
            <w:tcBorders>
              <w:top w:val="single" w:sz="8" w:color="auto"/>
            </w:tcBorders>
            <w:gridSpan w:val="2"/>
          </w:tcPr>
          <w:p>
            <w:pPr>
              <w:ind w:left="160"/>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right"/>
              <w:ind w:right="72"/>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tcPr>
          <w:p>
            <w:pPr>
              <w:jc w:val="center"/>
              <w:ind w:right="280"/>
              <w:spacing w:after="0" w:line="142" w:lineRule="exact"/>
              <w:rPr>
                <w:sz w:val="20"/>
                <w:szCs w:val="20"/>
                <w:color w:val="auto"/>
              </w:rPr>
            </w:pPr>
            <w:r>
              <w:rPr>
                <w:rFonts w:ascii="Times New Roman" w:cs="Times New Roman" w:eastAsia="Times New Roman" w:hAnsi="Times New Roman"/>
                <w:sz w:val="14"/>
                <w:szCs w:val="14"/>
                <w:b w:val="1"/>
                <w:bCs w:val="1"/>
                <w:color w:val="auto"/>
              </w:rPr>
              <w:t>capital</w:t>
            </w:r>
          </w:p>
        </w:tc>
        <w:tc>
          <w:tcPr>
            <w:tcW w:w="1040" w:type="dxa"/>
            <w:vAlign w:val="bottom"/>
            <w:gridSpan w:val="2"/>
          </w:tcPr>
          <w:p>
            <w:pPr>
              <w:jc w:val="center"/>
              <w:ind w:right="140"/>
              <w:spacing w:after="0" w:line="142" w:lineRule="exact"/>
              <w:rPr>
                <w:sz w:val="20"/>
                <w:szCs w:val="20"/>
                <w:color w:val="auto"/>
              </w:rPr>
            </w:pPr>
            <w:r>
              <w:rPr>
                <w:rFonts w:ascii="Times New Roman" w:cs="Times New Roman" w:eastAsia="Times New Roman" w:hAnsi="Times New Roman"/>
                <w:sz w:val="14"/>
                <w:szCs w:val="14"/>
                <w:b w:val="1"/>
                <w:bCs w:val="1"/>
                <w:color w:val="auto"/>
              </w:rPr>
              <w:t>deficit</w:t>
            </w:r>
          </w:p>
        </w:tc>
        <w:tc>
          <w:tcPr>
            <w:tcW w:w="160" w:type="dxa"/>
            <w:vAlign w:val="bottom"/>
          </w:tcPr>
          <w:p>
            <w:pPr>
              <w:spacing w:after="0"/>
              <w:rPr>
                <w:sz w:val="12"/>
                <w:szCs w:val="12"/>
                <w:color w:val="auto"/>
              </w:rPr>
            </w:pPr>
          </w:p>
        </w:tc>
        <w:tc>
          <w:tcPr>
            <w:tcW w:w="680" w:type="dxa"/>
            <w:vAlign w:val="bottom"/>
          </w:tcPr>
          <w:p>
            <w:pPr>
              <w:jc w:val="right"/>
              <w:ind w:right="172"/>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10"/>
        </w:trPr>
        <w:tc>
          <w:tcPr>
            <w:tcW w:w="41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2023</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1,871</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534,060</w:t>
            </w:r>
          </w:p>
        </w:tc>
        <w:tc>
          <w:tcPr>
            <w:tcW w:w="16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(590,598)</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(56,508)</w:t>
            </w:r>
          </w:p>
        </w:tc>
        <w:tc>
          <w:tcPr>
            <w:tcW w:w="0" w:type="dxa"/>
            <w:vAlign w:val="bottom"/>
          </w:tcPr>
          <w:p>
            <w:pPr>
              <w:spacing w:after="0"/>
              <w:rPr>
                <w:sz w:val="1"/>
                <w:szCs w:val="1"/>
                <w:color w:val="auto"/>
              </w:rPr>
            </w:pPr>
          </w:p>
        </w:tc>
      </w:tr>
      <w:tr>
        <w:trPr>
          <w:trHeight w:val="216"/>
        </w:trPr>
        <w:tc>
          <w:tcPr>
            <w:tcW w:w="4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Issuance of common shares, net of offering costs</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3,705</w:t>
            </w:r>
          </w:p>
        </w:tc>
        <w:tc>
          <w:tcPr>
            <w:tcW w:w="16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3,709</w:t>
            </w:r>
          </w:p>
        </w:tc>
        <w:tc>
          <w:tcPr>
            <w:tcW w:w="0" w:type="dxa"/>
            <w:vAlign w:val="bottom"/>
          </w:tcPr>
          <w:p>
            <w:pPr>
              <w:spacing w:after="0"/>
              <w:rPr>
                <w:sz w:val="1"/>
                <w:szCs w:val="1"/>
                <w:color w:val="auto"/>
              </w:rPr>
            </w:pPr>
          </w:p>
        </w:tc>
      </w:tr>
      <w:tr>
        <w:trPr>
          <w:trHeight w:val="216"/>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8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3,433</w:t>
            </w: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3,433</w:t>
            </w:r>
          </w:p>
        </w:tc>
        <w:tc>
          <w:tcPr>
            <w:tcW w:w="0" w:type="dxa"/>
            <w:vAlign w:val="bottom"/>
          </w:tcPr>
          <w:p>
            <w:pPr>
              <w:spacing w:after="0"/>
              <w:rPr>
                <w:sz w:val="1"/>
                <w:szCs w:val="1"/>
                <w:color w:val="auto"/>
              </w:rPr>
            </w:pPr>
          </w:p>
        </w:tc>
      </w:tr>
      <w:tr>
        <w:trPr>
          <w:trHeight w:val="216"/>
        </w:trPr>
        <w:tc>
          <w:tcPr>
            <w:tcW w:w="4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Issuance of stock purchase warrants</w:t>
            </w: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16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0" w:type="dxa"/>
            <w:vAlign w:val="bottom"/>
          </w:tcPr>
          <w:p>
            <w:pPr>
              <w:spacing w:after="0"/>
              <w:rPr>
                <w:sz w:val="1"/>
                <w:szCs w:val="1"/>
                <w:color w:val="auto"/>
              </w:rPr>
            </w:pPr>
          </w:p>
        </w:tc>
      </w:tr>
      <w:tr>
        <w:trPr>
          <w:trHeight w:val="216"/>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Issuance of pre-funded stock purchase warrants</w:t>
            </w:r>
          </w:p>
        </w:tc>
        <w:tc>
          <w:tcPr>
            <w:tcW w:w="8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3,570</w:t>
            </w: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3,570</w:t>
            </w:r>
          </w:p>
        </w:tc>
        <w:tc>
          <w:tcPr>
            <w:tcW w:w="0" w:type="dxa"/>
            <w:vAlign w:val="bottom"/>
          </w:tcPr>
          <w:p>
            <w:pPr>
              <w:spacing w:after="0"/>
              <w:rPr>
                <w:sz w:val="1"/>
                <w:szCs w:val="1"/>
                <w:color w:val="auto"/>
              </w:rPr>
            </w:pPr>
          </w:p>
        </w:tc>
      </w:tr>
      <w:tr>
        <w:trPr>
          <w:trHeight w:val="216"/>
        </w:trPr>
        <w:tc>
          <w:tcPr>
            <w:tcW w:w="4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(26,791)</w:t>
            </w: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(26,791)</w:t>
            </w:r>
          </w:p>
        </w:tc>
        <w:tc>
          <w:tcPr>
            <w:tcW w:w="0" w:type="dxa"/>
            <w:vAlign w:val="bottom"/>
          </w:tcPr>
          <w:p>
            <w:pPr>
              <w:spacing w:after="0"/>
              <w:rPr>
                <w:sz w:val="1"/>
                <w:szCs w:val="1"/>
                <w:color w:val="auto"/>
              </w:rPr>
            </w:pPr>
          </w:p>
        </w:tc>
      </w:tr>
      <w:tr>
        <w:trPr>
          <w:trHeight w:val="209"/>
        </w:trPr>
        <w:tc>
          <w:tcPr>
            <w:tcW w:w="41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March 31, 2024</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2,102</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544,992</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(617,389)</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(72,363)</w:t>
            </w: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Borders>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0"/>
        </w:trPr>
        <w:tc>
          <w:tcPr>
            <w:tcW w:w="4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gridSpan w:val="3"/>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4120" w:type="dxa"/>
            <w:vAlign w:val="bottom"/>
          </w:tcPr>
          <w:p>
            <w:pPr>
              <w:spacing w:after="0"/>
              <w:rPr>
                <w:sz w:val="17"/>
                <w:szCs w:val="17"/>
                <w:color w:val="auto"/>
              </w:rPr>
            </w:pPr>
          </w:p>
        </w:tc>
        <w:tc>
          <w:tcPr>
            <w:tcW w:w="1860" w:type="dxa"/>
            <w:vAlign w:val="bottom"/>
            <w:gridSpan w:val="5"/>
          </w:tcPr>
          <w:p>
            <w:pPr>
              <w:ind w:left="40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20" w:type="dxa"/>
            <w:vAlign w:val="bottom"/>
          </w:tcPr>
          <w:p>
            <w:pPr>
              <w:spacing w:after="0"/>
              <w:rPr>
                <w:sz w:val="17"/>
                <w:szCs w:val="17"/>
                <w:color w:val="auto"/>
              </w:rPr>
            </w:pPr>
          </w:p>
        </w:tc>
        <w:tc>
          <w:tcPr>
            <w:tcW w:w="8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104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2"/>
        </w:trPr>
        <w:tc>
          <w:tcPr>
            <w:tcW w:w="4120" w:type="dxa"/>
            <w:vAlign w:val="bottom"/>
          </w:tcPr>
          <w:p>
            <w:pPr>
              <w:spacing w:after="0"/>
              <w:rPr>
                <w:sz w:val="12"/>
                <w:szCs w:val="12"/>
                <w:color w:val="auto"/>
              </w:rPr>
            </w:pPr>
          </w:p>
        </w:tc>
        <w:tc>
          <w:tcPr>
            <w:tcW w:w="880" w:type="dxa"/>
            <w:vAlign w:val="bottom"/>
            <w:tcBorders>
              <w:top w:val="single" w:sz="8" w:color="auto"/>
            </w:tcBorders>
            <w:gridSpan w:val="2"/>
          </w:tcPr>
          <w:p>
            <w:pPr>
              <w:ind w:left="160"/>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right"/>
              <w:ind w:right="72"/>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tcPr>
          <w:p>
            <w:pPr>
              <w:jc w:val="center"/>
              <w:ind w:right="280"/>
              <w:spacing w:after="0" w:line="142" w:lineRule="exact"/>
              <w:rPr>
                <w:sz w:val="20"/>
                <w:szCs w:val="20"/>
                <w:color w:val="auto"/>
              </w:rPr>
            </w:pPr>
            <w:r>
              <w:rPr>
                <w:rFonts w:ascii="Times New Roman" w:cs="Times New Roman" w:eastAsia="Times New Roman" w:hAnsi="Times New Roman"/>
                <w:sz w:val="14"/>
                <w:szCs w:val="14"/>
                <w:b w:val="1"/>
                <w:bCs w:val="1"/>
                <w:color w:val="auto"/>
              </w:rPr>
              <w:t>capital</w:t>
            </w:r>
          </w:p>
        </w:tc>
        <w:tc>
          <w:tcPr>
            <w:tcW w:w="1040" w:type="dxa"/>
            <w:vAlign w:val="bottom"/>
            <w:gridSpan w:val="2"/>
          </w:tcPr>
          <w:p>
            <w:pPr>
              <w:jc w:val="center"/>
              <w:ind w:right="140"/>
              <w:spacing w:after="0" w:line="142" w:lineRule="exact"/>
              <w:rPr>
                <w:sz w:val="20"/>
                <w:szCs w:val="20"/>
                <w:color w:val="auto"/>
              </w:rPr>
            </w:pPr>
            <w:r>
              <w:rPr>
                <w:rFonts w:ascii="Times New Roman" w:cs="Times New Roman" w:eastAsia="Times New Roman" w:hAnsi="Times New Roman"/>
                <w:sz w:val="14"/>
                <w:szCs w:val="14"/>
                <w:b w:val="1"/>
                <w:bCs w:val="1"/>
                <w:color w:val="auto"/>
              </w:rPr>
              <w:t>deficit</w:t>
            </w:r>
          </w:p>
        </w:tc>
        <w:tc>
          <w:tcPr>
            <w:tcW w:w="160" w:type="dxa"/>
            <w:vAlign w:val="bottom"/>
          </w:tcPr>
          <w:p>
            <w:pPr>
              <w:spacing w:after="0"/>
              <w:rPr>
                <w:sz w:val="12"/>
                <w:szCs w:val="12"/>
                <w:color w:val="auto"/>
              </w:rPr>
            </w:pPr>
          </w:p>
        </w:tc>
        <w:tc>
          <w:tcPr>
            <w:tcW w:w="680" w:type="dxa"/>
            <w:vAlign w:val="bottom"/>
          </w:tcPr>
          <w:p>
            <w:pPr>
              <w:jc w:val="right"/>
              <w:ind w:right="172"/>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09"/>
        </w:trPr>
        <w:tc>
          <w:tcPr>
            <w:tcW w:w="41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2024</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3,102</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557,047</w:t>
            </w:r>
          </w:p>
        </w:tc>
        <w:tc>
          <w:tcPr>
            <w:tcW w:w="16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(650,197)</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(93,101)</w:t>
            </w:r>
          </w:p>
        </w:tc>
        <w:tc>
          <w:tcPr>
            <w:tcW w:w="0" w:type="dxa"/>
            <w:vAlign w:val="bottom"/>
          </w:tcPr>
          <w:p>
            <w:pPr>
              <w:spacing w:after="0"/>
              <w:rPr>
                <w:sz w:val="1"/>
                <w:szCs w:val="1"/>
                <w:color w:val="auto"/>
              </w:rPr>
            </w:pPr>
          </w:p>
        </w:tc>
      </w:tr>
      <w:tr>
        <w:trPr>
          <w:trHeight w:val="216"/>
        </w:trPr>
        <w:tc>
          <w:tcPr>
            <w:tcW w:w="4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Issuance of common shares, net of offering costs</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2,358</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471</w:t>
            </w:r>
          </w:p>
        </w:tc>
        <w:tc>
          <w:tcPr>
            <w:tcW w:w="16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481</w:t>
            </w:r>
          </w:p>
        </w:tc>
        <w:tc>
          <w:tcPr>
            <w:tcW w:w="0" w:type="dxa"/>
            <w:vAlign w:val="bottom"/>
          </w:tcPr>
          <w:p>
            <w:pPr>
              <w:spacing w:after="0"/>
              <w:rPr>
                <w:sz w:val="1"/>
                <w:szCs w:val="1"/>
                <w:color w:val="auto"/>
              </w:rPr>
            </w:pPr>
          </w:p>
        </w:tc>
      </w:tr>
      <w:tr>
        <w:trPr>
          <w:trHeight w:val="216"/>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8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0" w:type="dxa"/>
            <w:vAlign w:val="bottom"/>
          </w:tcPr>
          <w:p>
            <w:pPr>
              <w:spacing w:after="0"/>
              <w:rPr>
                <w:sz w:val="1"/>
                <w:szCs w:val="1"/>
                <w:color w:val="auto"/>
              </w:rPr>
            </w:pPr>
          </w:p>
        </w:tc>
      </w:tr>
      <w:tr>
        <w:trPr>
          <w:trHeight w:val="216"/>
        </w:trPr>
        <w:tc>
          <w:tcPr>
            <w:tcW w:w="4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Issuance of pre-funded stock purchase warrants</w:t>
            </w: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9,523</w:t>
            </w:r>
          </w:p>
        </w:tc>
        <w:tc>
          <w:tcPr>
            <w:tcW w:w="16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9,523</w:t>
            </w:r>
          </w:p>
        </w:tc>
        <w:tc>
          <w:tcPr>
            <w:tcW w:w="0" w:type="dxa"/>
            <w:vAlign w:val="bottom"/>
          </w:tcPr>
          <w:p>
            <w:pPr>
              <w:spacing w:after="0"/>
              <w:rPr>
                <w:sz w:val="1"/>
                <w:szCs w:val="1"/>
                <w:color w:val="auto"/>
              </w:rPr>
            </w:pPr>
          </w:p>
        </w:tc>
      </w:tr>
      <w:tr>
        <w:trPr>
          <w:trHeight w:val="198"/>
        </w:trPr>
        <w:tc>
          <w:tcPr>
            <w:tcW w:w="4120" w:type="dxa"/>
            <w:vAlign w:val="bottom"/>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Vesting of restricted stock units, net of employee tax</w:t>
            </w:r>
          </w:p>
        </w:tc>
        <w:tc>
          <w:tcPr>
            <w:tcW w:w="7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obligations</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w:t>
            </w: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4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(7,254)</w:t>
            </w: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(7,254)</w:t>
            </w:r>
          </w:p>
        </w:tc>
        <w:tc>
          <w:tcPr>
            <w:tcW w:w="0" w:type="dxa"/>
            <w:vAlign w:val="bottom"/>
          </w:tcPr>
          <w:p>
            <w:pPr>
              <w:spacing w:after="0"/>
              <w:rPr>
                <w:sz w:val="1"/>
                <w:szCs w:val="1"/>
                <w:color w:val="auto"/>
              </w:rPr>
            </w:pPr>
          </w:p>
        </w:tc>
      </w:tr>
      <w:tr>
        <w:trPr>
          <w:trHeight w:val="210"/>
        </w:trPr>
        <w:tc>
          <w:tcPr>
            <w:tcW w:w="41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March 31, 2025</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5,468</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567,220</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(657,451)</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(90,172)</w:t>
            </w: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06415"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9" w:name="page10"/>
    <w:bookmarkEnd w:id="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BIOXCEL THERAPEUTICS, INC.</w:t>
      </w:r>
    </w:p>
    <w:p>
      <w:pPr>
        <w:spacing w:after="0" w:line="198"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185"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8"/>
          <w:szCs w:val="18"/>
          <w:b w:val="1"/>
          <w:bCs w:val="1"/>
          <w:color w:val="auto"/>
        </w:rPr>
        <w:t>(amounts in thousands)</w:t>
      </w:r>
    </w:p>
    <w:p>
      <w:pPr>
        <w:spacing w:after="0" w:line="3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73"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65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140" w:type="dxa"/>
            <w:vAlign w:val="bottom"/>
            <w:tcBorders>
              <w:bottom w:val="single" w:sz="8" w:color="auto"/>
            </w:tcBorders>
            <w:gridSpan w:val="4"/>
          </w:tcPr>
          <w:p>
            <w:pPr>
              <w:jc w:val="right"/>
              <w:ind w:right="91"/>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142"/>
        </w:trPr>
        <w:tc>
          <w:tcPr>
            <w:tcW w:w="656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33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25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r>
      <w:tr>
        <w:trPr>
          <w:trHeight w:val="209"/>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CASH FLOW ACTIVITIES:</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r>
      <w:tr>
        <w:trPr>
          <w:trHeight w:val="216"/>
        </w:trPr>
        <w:tc>
          <w:tcPr>
            <w:tcW w:w="65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 loss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(7,254)</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(26,791)</w:t>
            </w:r>
          </w:p>
        </w:tc>
      </w:tr>
      <w:tr>
        <w:trPr>
          <w:trHeight w:val="216"/>
        </w:trPr>
        <w:tc>
          <w:tcPr>
            <w:tcW w:w="65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Reconciliation of net loss to net cash used in operating activities</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r>
      <w:tr>
        <w:trPr>
          <w:trHeight w:val="216"/>
        </w:trPr>
        <w:tc>
          <w:tcPr>
            <w:tcW w:w="6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Depreciation</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r>
      <w:tr>
        <w:trPr>
          <w:trHeight w:val="216"/>
        </w:trPr>
        <w:tc>
          <w:tcPr>
            <w:tcW w:w="65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Accretion of debt discount and amortization of financing costs</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16"/>
        </w:trPr>
        <w:tc>
          <w:tcPr>
            <w:tcW w:w="6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Change in fair value of derivative liabilities</w:t>
            </w:r>
          </w:p>
        </w:tc>
        <w:tc>
          <w:tcPr>
            <w:tcW w:w="14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(6,559)</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16"/>
        </w:trPr>
        <w:tc>
          <w:tcPr>
            <w:tcW w:w="65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3,433</w:t>
            </w:r>
          </w:p>
        </w:tc>
      </w:tr>
      <w:tr>
        <w:trPr>
          <w:trHeight w:val="216"/>
        </w:trPr>
        <w:tc>
          <w:tcPr>
            <w:tcW w:w="6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Payable-in-kind interest on Credit Agreement</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2,668</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1,216</w:t>
            </w:r>
          </w:p>
        </w:tc>
      </w:tr>
      <w:tr>
        <w:trPr>
          <w:trHeight w:val="216"/>
        </w:trPr>
        <w:tc>
          <w:tcPr>
            <w:tcW w:w="65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r>
      <w:tr>
        <w:trPr>
          <w:trHeight w:val="216"/>
        </w:trPr>
        <w:tc>
          <w:tcPr>
            <w:tcW w:w="6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16"/>
        </w:trPr>
        <w:tc>
          <w:tcPr>
            <w:tcW w:w="65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Accounts receivable</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w:t>
            </w:r>
          </w:p>
        </w:tc>
      </w:tr>
      <w:tr>
        <w:trPr>
          <w:trHeight w:val="216"/>
        </w:trPr>
        <w:tc>
          <w:tcPr>
            <w:tcW w:w="65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Inventory</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(448)</w:t>
            </w:r>
          </w:p>
        </w:tc>
      </w:tr>
      <w:tr>
        <w:trPr>
          <w:trHeight w:val="216"/>
        </w:trPr>
        <w:tc>
          <w:tcPr>
            <w:tcW w:w="65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Prepaid expenses, other current assets and other assets</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608</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901</w:t>
            </w:r>
          </w:p>
        </w:tc>
      </w:tr>
      <w:tr>
        <w:trPr>
          <w:trHeight w:val="198"/>
        </w:trPr>
        <w:tc>
          <w:tcPr>
            <w:tcW w:w="6560" w:type="dxa"/>
            <w:vAlign w:val="bottom"/>
          </w:tcPr>
          <w:p>
            <w:pPr>
              <w:ind w:left="340"/>
              <w:spacing w:after="0" w:line="198" w:lineRule="exact"/>
              <w:rPr>
                <w:sz w:val="20"/>
                <w:szCs w:val="20"/>
                <w:color w:val="auto"/>
              </w:rPr>
            </w:pPr>
            <w:r>
              <w:rPr>
                <w:rFonts w:ascii="Times New Roman" w:cs="Times New Roman" w:eastAsia="Times New Roman" w:hAnsi="Times New Roman"/>
                <w:sz w:val="18"/>
                <w:szCs w:val="18"/>
                <w:color w:val="auto"/>
              </w:rPr>
              <w:t>Accounts payable, accrued expenses, due to related parties, and other current</w:t>
            </w: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234"/>
        </w:trPr>
        <w:tc>
          <w:tcPr>
            <w:tcW w:w="65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liabilities</w:t>
            </w:r>
          </w:p>
        </w:tc>
        <w:tc>
          <w:tcPr>
            <w:tcW w:w="140" w:type="dxa"/>
            <w:vAlign w:val="bottom"/>
          </w:tcPr>
          <w:p>
            <w:pPr>
              <w:spacing w:after="0"/>
              <w:rPr>
                <w:sz w:val="20"/>
                <w:szCs w:val="20"/>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(2,269)</w:t>
            </w:r>
          </w:p>
        </w:tc>
        <w:tc>
          <w:tcPr>
            <w:tcW w:w="2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4,826</w:t>
            </w:r>
          </w:p>
        </w:tc>
      </w:tr>
      <w:tr>
        <w:trPr>
          <w:trHeight w:val="216"/>
        </w:trPr>
        <w:tc>
          <w:tcPr>
            <w:tcW w:w="65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Accrued interest</w:t>
            </w: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(619)</w:t>
            </w:r>
          </w:p>
        </w:tc>
      </w:tr>
      <w:tr>
        <w:trPr>
          <w:trHeight w:val="216"/>
        </w:trPr>
        <w:tc>
          <w:tcPr>
            <w:tcW w:w="65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4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(90)</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r>
      <w:tr>
        <w:trPr>
          <w:trHeight w:val="210"/>
        </w:trPr>
        <w:tc>
          <w:tcPr>
            <w:tcW w:w="6560" w:type="dxa"/>
            <w:vAlign w:val="bottom"/>
            <w:tcBorders>
              <w:top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(12,043)</w:t>
            </w:r>
          </w:p>
        </w:tc>
        <w:tc>
          <w:tcPr>
            <w:tcW w:w="1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(17,706)</w:t>
            </w:r>
          </w:p>
        </w:tc>
      </w:tr>
      <w:tr>
        <w:trPr>
          <w:trHeight w:val="209"/>
        </w:trPr>
        <w:tc>
          <w:tcPr>
            <w:tcW w:w="6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16"/>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INVESTING CASH FLOW ACTIVITIES:</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r>
      <w:tr>
        <w:trPr>
          <w:trHeight w:val="216"/>
        </w:trPr>
        <w:tc>
          <w:tcPr>
            <w:tcW w:w="65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Purchases of equipment and leasehold improvements</w:t>
            </w:r>
          </w:p>
        </w:tc>
        <w:tc>
          <w:tcPr>
            <w:tcW w:w="14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6560" w:type="dxa"/>
            <w:vAlign w:val="bottom"/>
            <w:tcBorders>
              <w:top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Net cash from investing activities</w:t>
            </w: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6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16"/>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FINANCING CASH FLOW ACTIVITIES:</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r>
      <w:tr>
        <w:trPr>
          <w:trHeight w:val="216"/>
        </w:trPr>
        <w:tc>
          <w:tcPr>
            <w:tcW w:w="65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Proceeds from issuance of common stock and warrants</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14,006</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26,743</w:t>
            </w:r>
          </w:p>
        </w:tc>
      </w:tr>
      <w:tr>
        <w:trPr>
          <w:trHeight w:val="216"/>
        </w:trPr>
        <w:tc>
          <w:tcPr>
            <w:tcW w:w="65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Offering costs for common stock and warrants issuance</w:t>
            </w: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(803)</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w:t>
            </w:r>
          </w:p>
        </w:tc>
      </w:tr>
      <w:tr>
        <w:trPr>
          <w:trHeight w:val="216"/>
        </w:trPr>
        <w:tc>
          <w:tcPr>
            <w:tcW w:w="65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Payment of employee tax obligations related to vesting restricted stock units</w:t>
            </w:r>
          </w:p>
        </w:tc>
        <w:tc>
          <w:tcPr>
            <w:tcW w:w="14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6560" w:type="dxa"/>
            <w:vAlign w:val="bottom"/>
            <w:tcBorders>
              <w:top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13,202</w:t>
            </w:r>
          </w:p>
        </w:tc>
        <w:tc>
          <w:tcPr>
            <w:tcW w:w="1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26,626</w:t>
            </w:r>
          </w:p>
        </w:tc>
      </w:tr>
      <w:tr>
        <w:trPr>
          <w:trHeight w:val="210"/>
        </w:trPr>
        <w:tc>
          <w:tcPr>
            <w:tcW w:w="6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16"/>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increase in cash and cash equivalents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1,159</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8,920</w:t>
            </w:r>
          </w:p>
        </w:tc>
      </w:tr>
      <w:tr>
        <w:trPr>
          <w:trHeight w:val="216"/>
        </w:trPr>
        <w:tc>
          <w:tcPr>
            <w:tcW w:w="6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Cash and cash equivalents, beginning of the period</w:t>
            </w: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29,854</w:t>
            </w:r>
          </w:p>
        </w:tc>
        <w:tc>
          <w:tcPr>
            <w:tcW w:w="1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65,221</w:t>
            </w:r>
          </w:p>
        </w:tc>
      </w:tr>
      <w:tr>
        <w:trPr>
          <w:trHeight w:val="210"/>
        </w:trPr>
        <w:tc>
          <w:tcPr>
            <w:tcW w:w="6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 end of the period</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31,013</w:t>
            </w:r>
          </w:p>
        </w:tc>
        <w:tc>
          <w:tcPr>
            <w:tcW w:w="1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74,141</w:t>
            </w:r>
          </w:p>
        </w:tc>
      </w:tr>
      <w:tr>
        <w:trPr>
          <w:trHeight w:val="20"/>
        </w:trPr>
        <w:tc>
          <w:tcPr>
            <w:tcW w:w="65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r>
        <w:trPr>
          <w:trHeight w:val="197"/>
        </w:trPr>
        <w:tc>
          <w:tcPr>
            <w:tcW w:w="6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216"/>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cash flow information:</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r>
      <w:tr>
        <w:trPr>
          <w:trHeight w:val="234"/>
        </w:trPr>
        <w:tc>
          <w:tcPr>
            <w:tcW w:w="6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Issuance of stock purchase warrants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w:t>
            </w:r>
          </w:p>
        </w:tc>
      </w:tr>
    </w:tbl>
    <w:p>
      <w:pPr>
        <w:spacing w:after="0" w:line="179"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32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06415"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0" w:name="page11"/>
    <w:bookmarkEnd w:id="1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BIOXCEL THERAPEUTICS, INC.</w:t>
      </w:r>
    </w:p>
    <w:p>
      <w:pPr>
        <w:spacing w:after="0" w:line="22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225"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8"/>
          <w:szCs w:val="18"/>
          <w:b w:val="1"/>
          <w:bCs w:val="1"/>
          <w:color w:val="auto"/>
        </w:rPr>
        <w:t>(amounts in thousands, except per share amounts and where otherwise noted)</w:t>
      </w:r>
    </w:p>
    <w:p>
      <w:pPr>
        <w:spacing w:after="0" w:line="31"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1. Nature of the Business</w:t>
      </w:r>
    </w:p>
    <w:p>
      <w:pPr>
        <w:spacing w:after="0" w:line="202" w:lineRule="exact"/>
        <w:rPr>
          <w:sz w:val="20"/>
          <w:szCs w:val="20"/>
          <w:color w:val="auto"/>
        </w:rPr>
      </w:pPr>
    </w:p>
    <w:p>
      <w:pPr>
        <w:ind w:left="60" w:right="179" w:firstLine="324"/>
        <w:spacing w:after="0" w:line="254" w:lineRule="auto"/>
        <w:rPr>
          <w:sz w:val="20"/>
          <w:szCs w:val="20"/>
          <w:color w:val="auto"/>
        </w:rPr>
      </w:pPr>
      <w:r>
        <w:rPr>
          <w:rFonts w:ascii="Times New Roman" w:cs="Times New Roman" w:eastAsia="Times New Roman" w:hAnsi="Times New Roman"/>
          <w:sz w:val="18"/>
          <w:szCs w:val="18"/>
          <w:color w:val="auto"/>
        </w:rPr>
        <w:t>BioXcel Therapeutics, Inc. (“BTI” or the “Company”) is a biopharmaceutical company utilizing artificial intelligence (“AI”) approaches to develop transformative medicines in neuroscience and immuno-oncology. The Company is focused on utilizing cutting-edge technology and innovative research to develop high-value therapeutics aimed at transforming patients’ lives. BTI employs a unique AI platform to reduce therapeutic development costs and potentially accelerate timelines. The Company’s approach leverages existing approved drugs and/or clinically evaluated product candidates together with big data and proprietary machine learning algorithms to identify new therapeutic indices. BTI management believes this differentiated approach has proven its potential to reduce the expense and time associated with drug development in diseases with substantial unmet medical needs.</w:t>
      </w:r>
    </w:p>
    <w:p>
      <w:pPr>
        <w:spacing w:after="0" w:line="151" w:lineRule="exact"/>
        <w:rPr>
          <w:sz w:val="20"/>
          <w:szCs w:val="20"/>
          <w:color w:val="auto"/>
        </w:rPr>
      </w:pPr>
    </w:p>
    <w:p>
      <w:pPr>
        <w:jc w:val="both"/>
        <w:ind w:left="60" w:right="379" w:firstLine="324"/>
        <w:spacing w:after="0" w:line="261" w:lineRule="auto"/>
        <w:rPr>
          <w:sz w:val="20"/>
          <w:szCs w:val="20"/>
          <w:color w:val="auto"/>
        </w:rPr>
      </w:pPr>
      <w:r>
        <w:rPr>
          <w:rFonts w:ascii="Times New Roman" w:cs="Times New Roman" w:eastAsia="Times New Roman" w:hAnsi="Times New Roman"/>
          <w:sz w:val="18"/>
          <w:szCs w:val="18"/>
          <w:color w:val="auto"/>
        </w:rPr>
        <w:t>As used in these condensed consolidated financial statements, unless otherwise specified or the context otherwise requires, the terms “BioXcel LLC” refers to the Company’s former parent and current significant stockholder, BioXcel LLC and, its predecessor, BioXcel Corporation. “OnkosXcel” refers to BTI’s wholly owned subsidiary for its advanced immuno-oncology assets, OnkosXcel Therapeutics, LLC.</w:t>
      </w:r>
    </w:p>
    <w:p>
      <w:pPr>
        <w:spacing w:after="0" w:line="139" w:lineRule="exact"/>
        <w:rPr>
          <w:sz w:val="20"/>
          <w:szCs w:val="20"/>
          <w:color w:val="auto"/>
        </w:rPr>
      </w:pPr>
    </w:p>
    <w:p>
      <w:pPr>
        <w:ind w:left="60" w:right="199" w:firstLine="324"/>
        <w:spacing w:after="0" w:line="201" w:lineRule="auto"/>
        <w:rPr>
          <w:sz w:val="20"/>
          <w:szCs w:val="20"/>
          <w:color w:val="auto"/>
        </w:rPr>
      </w:pPr>
      <w:r>
        <w:rPr>
          <w:rFonts w:ascii="Times New Roman" w:cs="Times New Roman" w:eastAsia="Times New Roman" w:hAnsi="Times New Roman"/>
          <w:sz w:val="18"/>
          <w:szCs w:val="18"/>
          <w:color w:val="auto"/>
        </w:rPr>
        <w:t>On April 6, 2022, BTI announced that the United States (“U.S.”) Food and Drug Administration (“FDA”) approved IGALMI</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(dexmedetomidine or “Dex”) sublingual film for the acute treatment of agitation associated with schizophrenia or bipolar I or II disorder in adults. IGALMI</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is approved to be self-administrated by patients under the supervision of a health care provider. On July 6, 2022, BTI announced that IGALMI</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was commercially available in doses of 120 and 180 micrograms.</w:t>
      </w:r>
    </w:p>
    <w:p>
      <w:pPr>
        <w:spacing w:after="0" w:line="171" w:lineRule="exact"/>
        <w:rPr>
          <w:sz w:val="20"/>
          <w:szCs w:val="20"/>
          <w:color w:val="auto"/>
        </w:rPr>
      </w:pPr>
    </w:p>
    <w:p>
      <w:pPr>
        <w:ind w:left="60" w:right="259" w:firstLine="324"/>
        <w:spacing w:after="0" w:line="224" w:lineRule="auto"/>
        <w:rPr>
          <w:sz w:val="20"/>
          <w:szCs w:val="20"/>
          <w:color w:val="auto"/>
        </w:rPr>
      </w:pPr>
      <w:r>
        <w:rPr>
          <w:rFonts w:ascii="Times New Roman" w:cs="Times New Roman" w:eastAsia="Times New Roman" w:hAnsi="Times New Roman"/>
          <w:sz w:val="18"/>
          <w:szCs w:val="18"/>
          <w:color w:val="auto"/>
        </w:rPr>
        <w:t>The Company’s most advanced neuroscience clinical development program is BXCL501. In indications other than those approved by the FDA as IGALMI</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BXCL501 is an investigational proprietary, orally dissolving, film formulation of Dex for the treatment of agitation associated with psychiatric and neurological disorders.</w:t>
      </w:r>
    </w:p>
    <w:p>
      <w:pPr>
        <w:spacing w:after="0" w:line="158" w:lineRule="exact"/>
        <w:rPr>
          <w:sz w:val="20"/>
          <w:szCs w:val="20"/>
          <w:color w:val="auto"/>
        </w:rPr>
      </w:pPr>
    </w:p>
    <w:p>
      <w:pPr>
        <w:ind w:left="60" w:right="319" w:firstLine="324"/>
        <w:spacing w:after="0" w:line="266" w:lineRule="auto"/>
        <w:rPr>
          <w:sz w:val="20"/>
          <w:szCs w:val="20"/>
          <w:color w:val="auto"/>
        </w:rPr>
      </w:pPr>
      <w:r>
        <w:rPr>
          <w:rFonts w:ascii="Times New Roman" w:cs="Times New Roman" w:eastAsia="Times New Roman" w:hAnsi="Times New Roman"/>
          <w:sz w:val="18"/>
          <w:szCs w:val="18"/>
          <w:color w:val="auto"/>
        </w:rPr>
        <w:t>The Company’s advanced immuno-oncology asset, BXCL701, is an investigational, orally administered systemic innate immune activator for the treatment of a rare form of prostate cancer and advanced solid tumors that are refractory or treatment naïve to checkpoint inhibitors.</w:t>
      </w:r>
    </w:p>
    <w:p>
      <w:pPr>
        <w:spacing w:after="0" w:line="135" w:lineRule="exact"/>
        <w:rPr>
          <w:sz w:val="20"/>
          <w:szCs w:val="20"/>
          <w:color w:val="auto"/>
        </w:rPr>
      </w:pPr>
    </w:p>
    <w:p>
      <w:pPr>
        <w:ind w:left="60" w:right="219" w:firstLine="324"/>
        <w:spacing w:after="0" w:line="282" w:lineRule="auto"/>
        <w:rPr>
          <w:sz w:val="20"/>
          <w:szCs w:val="20"/>
          <w:color w:val="auto"/>
        </w:rPr>
      </w:pPr>
      <w:r>
        <w:rPr>
          <w:rFonts w:ascii="Times New Roman" w:cs="Times New Roman" w:eastAsia="Times New Roman" w:hAnsi="Times New Roman"/>
          <w:sz w:val="18"/>
          <w:szCs w:val="18"/>
          <w:color w:val="auto"/>
        </w:rPr>
        <w:t>BTI was incorporated under the laws of the State of Delaware on March 29, 2017. The Company’s principal office is in New Haven, Connecticut.</w:t>
      </w:r>
    </w:p>
    <w:p>
      <w:pPr>
        <w:spacing w:after="0" w:line="1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2. Basis of Presentation</w:t>
      </w:r>
    </w:p>
    <w:p>
      <w:pPr>
        <w:spacing w:after="0" w:line="189" w:lineRule="exact"/>
        <w:rPr>
          <w:sz w:val="20"/>
          <w:szCs w:val="20"/>
          <w:color w:val="auto"/>
        </w:rPr>
      </w:pPr>
    </w:p>
    <w:p>
      <w:pPr>
        <w:ind w:left="60" w:right="179" w:firstLine="324"/>
        <w:spacing w:after="0" w:line="253" w:lineRule="auto"/>
        <w:rPr>
          <w:sz w:val="20"/>
          <w:szCs w:val="20"/>
          <w:color w:val="auto"/>
        </w:rPr>
      </w:pPr>
      <w:r>
        <w:rPr>
          <w:rFonts w:ascii="Times New Roman" w:cs="Times New Roman" w:eastAsia="Times New Roman" w:hAnsi="Times New Roman"/>
          <w:sz w:val="18"/>
          <w:szCs w:val="18"/>
          <w:color w:val="auto"/>
        </w:rPr>
        <w:t>The accompanying unaudited interim condensed consolidated financial statements do not include all the information and notes required by Generally Accepted Accounting Principles (“GAAP”) in the U.S. The accompanying year-end balance sheet was derived from audited financial statements but does not include all disclosures required by U.S. GAAP. The unaudited interim condensed consolidated financial statements have been prepared on the same basis as the audited annual financial statements and, in the opinion of management, reflect all adjustments, which include only normal recurring adjustments, necessary for the fair statement of the Company’s financial position as of March 31, 2025, the results of its operations for the three ended March 31, 2025 and 2024 and its cash flows for the three months ended March 31, 2025 and 2024. The results for the three months ended March 31, 2025 are not necessarily indicative of results to be expected for the year ending December 31, 2025, any other interim periods or any future year or period. The accompanying unaudited interim condensed consolidated financial statements of the Company should be read in</w:t>
      </w:r>
    </w:p>
    <w:p>
      <w:pPr>
        <w:spacing w:after="0" w:line="200" w:lineRule="exact"/>
        <w:rPr>
          <w:sz w:val="20"/>
          <w:szCs w:val="20"/>
          <w:color w:val="auto"/>
        </w:rPr>
      </w:pPr>
    </w:p>
    <w:p>
      <w:pPr>
        <w:spacing w:after="0" w:line="21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25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06415"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1" w:name="page12"/>
    <w:bookmarkEnd w:id="1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419"/>
        <w:spacing w:after="0" w:line="312" w:lineRule="auto"/>
        <w:rPr>
          <w:sz w:val="20"/>
          <w:szCs w:val="20"/>
          <w:color w:val="auto"/>
        </w:rPr>
      </w:pPr>
      <w:r>
        <w:rPr>
          <w:rFonts w:ascii="Times New Roman" w:cs="Times New Roman" w:eastAsia="Times New Roman" w:hAnsi="Times New Roman"/>
          <w:sz w:val="17"/>
          <w:szCs w:val="17"/>
          <w:color w:val="auto"/>
        </w:rPr>
        <w:t>conjunction with the audited financial statements and notes thereto included in the Company’s Annual Report on Form 10-K for the year ended December 31, 2024 filed with the Securities and Exchange Commission on March 28, 2025.</w:t>
      </w:r>
    </w:p>
    <w:p>
      <w:pPr>
        <w:spacing w:after="0" w:line="113" w:lineRule="exact"/>
        <w:rPr>
          <w:sz w:val="20"/>
          <w:szCs w:val="20"/>
          <w:color w:val="auto"/>
        </w:rPr>
      </w:pPr>
    </w:p>
    <w:p>
      <w:pPr>
        <w:ind w:left="60" w:right="159" w:firstLine="324"/>
        <w:spacing w:after="0" w:line="266" w:lineRule="auto"/>
        <w:rPr>
          <w:sz w:val="20"/>
          <w:szCs w:val="20"/>
          <w:color w:val="auto"/>
        </w:rPr>
      </w:pPr>
      <w:r>
        <w:rPr>
          <w:rFonts w:ascii="Times New Roman" w:cs="Times New Roman" w:eastAsia="Times New Roman" w:hAnsi="Times New Roman"/>
          <w:sz w:val="18"/>
          <w:szCs w:val="18"/>
          <w:color w:val="auto"/>
        </w:rPr>
        <w:t>The accompanying condensed consolidated financial statements include the accounts for the Company and all entities where BTI has a controlling financial interest after elimination of all intercompany accounts and transactions and have been prepared in conformity with U.S. GAAP.</w:t>
      </w:r>
    </w:p>
    <w:p>
      <w:pPr>
        <w:spacing w:after="0" w:line="13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As of March 31, 2025, the Company had cash and cash equivalents of $31,013 and an accumulated deficit of</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$657,451. BTI has incurred substantial net losses and negative cash flows from operating activities in nearly every fiscal</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period since inception and expects this trend to continue for the foreseeable future. The Company recognized net losses of</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color w:val="auto"/>
        </w:rPr>
        <w:t>$7,254 and $26,791 for the three months ended March 31, 2025 and 2024, respectively, and had net cash used in operating</w:t>
      </w:r>
    </w:p>
    <w:p>
      <w:pPr>
        <w:spacing w:after="0" w:line="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activities of $12,043 and $17,706 for the three months ended March, 2025 and 2024, respectively.</w:t>
      </w:r>
    </w:p>
    <w:p>
      <w:pPr>
        <w:spacing w:after="0" w:line="166" w:lineRule="exact"/>
        <w:rPr>
          <w:sz w:val="20"/>
          <w:szCs w:val="20"/>
          <w:color w:val="auto"/>
        </w:rPr>
      </w:pPr>
    </w:p>
    <w:p>
      <w:pPr>
        <w:jc w:val="both"/>
        <w:ind w:left="60" w:right="379" w:firstLine="324"/>
        <w:spacing w:after="0" w:line="271" w:lineRule="auto"/>
        <w:rPr>
          <w:sz w:val="20"/>
          <w:szCs w:val="20"/>
          <w:color w:val="auto"/>
        </w:rPr>
      </w:pPr>
      <w:r>
        <w:rPr>
          <w:rFonts w:ascii="Times New Roman" w:cs="Times New Roman" w:eastAsia="Times New Roman" w:hAnsi="Times New Roman"/>
          <w:sz w:val="18"/>
          <w:szCs w:val="18"/>
          <w:color w:val="auto"/>
        </w:rPr>
        <w:t>Under ASC Topic 205-40, Presentation of Financial Statements - Going Concern, management is required at each reporting period to evaluate whether there are conditions and events, considered in the aggregate, that raise substantial doubt about an entity’s ability to continue as a going concern within one year after the date that the financial statements are issued.</w:t>
      </w:r>
    </w:p>
    <w:p>
      <w:pPr>
        <w:spacing w:after="0" w:line="118" w:lineRule="exact"/>
        <w:rPr>
          <w:sz w:val="20"/>
          <w:szCs w:val="20"/>
          <w:color w:val="auto"/>
        </w:rPr>
      </w:pPr>
    </w:p>
    <w:p>
      <w:pPr>
        <w:ind w:left="60" w:right="179" w:firstLine="324"/>
        <w:spacing w:after="0" w:line="284" w:lineRule="auto"/>
        <w:rPr>
          <w:sz w:val="20"/>
          <w:szCs w:val="20"/>
          <w:color w:val="auto"/>
        </w:rPr>
      </w:pPr>
      <w:r>
        <w:rPr>
          <w:rFonts w:ascii="Times New Roman" w:cs="Times New Roman" w:eastAsia="Times New Roman" w:hAnsi="Times New Roman"/>
          <w:sz w:val="17"/>
          <w:szCs w:val="17"/>
          <w:color w:val="auto"/>
        </w:rPr>
        <w:t xml:space="preserve">The Company’s history of significant losses, its negative cash flows from operations, potential near-term increased covenant-driven amortization payments under its Credit Agreement (as defined in Note 9, </w:t>
      </w:r>
      <w:r>
        <w:rPr>
          <w:rFonts w:ascii="Times New Roman" w:cs="Times New Roman" w:eastAsia="Times New Roman" w:hAnsi="Times New Roman"/>
          <w:sz w:val="17"/>
          <w:szCs w:val="17"/>
          <w:i w:val="1"/>
          <w:iCs w:val="1"/>
          <w:color w:val="auto"/>
        </w:rPr>
        <w:t>Debt and Credit Facilities</w:t>
      </w:r>
      <w:r>
        <w:rPr>
          <w:rFonts w:ascii="Times New Roman" w:cs="Times New Roman" w:eastAsia="Times New Roman" w:hAnsi="Times New Roman"/>
          <w:sz w:val="17"/>
          <w:szCs w:val="17"/>
          <w:color w:val="auto"/>
        </w:rPr>
        <w:t>), its limited liquidity resources currently on hand, and its dependence on its ability to obtain additional financing to fund its operations after the current resources are exhausted, about which there can be no certainty, have resulted in management’s assessment that there is substantial doubt about the Company’s ability to continue as a going concern for a period of at least 12 months from the issuance date of the financial statements included in this Quarterly Report on Form 10-Q.</w:t>
      </w:r>
    </w:p>
    <w:p>
      <w:pPr>
        <w:spacing w:after="0" w:line="97" w:lineRule="exact"/>
        <w:rPr>
          <w:sz w:val="20"/>
          <w:szCs w:val="20"/>
          <w:color w:val="auto"/>
        </w:rPr>
      </w:pPr>
    </w:p>
    <w:p>
      <w:pPr>
        <w:ind w:left="60" w:right="239" w:firstLine="324"/>
        <w:spacing w:after="0" w:line="264" w:lineRule="auto"/>
        <w:rPr>
          <w:sz w:val="20"/>
          <w:szCs w:val="20"/>
          <w:color w:val="auto"/>
        </w:rPr>
      </w:pPr>
      <w:r>
        <w:rPr>
          <w:rFonts w:ascii="Times New Roman" w:cs="Times New Roman" w:eastAsia="Times New Roman" w:hAnsi="Times New Roman"/>
          <w:sz w:val="18"/>
          <w:szCs w:val="18"/>
          <w:color w:val="auto"/>
        </w:rPr>
        <w:t xml:space="preserve">This going concern evaluation takes into consideration the potential mitigating effect of management’s Reprioritization (as defined in Note 4, </w:t>
      </w:r>
      <w:r>
        <w:rPr>
          <w:rFonts w:ascii="Times New Roman" w:cs="Times New Roman" w:eastAsia="Times New Roman" w:hAnsi="Times New Roman"/>
          <w:sz w:val="18"/>
          <w:szCs w:val="18"/>
          <w:i w:val="1"/>
          <w:iCs w:val="1"/>
          <w:color w:val="auto"/>
        </w:rPr>
        <w:t>Restructuring</w:t>
      </w:r>
      <w:r>
        <w:rPr>
          <w:rFonts w:ascii="Times New Roman" w:cs="Times New Roman" w:eastAsia="Times New Roman" w:hAnsi="Times New Roman"/>
          <w:sz w:val="18"/>
          <w:szCs w:val="18"/>
          <w:color w:val="auto"/>
        </w:rPr>
        <w:t>). When substantial doubt exists, management evaluates whether the mitigating effect of its plans sufficiently alleviates the substantial doubt about the Company’s ability to continue as a going concern. The mitigating effect of management’s plans, however, is only considered if both (i) it is probable that the plans will be effectively implemented within one year after the date that the financial statements are issued and (ii) it is probable that the plans, when implemented, will mitigate the relevant conditions or events that raise substantial doubt about the entity’s ability to continue as a going concern within one year after the date that the financial statements are issued. Generally, to be considered probable of being effectively implemented, the plans need to be approved by the Company’s Board of Directors. The Company’s Reprioritization was approved by the Board of Directors on August 8, 2023; however, such plans, including the additional restructuring actions taken in the second and third quarters of 2024, will not mitigate the entity’s ability to continue as a going concern within one year after the date that the financial statements are issued.</w:t>
      </w:r>
    </w:p>
    <w:p>
      <w:pPr>
        <w:spacing w:after="0" w:line="116" w:lineRule="exact"/>
        <w:rPr>
          <w:sz w:val="20"/>
          <w:szCs w:val="20"/>
          <w:color w:val="auto"/>
        </w:rPr>
      </w:pPr>
    </w:p>
    <w:p>
      <w:pPr>
        <w:ind w:left="60" w:right="239" w:firstLine="324"/>
        <w:spacing w:after="0" w:line="258" w:lineRule="auto"/>
        <w:rPr>
          <w:sz w:val="20"/>
          <w:szCs w:val="20"/>
          <w:color w:val="auto"/>
        </w:rPr>
      </w:pPr>
      <w:r>
        <w:rPr>
          <w:rFonts w:ascii="Times New Roman" w:cs="Times New Roman" w:eastAsia="Times New Roman" w:hAnsi="Times New Roman"/>
          <w:sz w:val="18"/>
          <w:szCs w:val="18"/>
          <w:color w:val="auto"/>
        </w:rPr>
        <w:t xml:space="preserve">The accompanying condensed consolidated financial statements have been prepared on a going concern basis, which contemplates the realization of assets and the satisfaction of liabilities in the normal course of business and does not include any adjustments that may result from the outcome of this uncertainty. The going concern analysis does not consider possible future amendments to or restructuring of the Credit Agreement (as defined in Note 9, </w:t>
      </w:r>
      <w:r>
        <w:rPr>
          <w:rFonts w:ascii="Times New Roman" w:cs="Times New Roman" w:eastAsia="Times New Roman" w:hAnsi="Times New Roman"/>
          <w:sz w:val="18"/>
          <w:szCs w:val="18"/>
          <w:i w:val="1"/>
          <w:iCs w:val="1"/>
          <w:color w:val="auto"/>
        </w:rPr>
        <w:t>Debt and Credit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Facilities</w:t>
      </w:r>
      <w:r>
        <w:rPr>
          <w:rFonts w:ascii="Times New Roman" w:cs="Times New Roman" w:eastAsia="Times New Roman" w:hAnsi="Times New Roman"/>
          <w:sz w:val="18"/>
          <w:szCs w:val="18"/>
          <w:color w:val="auto"/>
        </w:rPr>
        <w:t>) or other potential sources of debt or equity capital.</w:t>
      </w:r>
    </w:p>
    <w:p>
      <w:pPr>
        <w:spacing w:after="0" w:line="143" w:lineRule="exact"/>
        <w:rPr>
          <w:sz w:val="20"/>
          <w:szCs w:val="20"/>
          <w:color w:val="auto"/>
        </w:rPr>
      </w:pPr>
    </w:p>
    <w:p>
      <w:pPr>
        <w:ind w:left="60" w:right="299" w:firstLine="324"/>
        <w:spacing w:after="0" w:line="270" w:lineRule="auto"/>
        <w:rPr>
          <w:sz w:val="20"/>
          <w:szCs w:val="20"/>
          <w:color w:val="auto"/>
        </w:rPr>
      </w:pPr>
      <w:r>
        <w:rPr>
          <w:rFonts w:ascii="Times New Roman" w:cs="Times New Roman" w:eastAsia="Times New Roman" w:hAnsi="Times New Roman"/>
          <w:sz w:val="18"/>
          <w:szCs w:val="18"/>
          <w:color w:val="auto"/>
        </w:rPr>
        <w:t>Successful completion of the Company’s development programs and, ultimately, the attainment of profitable operations are dependent upon future events, including obtaining adequate financing to support the Company’s cost structure and operating plan. Management’s plans to improve the Company’s liquidity and reduce its operating expenses and capital requirements include, among other actions, pursuing one or more of the following steps to raise additional capital, none of which can be guaranteed or are entirely within the Company’s control:</w:t>
      </w:r>
    </w:p>
    <w:p>
      <w:pPr>
        <w:spacing w:after="0" w:line="105" w:lineRule="exact"/>
        <w:rPr>
          <w:sz w:val="20"/>
          <w:szCs w:val="20"/>
          <w:color w:val="auto"/>
        </w:rPr>
      </w:pPr>
    </w:p>
    <w:p>
      <w:pPr>
        <w:ind w:left="720" w:hanging="319"/>
        <w:spacing w:after="0"/>
        <w:tabs>
          <w:tab w:leader="none" w:pos="7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raise funding through the sale of the Company’s equity securities;</w:t>
      </w:r>
    </w:p>
    <w:p>
      <w:pPr>
        <w:spacing w:after="0" w:line="27"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raise funding through third-party investments in or other strategic options for OnkosXcel;</w:t>
      </w:r>
    </w:p>
    <w:p>
      <w:pPr>
        <w:spacing w:after="0" w:line="22"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raise funding through debt financing and/or restructuring of its existing Credit Agreement;</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5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06415"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2" w:name="page13"/>
    <w:bookmarkEnd w:id="1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20" w:hanging="319"/>
        <w:spacing w:after="0"/>
        <w:tabs>
          <w:tab w:leader="none" w:pos="7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collaborations with potential partners to advance the Company’s product pipeline;</w:t>
      </w:r>
    </w:p>
    <w:p>
      <w:pPr>
        <w:spacing w:after="0" w:line="27"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collaborations with potential marketing partners;</w:t>
      </w:r>
    </w:p>
    <w:p>
      <w:pPr>
        <w:spacing w:after="0" w:line="22"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overhead and headcount to focus on core priorities; and/or</w:t>
      </w:r>
    </w:p>
    <w:p>
      <w:pPr>
        <w:spacing w:after="0" w:line="22"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combination of the foregoing.</w:t>
      </w:r>
    </w:p>
    <w:p>
      <w:pPr>
        <w:spacing w:after="0" w:line="247" w:lineRule="exact"/>
        <w:rPr>
          <w:sz w:val="20"/>
          <w:szCs w:val="20"/>
          <w:color w:val="auto"/>
        </w:rPr>
      </w:pPr>
    </w:p>
    <w:p>
      <w:pPr>
        <w:ind w:left="60" w:right="139" w:firstLine="324"/>
        <w:spacing w:after="0" w:line="270" w:lineRule="auto"/>
        <w:rPr>
          <w:sz w:val="20"/>
          <w:szCs w:val="20"/>
          <w:color w:val="auto"/>
        </w:rPr>
      </w:pPr>
      <w:r>
        <w:rPr>
          <w:rFonts w:ascii="Times New Roman" w:cs="Times New Roman" w:eastAsia="Times New Roman" w:hAnsi="Times New Roman"/>
          <w:sz w:val="18"/>
          <w:szCs w:val="18"/>
          <w:color w:val="auto"/>
        </w:rPr>
        <w:t>If the Company is unable to raise capital when needed or on acceptable terms, or if it is unable to procure collaboration arrangements to advance its programs, the Company would be forced to discontinue some of its operations or develop and implement a plan, beyond its Reprioritization initiatives, to further extend payables, reduce overhead, scale back or cease some or all of its revised operating plan until sufficient additional capital is raised to support further operations.</w:t>
      </w:r>
    </w:p>
    <w:p>
      <w:pPr>
        <w:spacing w:after="0" w:line="18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3. Summary of Significant Accounting Policies</w:t>
      </w:r>
    </w:p>
    <w:p>
      <w:pPr>
        <w:spacing w:after="0" w:line="18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202" w:lineRule="exact"/>
        <w:rPr>
          <w:sz w:val="20"/>
          <w:szCs w:val="20"/>
          <w:color w:val="auto"/>
        </w:rPr>
      </w:pPr>
    </w:p>
    <w:p>
      <w:pPr>
        <w:ind w:left="60" w:right="199" w:firstLine="324"/>
        <w:spacing w:after="0" w:line="277" w:lineRule="auto"/>
        <w:rPr>
          <w:sz w:val="20"/>
          <w:szCs w:val="20"/>
          <w:color w:val="auto"/>
        </w:rPr>
      </w:pPr>
      <w:r>
        <w:rPr>
          <w:rFonts w:ascii="Times New Roman" w:cs="Times New Roman" w:eastAsia="Times New Roman" w:hAnsi="Times New Roman"/>
          <w:sz w:val="17"/>
          <w:szCs w:val="17"/>
          <w:color w:val="auto"/>
        </w:rPr>
        <w:t>The preparation of financial statements in accordance with U.S. GAAP requires management to make estimates and assumptions that affect amounts reported in the condensed consolidated financial statements and notes thereto. Estimates are used in the following areas, among others: revenue recognition, derivative liabilities, stock-based compensation expense, accrued expenses and income taxes. Although these estimates are based on the Company’s knowledge of current events and actions it may undertake in the future, actual results may ultimately materially differ from these estimates.</w:t>
      </w:r>
    </w:p>
    <w:p>
      <w:pPr>
        <w:spacing w:after="0" w:line="12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Significant Accounting Policies</w:t>
      </w:r>
    </w:p>
    <w:p>
      <w:pPr>
        <w:spacing w:after="0" w:line="229" w:lineRule="exact"/>
        <w:rPr>
          <w:sz w:val="20"/>
          <w:szCs w:val="20"/>
          <w:color w:val="auto"/>
        </w:rPr>
      </w:pPr>
    </w:p>
    <w:p>
      <w:pPr>
        <w:jc w:val="both"/>
        <w:ind w:left="60" w:right="559" w:firstLine="324"/>
        <w:spacing w:after="0" w:line="266" w:lineRule="auto"/>
        <w:rPr>
          <w:sz w:val="20"/>
          <w:szCs w:val="20"/>
          <w:color w:val="auto"/>
        </w:rPr>
      </w:pPr>
      <w:r>
        <w:rPr>
          <w:rFonts w:ascii="Times New Roman" w:cs="Times New Roman" w:eastAsia="Times New Roman" w:hAnsi="Times New Roman"/>
          <w:sz w:val="18"/>
          <w:szCs w:val="18"/>
          <w:color w:val="auto"/>
        </w:rPr>
        <w:t>There have been no material changes to the significant accounting policies previously disclosed in Note 3 to the Consolidated Financial Statements in the Company’s Annual Report on Form 10-K for the year ended December 31, 2024.</w:t>
      </w:r>
    </w:p>
    <w:p>
      <w:pPr>
        <w:spacing w:after="0" w:line="17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8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Recently adopted accounting pronouncements</w:t>
      </w:r>
    </w:p>
    <w:p>
      <w:pPr>
        <w:spacing w:after="0" w:line="202" w:lineRule="exact"/>
        <w:rPr>
          <w:sz w:val="20"/>
          <w:szCs w:val="20"/>
          <w:color w:val="auto"/>
        </w:rPr>
      </w:pPr>
    </w:p>
    <w:p>
      <w:pPr>
        <w:ind w:left="60" w:right="239" w:firstLine="324"/>
        <w:spacing w:after="0" w:line="258" w:lineRule="auto"/>
        <w:rPr>
          <w:sz w:val="20"/>
          <w:szCs w:val="20"/>
          <w:color w:val="auto"/>
        </w:rPr>
      </w:pPr>
      <w:r>
        <w:rPr>
          <w:rFonts w:ascii="Times New Roman" w:cs="Times New Roman" w:eastAsia="Times New Roman" w:hAnsi="Times New Roman"/>
          <w:sz w:val="18"/>
          <w:szCs w:val="18"/>
          <w:color w:val="auto"/>
        </w:rPr>
        <w:t xml:space="preserve">In November 2023, the FASB issued ASU 2023-07, Segment reporting, which requires disclosure of incremental segment information on an annual and interim basis. The standard is effective for years beginning after December 15, 2023, and interim periods beginning after December 15, 2024 and early adoption is permitted. The Company adopted the new standard in fiscal year 2024 for annual and retrospective reporting periods with all interim disclosures beginning in the first quarter of fiscal year 2025. For additional information, see Note 17, </w:t>
      </w:r>
      <w:r>
        <w:rPr>
          <w:rFonts w:ascii="Times New Roman" w:cs="Times New Roman" w:eastAsia="Times New Roman" w:hAnsi="Times New Roman"/>
          <w:sz w:val="18"/>
          <w:szCs w:val="18"/>
          <w:i w:val="1"/>
          <w:iCs w:val="1"/>
          <w:color w:val="auto"/>
        </w:rPr>
        <w:t>Segment Information</w:t>
      </w:r>
      <w:r>
        <w:rPr>
          <w:rFonts w:ascii="Times New Roman" w:cs="Times New Roman" w:eastAsia="Times New Roman" w:hAnsi="Times New Roman"/>
          <w:sz w:val="18"/>
          <w:szCs w:val="18"/>
          <w:color w:val="auto"/>
        </w:rPr>
        <w:t>.</w:t>
      </w:r>
    </w:p>
    <w:p>
      <w:pPr>
        <w:spacing w:after="0" w:line="143" w:lineRule="exact"/>
        <w:rPr>
          <w:sz w:val="20"/>
          <w:szCs w:val="20"/>
          <w:color w:val="auto"/>
        </w:rPr>
      </w:pPr>
    </w:p>
    <w:p>
      <w:pPr>
        <w:ind w:left="60" w:right="299" w:firstLine="324"/>
        <w:spacing w:after="0" w:line="256" w:lineRule="auto"/>
        <w:rPr>
          <w:sz w:val="20"/>
          <w:szCs w:val="20"/>
          <w:color w:val="auto"/>
        </w:rPr>
      </w:pPr>
      <w:r>
        <w:rPr>
          <w:rFonts w:ascii="Times New Roman" w:cs="Times New Roman" w:eastAsia="Times New Roman" w:hAnsi="Times New Roman"/>
          <w:sz w:val="18"/>
          <w:szCs w:val="18"/>
          <w:color w:val="auto"/>
        </w:rPr>
        <w:t>In March 2024, the FASB issued ASU 2024-01, Compensation – Stock Compensation (Topic 718) – Scope application of profit interest and similar awards, which clarifies how an entity determines whether a profits interest or similar award is within the scope of Topic 718 or if it is not a share-based payment arrangement and therefore within the scope of other guidance. ASU 2024-01 is effective for annual periods beginning after December 15, 2024, and interim periods within those annual periods. The adoption of this guidance did not have a significant impact on our financial statements, and the Company does not expect this guidance to have a material impact prospectively.</w:t>
      </w:r>
    </w:p>
    <w:p>
      <w:pPr>
        <w:spacing w:after="0" w:line="18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Accounting Pronouncements effective in future periods</w:t>
      </w:r>
    </w:p>
    <w:p>
      <w:pPr>
        <w:spacing w:after="0" w:line="189" w:lineRule="exact"/>
        <w:rPr>
          <w:sz w:val="20"/>
          <w:szCs w:val="20"/>
          <w:color w:val="auto"/>
        </w:rPr>
      </w:pPr>
    </w:p>
    <w:p>
      <w:pPr>
        <w:ind w:left="60" w:right="239" w:firstLine="324"/>
        <w:spacing w:after="0" w:line="258" w:lineRule="auto"/>
        <w:rPr>
          <w:sz w:val="20"/>
          <w:szCs w:val="20"/>
          <w:color w:val="auto"/>
        </w:rPr>
      </w:pPr>
      <w:r>
        <w:rPr>
          <w:rFonts w:ascii="Times New Roman" w:cs="Times New Roman" w:eastAsia="Times New Roman" w:hAnsi="Times New Roman"/>
          <w:sz w:val="18"/>
          <w:szCs w:val="18"/>
          <w:color w:val="auto"/>
        </w:rPr>
        <w:t>In December 2023, the FASB issued ASU 2023-09, Improvements to income tax disclosures, which requires disclosure of disaggregated income taxes paid by jurisdiction, enhances disclosures in the effective tax rate reconciliation and modifies other income tax-related disclosures. The amendments are effective for annual periods beginning after December 15, 2024. The Company is currently evaluating the effect of adopting this guidance on its condensed consolidated financial statements.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254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06415"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3" w:name="page14"/>
    <w:bookmarkEnd w:id="1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19" w:firstLine="324"/>
        <w:spacing w:after="0" w:line="258" w:lineRule="auto"/>
        <w:rPr>
          <w:sz w:val="20"/>
          <w:szCs w:val="20"/>
          <w:color w:val="auto"/>
        </w:rPr>
      </w:pPr>
      <w:r>
        <w:rPr>
          <w:rFonts w:ascii="Times New Roman" w:cs="Times New Roman" w:eastAsia="Times New Roman" w:hAnsi="Times New Roman"/>
          <w:sz w:val="18"/>
          <w:szCs w:val="18"/>
          <w:color w:val="auto"/>
        </w:rPr>
        <w:t>In November 2024, the FASB issued ASU 2024-03, Income statement-reporting comprehensive income-expense disaggregation disclosures, which requires public entities to disclose specified information about certain costs and expenses. ASU 2024-03 is effective for annual periods beginning after December 15, 2026 and interim reporting periods beginning after December 15, 2027, with early adoption permitted. The Company is evaluating the effect of adopting this guidance on its condensed consolidated financial statements.</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4. Restructuring</w:t>
      </w:r>
    </w:p>
    <w:p>
      <w:pPr>
        <w:spacing w:after="0" w:line="202" w:lineRule="exact"/>
        <w:rPr>
          <w:sz w:val="20"/>
          <w:szCs w:val="20"/>
          <w:color w:val="auto"/>
        </w:rPr>
      </w:pPr>
    </w:p>
    <w:p>
      <w:pPr>
        <w:ind w:left="60" w:right="239" w:firstLine="324"/>
        <w:spacing w:after="0" w:line="266" w:lineRule="auto"/>
        <w:rPr>
          <w:sz w:val="20"/>
          <w:szCs w:val="20"/>
          <w:color w:val="auto"/>
        </w:rPr>
      </w:pPr>
      <w:r>
        <w:rPr>
          <w:rFonts w:ascii="Times New Roman" w:cs="Times New Roman" w:eastAsia="Times New Roman" w:hAnsi="Times New Roman"/>
          <w:sz w:val="18"/>
          <w:szCs w:val="18"/>
          <w:color w:val="auto"/>
        </w:rPr>
        <w:t>On May 8, 2024, the Company took actions as part of its continued efforts to preserve cash and prioritize investment in its core clinical programs. The Company reduced its workforce by approximately 15% and notified impacted employees on May 8, 2024. All related restructuring costs were paid in the second quarter of 2024.</w:t>
      </w:r>
    </w:p>
    <w:p>
      <w:pPr>
        <w:spacing w:after="0" w:line="176" w:lineRule="exact"/>
        <w:rPr>
          <w:sz w:val="20"/>
          <w:szCs w:val="20"/>
          <w:color w:val="auto"/>
        </w:rPr>
      </w:pPr>
    </w:p>
    <w:p>
      <w:pPr>
        <w:ind w:left="60" w:right="319" w:firstLine="324"/>
        <w:spacing w:after="0" w:line="258" w:lineRule="auto"/>
        <w:rPr>
          <w:sz w:val="20"/>
          <w:szCs w:val="20"/>
          <w:color w:val="auto"/>
        </w:rPr>
      </w:pPr>
      <w:r>
        <w:rPr>
          <w:rFonts w:ascii="Times New Roman" w:cs="Times New Roman" w:eastAsia="Times New Roman" w:hAnsi="Times New Roman"/>
          <w:sz w:val="18"/>
          <w:szCs w:val="18"/>
          <w:color w:val="auto"/>
        </w:rPr>
        <w:t>On September 17, 2024, the Company reduced its workforce by an additional 28% to extend its cash runway and prioritize clinical development of BXCL501. The Company completed the Clinical Prioritization in October 2024, paid $475 of the related costs during the first quarter of 2025, and expects to pay approximately $128, the remaining costs, in the second quarter of 2025, which are included in Accrued Expenses on the Condensed Consolidated Balance at March 31, 2025.</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5. Inventory</w:t>
      </w:r>
    </w:p>
    <w:p>
      <w:pPr>
        <w:spacing w:after="0" w:line="18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Inventory consists of the following:</w:t>
      </w:r>
    </w:p>
    <w:p>
      <w:pPr>
        <w:spacing w:after="0" w:line="259"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59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3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9"/>
        </w:trPr>
        <w:tc>
          <w:tcPr>
            <w:tcW w:w="5900" w:type="dxa"/>
            <w:vAlign w:val="bottom"/>
          </w:tcPr>
          <w:p>
            <w:pPr>
              <w:spacing w:after="0"/>
              <w:rPr>
                <w:sz w:val="17"/>
                <w:szCs w:val="17"/>
                <w:color w:val="auto"/>
              </w:rPr>
            </w:pPr>
          </w:p>
        </w:tc>
        <w:tc>
          <w:tcPr>
            <w:tcW w:w="980" w:type="dxa"/>
            <w:vAlign w:val="bottom"/>
            <w:tcBorders>
              <w:bottom w:val="single" w:sz="8" w:color="auto"/>
            </w:tcBorders>
          </w:tcPr>
          <w:p>
            <w:pPr>
              <w:jc w:val="right"/>
              <w:ind w:right="102"/>
              <w:spacing w:after="0"/>
              <w:rPr>
                <w:sz w:val="20"/>
                <w:szCs w:val="20"/>
                <w:color w:val="auto"/>
              </w:rPr>
            </w:pPr>
            <w:r>
              <w:rPr>
                <w:rFonts w:ascii="Times New Roman" w:cs="Times New Roman" w:eastAsia="Times New Roman" w:hAnsi="Times New Roman"/>
                <w:sz w:val="14"/>
                <w:szCs w:val="14"/>
                <w:b w:val="1"/>
                <w:bCs w:val="1"/>
                <w:color w:val="auto"/>
              </w:rPr>
              <w:t>2025</w:t>
            </w:r>
          </w:p>
        </w:tc>
        <w:tc>
          <w:tcPr>
            <w:tcW w:w="340" w:type="dxa"/>
            <w:vAlign w:val="bottom"/>
            <w:tcBorders>
              <w:bottom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10"/>
        </w:trPr>
        <w:tc>
          <w:tcPr>
            <w:tcW w:w="59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6"/>
        </w:trPr>
        <w:tc>
          <w:tcPr>
            <w:tcW w:w="5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Raw materials</w:t>
            </w:r>
          </w:p>
        </w:tc>
        <w:tc>
          <w:tcPr>
            <w:tcW w:w="980" w:type="dxa"/>
            <w:vAlign w:val="bottom"/>
            <w:shd w:val="clear" w:color="auto" w:fill="CCEEFF"/>
          </w:tcPr>
          <w:p>
            <w:pPr>
              <w:jc w:val="right"/>
              <w:ind w:right="822"/>
              <w:spacing w:after="0"/>
              <w:rPr>
                <w:sz w:val="20"/>
                <w:szCs w:val="20"/>
                <w:color w:val="auto"/>
              </w:rPr>
            </w:pPr>
            <w:r>
              <w:rPr>
                <w:rFonts w:ascii="Times New Roman" w:cs="Times New Roman" w:eastAsia="Times New Roman" w:hAnsi="Times New Roman"/>
                <w:sz w:val="17"/>
                <w:szCs w:val="17"/>
                <w:color w:val="auto"/>
                <w:w w:val="70"/>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464</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w:t>
            </w:r>
          </w:p>
        </w:tc>
      </w:tr>
      <w:tr>
        <w:trPr>
          <w:trHeight w:val="216"/>
        </w:trPr>
        <w:tc>
          <w:tcPr>
            <w:tcW w:w="5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Work-in-process</w:t>
            </w:r>
          </w:p>
        </w:tc>
        <w:tc>
          <w:tcPr>
            <w:tcW w:w="980" w:type="dxa"/>
            <w:vAlign w:val="bottom"/>
          </w:tcPr>
          <w:p>
            <w:pPr>
              <w:spacing w:after="0"/>
              <w:rPr>
                <w:sz w:val="18"/>
                <w:szCs w:val="18"/>
                <w:color w:val="auto"/>
              </w:rPr>
            </w:pPr>
          </w:p>
        </w:tc>
        <w:tc>
          <w:tcPr>
            <w:tcW w:w="6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Finished goods</w:t>
            </w:r>
          </w:p>
        </w:tc>
        <w:tc>
          <w:tcPr>
            <w:tcW w:w="98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178</w:t>
            </w:r>
          </w:p>
        </w:tc>
        <w:tc>
          <w:tcPr>
            <w:tcW w:w="2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w:t>
            </w:r>
          </w:p>
        </w:tc>
      </w:tr>
      <w:tr>
        <w:trPr>
          <w:trHeight w:val="210"/>
        </w:trPr>
        <w:tc>
          <w:tcPr>
            <w:tcW w:w="59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inventory</w:t>
            </w:r>
          </w:p>
        </w:tc>
        <w:tc>
          <w:tcPr>
            <w:tcW w:w="980" w:type="dxa"/>
            <w:vAlign w:val="bottom"/>
            <w:tcBorders>
              <w:bottom w:val="single" w:sz="8" w:color="auto"/>
            </w:tcBorders>
          </w:tcPr>
          <w:p>
            <w:pPr>
              <w:jc w:val="right"/>
              <w:ind w:right="822"/>
              <w:spacing w:after="0"/>
              <w:rPr>
                <w:sz w:val="20"/>
                <w:szCs w:val="20"/>
                <w:color w:val="auto"/>
              </w:rPr>
            </w:pPr>
            <w:r>
              <w:rPr>
                <w:rFonts w:ascii="Times New Roman" w:cs="Times New Roman" w:eastAsia="Times New Roman" w:hAnsi="Times New Roman"/>
                <w:sz w:val="17"/>
                <w:szCs w:val="17"/>
                <w:color w:val="auto"/>
                <w:w w:val="70"/>
              </w:rPr>
              <w:t>$</w:t>
            </w: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642</w:t>
            </w:r>
          </w:p>
        </w:tc>
        <w:tc>
          <w:tcPr>
            <w:tcW w:w="26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679</w:t>
            </w:r>
          </w:p>
        </w:tc>
      </w:tr>
      <w:tr>
        <w:trPr>
          <w:trHeight w:val="20"/>
        </w:trPr>
        <w:tc>
          <w:tcPr>
            <w:tcW w:w="59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0" w:right="319" w:firstLine="324"/>
        <w:spacing w:after="0" w:line="282" w:lineRule="auto"/>
        <w:rPr>
          <w:sz w:val="20"/>
          <w:szCs w:val="20"/>
          <w:color w:val="auto"/>
        </w:rPr>
      </w:pPr>
      <w:r>
        <w:rPr>
          <w:rFonts w:ascii="Times New Roman" w:cs="Times New Roman" w:eastAsia="Times New Roman" w:hAnsi="Times New Roman"/>
          <w:sz w:val="18"/>
          <w:szCs w:val="18"/>
          <w:color w:val="auto"/>
        </w:rPr>
        <w:t>The Company recorded inventory write-downs of $0 and $45 for the three months ended March 31, 2025 and 2024, respectively.</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6. Property and Equipment, Net</w:t>
      </w:r>
    </w:p>
    <w:p>
      <w:pPr>
        <w:spacing w:after="0" w:line="20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Property and equipment, net consists of the following:</w:t>
      </w:r>
    </w:p>
    <w:p>
      <w:pPr>
        <w:spacing w:after="0" w:line="179"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0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0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60" w:type="dxa"/>
            <w:vAlign w:val="bottom"/>
          </w:tcPr>
          <w:p>
            <w:pPr>
              <w:spacing w:after="0"/>
              <w:rPr>
                <w:sz w:val="13"/>
                <w:szCs w:val="13"/>
                <w:color w:val="auto"/>
              </w:rPr>
            </w:pPr>
          </w:p>
        </w:tc>
        <w:tc>
          <w:tcPr>
            <w:tcW w:w="1120" w:type="dxa"/>
            <w:vAlign w:val="bottom"/>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606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42"/>
        </w:trPr>
        <w:tc>
          <w:tcPr>
            <w:tcW w:w="60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tcPr>
          <w:p>
            <w:pPr>
              <w:spacing w:after="0"/>
              <w:rPr>
                <w:sz w:val="12"/>
                <w:szCs w:val="12"/>
                <w:color w:val="auto"/>
              </w:rPr>
            </w:pPr>
          </w:p>
        </w:tc>
      </w:tr>
      <w:tr>
        <w:trPr>
          <w:trHeight w:val="216"/>
        </w:trPr>
        <w:tc>
          <w:tcPr>
            <w:tcW w:w="6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Computers and equipment</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w:t>
            </w:r>
          </w:p>
        </w:tc>
      </w:tr>
      <w:tr>
        <w:trPr>
          <w:trHeight w:val="216"/>
        </w:trPr>
        <w:tc>
          <w:tcPr>
            <w:tcW w:w="6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Furniture</w:t>
            </w: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575</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575</w:t>
            </w:r>
          </w:p>
        </w:tc>
      </w:tr>
      <w:tr>
        <w:trPr>
          <w:trHeight w:val="216"/>
        </w:trPr>
        <w:tc>
          <w:tcPr>
            <w:tcW w:w="6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2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1,200</w:t>
            </w:r>
          </w:p>
        </w:tc>
        <w:tc>
          <w:tcPr>
            <w:tcW w:w="2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1,200</w:t>
            </w:r>
          </w:p>
        </w:tc>
      </w:tr>
      <w:tr>
        <w:trPr>
          <w:trHeight w:val="210"/>
        </w:trPr>
        <w:tc>
          <w:tcPr>
            <w:tcW w:w="60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property and equipment</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1,977</w:t>
            </w:r>
          </w:p>
        </w:tc>
        <w:tc>
          <w:tcPr>
            <w:tcW w:w="2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1,977</w:t>
            </w:r>
          </w:p>
        </w:tc>
      </w:tr>
      <w:tr>
        <w:trPr>
          <w:trHeight w:val="216"/>
        </w:trPr>
        <w:tc>
          <w:tcPr>
            <w:tcW w:w="6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Accumulated depreciation</w:t>
            </w:r>
          </w:p>
        </w:tc>
        <w:tc>
          <w:tcPr>
            <w:tcW w:w="2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(1,578)</w:t>
            </w: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(1,502)</w:t>
            </w:r>
          </w:p>
        </w:tc>
      </w:tr>
      <w:tr>
        <w:trPr>
          <w:trHeight w:val="210"/>
        </w:trPr>
        <w:tc>
          <w:tcPr>
            <w:tcW w:w="60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property and equipment, net</w:t>
            </w:r>
          </w:p>
        </w:tc>
        <w:tc>
          <w:tcPr>
            <w:tcW w:w="200" w:type="dxa"/>
            <w:vAlign w:val="bottom"/>
            <w:tcBorders>
              <w:top w:val="single" w:sz="8" w:color="auto"/>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399</w:t>
            </w:r>
          </w:p>
        </w:tc>
        <w:tc>
          <w:tcPr>
            <w:tcW w:w="24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475</w:t>
            </w:r>
          </w:p>
        </w:tc>
      </w:tr>
      <w:tr>
        <w:trPr>
          <w:trHeight w:val="20"/>
        </w:trPr>
        <w:tc>
          <w:tcPr>
            <w:tcW w:w="60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Depreciation expense was $76 and $78 for the three months ended March 31, 2025 and 2024, respectively.</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254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06415"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4" w:name="page15"/>
    <w:bookmarkEnd w:id="1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7. Accrued Expenses</w:t>
      </w:r>
    </w:p>
    <w:p>
      <w:pPr>
        <w:spacing w:after="0" w:line="20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Accrued expenses consist of the following:</w:t>
      </w:r>
    </w:p>
    <w:p>
      <w:pPr>
        <w:spacing w:after="0" w:line="192"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5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100" w:type="dxa"/>
            <w:vAlign w:val="bottom"/>
          </w:tcPr>
          <w:p>
            <w:pPr>
              <w:spacing w:after="0"/>
              <w:rPr>
                <w:sz w:val="15"/>
                <w:szCs w:val="15"/>
                <w:color w:val="auto"/>
              </w:rPr>
            </w:pPr>
          </w:p>
        </w:tc>
        <w:tc>
          <w:tcPr>
            <w:tcW w:w="1260" w:type="dxa"/>
            <w:vAlign w:val="bottom"/>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142"/>
        </w:trPr>
        <w:tc>
          <w:tcPr>
            <w:tcW w:w="594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2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260" w:type="dxa"/>
            <w:vAlign w:val="bottom"/>
            <w:tcBorders>
              <w:top w:val="single" w:sz="8" w:color="auto"/>
            </w:tcBorders>
          </w:tcPr>
          <w:p>
            <w:pPr>
              <w:spacing w:after="0"/>
              <w:rPr>
                <w:sz w:val="12"/>
                <w:szCs w:val="12"/>
                <w:color w:val="auto"/>
              </w:rPr>
            </w:pPr>
          </w:p>
        </w:tc>
      </w:tr>
      <w:tr>
        <w:trPr>
          <w:trHeight w:val="216"/>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research and development expenses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2,011</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3,107</w:t>
            </w:r>
          </w:p>
        </w:tc>
      </w:tr>
      <w:tr>
        <w:trPr>
          <w:trHeight w:val="216"/>
        </w:trPr>
        <w:tc>
          <w:tcPr>
            <w:tcW w:w="5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compensation and benefits</w:t>
            </w: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16"/>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professional fees</w:t>
            </w: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1,338</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1,604</w:t>
            </w:r>
          </w:p>
        </w:tc>
      </w:tr>
      <w:tr>
        <w:trPr>
          <w:trHeight w:val="216"/>
        </w:trPr>
        <w:tc>
          <w:tcPr>
            <w:tcW w:w="5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taxes</w:t>
            </w: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r>
      <w:tr>
        <w:trPr>
          <w:trHeight w:val="216"/>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accrued expenses</w:t>
            </w: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w:t>
            </w:r>
          </w:p>
        </w:tc>
      </w:tr>
      <w:tr>
        <w:trPr>
          <w:trHeight w:val="216"/>
        </w:trPr>
        <w:tc>
          <w:tcPr>
            <w:tcW w:w="5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Accrued restructuring costs</w:t>
            </w:r>
          </w:p>
        </w:tc>
        <w:tc>
          <w:tcPr>
            <w:tcW w:w="1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2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603</w:t>
            </w:r>
          </w:p>
        </w:tc>
      </w:tr>
      <w:tr>
        <w:trPr>
          <w:trHeight w:val="209"/>
        </w:trPr>
        <w:tc>
          <w:tcPr>
            <w:tcW w:w="59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accrued expenses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3,986</w:t>
            </w:r>
          </w:p>
        </w:tc>
        <w:tc>
          <w:tcPr>
            <w:tcW w:w="2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5,762</w:t>
            </w:r>
          </w:p>
        </w:tc>
      </w:tr>
      <w:tr>
        <w:trPr>
          <w:trHeight w:val="20"/>
        </w:trPr>
        <w:tc>
          <w:tcPr>
            <w:tcW w:w="59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8. Transactions with BioXcel LLC</w:t>
      </w:r>
    </w:p>
    <w:p>
      <w:pPr>
        <w:spacing w:after="0" w:line="189" w:lineRule="exact"/>
        <w:rPr>
          <w:sz w:val="20"/>
          <w:szCs w:val="20"/>
          <w:color w:val="auto"/>
        </w:rPr>
      </w:pPr>
    </w:p>
    <w:p>
      <w:pPr>
        <w:ind w:left="60" w:right="299" w:firstLine="324"/>
        <w:spacing w:after="0" w:line="261" w:lineRule="auto"/>
        <w:rPr>
          <w:sz w:val="20"/>
          <w:szCs w:val="20"/>
          <w:color w:val="auto"/>
        </w:rPr>
      </w:pPr>
      <w:r>
        <w:rPr>
          <w:rFonts w:ascii="Times New Roman" w:cs="Times New Roman" w:eastAsia="Times New Roman" w:hAnsi="Times New Roman"/>
          <w:sz w:val="18"/>
          <w:szCs w:val="18"/>
          <w:color w:val="auto"/>
        </w:rPr>
        <w:t>The Company entered into a Separation and Shared Services Agreement with BioXcel LLC that took effect on June 30, 2017, as amended and restated thereafter (the “Services Agreement”), pursuant to which BioXcel LLC has agreed to provide the Company with certain intellectual property prosecution and management and research and development activities.</w:t>
      </w:r>
    </w:p>
    <w:p>
      <w:pPr>
        <w:spacing w:after="0" w:line="153" w:lineRule="exact"/>
        <w:rPr>
          <w:sz w:val="20"/>
          <w:szCs w:val="20"/>
          <w:color w:val="auto"/>
        </w:rPr>
      </w:pPr>
    </w:p>
    <w:p>
      <w:pPr>
        <w:ind w:left="60" w:right="139" w:firstLine="324"/>
        <w:spacing w:after="0" w:line="253" w:lineRule="auto"/>
        <w:rPr>
          <w:sz w:val="20"/>
          <w:szCs w:val="20"/>
          <w:color w:val="auto"/>
        </w:rPr>
      </w:pPr>
      <w:r>
        <w:rPr>
          <w:rFonts w:ascii="Times New Roman" w:cs="Times New Roman" w:eastAsia="Times New Roman" w:hAnsi="Times New Roman"/>
          <w:sz w:val="18"/>
          <w:szCs w:val="18"/>
          <w:color w:val="auto"/>
        </w:rPr>
        <w:t>Under the Services Agreement, the Company had an option, exercisable until December 31, 2024, to enter into a separate collaborative services agreement with BioXcel LLC pursuant to which BioXcel LLC shall perform product identification and related services for us utilizing its EvolverAI. The Company agreed to pay BioXcel LLC $18 per month from March 13, 2023 to December 31, 2024 in exchange for this option. This option was not exercised. However, BioXcel LLC continues to perform certain administrative services under the terms of the original contract. We agreed to negotiate any such collaborative services agreement in good faith and to incorporate reasonable market-based terms, including consideration for BioXcel LLC reflecting a low, single-digit royalty on net sales and reasonable development and commercialization milestone payments, provided that (i) development milestone payments shall not exceed $10,000 in the aggregate and not be payable prior to proof of concept in humans and (ii) commercialization milestone payments shall be based on reaching annual net sales levels, be limited to 3% of the applicable net sales level, and not exceed $30,000 in the aggregate. The Company did not exercise its option to renew the agreement for product identification and related services utilizing BioXcel LLC’s EvolverAI. Subsequent to December 31, 2024 no development activity has been carried out by BioXcel LLC and none is contemplated.</w:t>
      </w:r>
    </w:p>
    <w:p>
      <w:pPr>
        <w:spacing w:after="0" w:line="147" w:lineRule="exact"/>
        <w:rPr>
          <w:sz w:val="20"/>
          <w:szCs w:val="20"/>
          <w:color w:val="auto"/>
        </w:rPr>
      </w:pPr>
    </w:p>
    <w:p>
      <w:pPr>
        <w:ind w:left="60" w:right="699" w:firstLine="324"/>
        <w:spacing w:after="0" w:line="282" w:lineRule="auto"/>
        <w:rPr>
          <w:sz w:val="20"/>
          <w:szCs w:val="20"/>
          <w:color w:val="auto"/>
        </w:rPr>
      </w:pPr>
      <w:r>
        <w:rPr>
          <w:rFonts w:ascii="Times New Roman" w:cs="Times New Roman" w:eastAsia="Times New Roman" w:hAnsi="Times New Roman"/>
          <w:sz w:val="18"/>
          <w:szCs w:val="18"/>
          <w:color w:val="auto"/>
        </w:rPr>
        <w:t>Service charges recorded under the Services Agreement for the three months ended March 31, 2025 and 2024, respectively were as follows:</w:t>
      </w:r>
    </w:p>
    <w:p>
      <w:pPr>
        <w:spacing w:after="0" w:line="277"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5900" w:type="dxa"/>
            <w:vAlign w:val="bottom"/>
          </w:tcPr>
          <w:p>
            <w:pPr>
              <w:spacing w:after="0"/>
              <w:rPr>
                <w:sz w:val="15"/>
                <w:szCs w:val="15"/>
                <w:color w:val="auto"/>
              </w:rPr>
            </w:pPr>
          </w:p>
        </w:tc>
        <w:tc>
          <w:tcPr>
            <w:tcW w:w="25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440" w:type="dxa"/>
            <w:vAlign w:val="bottom"/>
            <w:tcBorders>
              <w:bottom w:val="single" w:sz="8" w:color="auto"/>
            </w:tcBorders>
          </w:tcPr>
          <w:p>
            <w:pPr>
              <w:spacing w:after="0"/>
              <w:rPr>
                <w:sz w:val="15"/>
                <w:szCs w:val="15"/>
                <w:color w:val="auto"/>
              </w:rPr>
            </w:pPr>
          </w:p>
        </w:tc>
      </w:tr>
      <w:tr>
        <w:trPr>
          <w:trHeight w:val="196"/>
        </w:trPr>
        <w:tc>
          <w:tcPr>
            <w:tcW w:w="5900" w:type="dxa"/>
            <w:vAlign w:val="bottom"/>
          </w:tcPr>
          <w:p>
            <w:pPr>
              <w:spacing w:after="0"/>
              <w:rPr>
                <w:sz w:val="17"/>
                <w:szCs w:val="17"/>
                <w:color w:val="auto"/>
              </w:rPr>
            </w:pPr>
          </w:p>
        </w:tc>
        <w:tc>
          <w:tcPr>
            <w:tcW w:w="900" w:type="dxa"/>
            <w:vAlign w:val="bottom"/>
            <w:tcBorders>
              <w:bottom w:val="single" w:sz="8" w:color="auto"/>
            </w:tcBorders>
          </w:tcPr>
          <w:p>
            <w:pPr>
              <w:jc w:val="right"/>
              <w:ind w:right="22"/>
              <w:spacing w:after="0"/>
              <w:rPr>
                <w:sz w:val="20"/>
                <w:szCs w:val="20"/>
                <w:color w:val="auto"/>
              </w:rPr>
            </w:pPr>
            <w:r>
              <w:rPr>
                <w:rFonts w:ascii="Times New Roman" w:cs="Times New Roman" w:eastAsia="Times New Roman" w:hAnsi="Times New Roman"/>
                <w:sz w:val="14"/>
                <w:szCs w:val="14"/>
                <w:b w:val="1"/>
                <w:bCs w:val="1"/>
                <w:color w:val="auto"/>
              </w:rPr>
              <w:t>2025</w:t>
            </w:r>
          </w:p>
        </w:tc>
        <w:tc>
          <w:tcPr>
            <w:tcW w:w="420" w:type="dxa"/>
            <w:vAlign w:val="bottom"/>
            <w:tcBorders>
              <w:bottom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2024</w:t>
            </w:r>
          </w:p>
        </w:tc>
        <w:tc>
          <w:tcPr>
            <w:tcW w:w="440" w:type="dxa"/>
            <w:vAlign w:val="bottom"/>
            <w:tcBorders>
              <w:bottom w:val="single" w:sz="8" w:color="auto"/>
            </w:tcBorders>
          </w:tcPr>
          <w:p>
            <w:pPr>
              <w:spacing w:after="0"/>
              <w:rPr>
                <w:sz w:val="17"/>
                <w:szCs w:val="17"/>
                <w:color w:val="auto"/>
              </w:rPr>
            </w:pPr>
          </w:p>
        </w:tc>
      </w:tr>
      <w:tr>
        <w:trPr>
          <w:trHeight w:val="196"/>
        </w:trPr>
        <w:tc>
          <w:tcPr>
            <w:tcW w:w="59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40" w:type="dxa"/>
            <w:vAlign w:val="bottom"/>
          </w:tcPr>
          <w:p>
            <w:pPr>
              <w:spacing w:after="0"/>
              <w:rPr>
                <w:sz w:val="17"/>
                <w:szCs w:val="17"/>
                <w:color w:val="auto"/>
              </w:rPr>
            </w:pPr>
          </w:p>
        </w:tc>
      </w:tr>
      <w:tr>
        <w:trPr>
          <w:trHeight w:val="216"/>
        </w:trPr>
        <w:tc>
          <w:tcPr>
            <w:tcW w:w="5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900" w:type="dxa"/>
            <w:vAlign w:val="bottom"/>
            <w:shd w:val="clear" w:color="auto" w:fill="CCEEFF"/>
          </w:tcPr>
          <w:p>
            <w:pPr>
              <w:jc w:val="right"/>
              <w:ind w:right="742"/>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736"/>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w:t>
            </w:r>
          </w:p>
        </w:tc>
      </w:tr>
      <w:tr>
        <w:trPr>
          <w:trHeight w:val="216"/>
        </w:trPr>
        <w:tc>
          <w:tcPr>
            <w:tcW w:w="5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90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260" w:type="dxa"/>
            <w:vAlign w:val="bottom"/>
            <w:tcBorders>
              <w:bottom w:val="single" w:sz="8" w:color="CCEEFF"/>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10"/>
        </w:trPr>
        <w:tc>
          <w:tcPr>
            <w:tcW w:w="59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900" w:type="dxa"/>
            <w:vAlign w:val="bottom"/>
            <w:tcBorders>
              <w:bottom w:val="single" w:sz="8" w:color="auto"/>
            </w:tcBorders>
            <w:shd w:val="clear" w:color="auto" w:fill="CCEEFF"/>
          </w:tcPr>
          <w:p>
            <w:pPr>
              <w:jc w:val="right"/>
              <w:ind w:right="742"/>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26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736"/>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w:t>
            </w:r>
          </w:p>
        </w:tc>
      </w:tr>
      <w:tr>
        <w:trPr>
          <w:trHeight w:val="20"/>
        </w:trPr>
        <w:tc>
          <w:tcPr>
            <w:tcW w:w="59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0" w:right="279" w:firstLine="324"/>
        <w:spacing w:after="0" w:line="282" w:lineRule="auto"/>
        <w:rPr>
          <w:sz w:val="20"/>
          <w:szCs w:val="20"/>
          <w:color w:val="auto"/>
        </w:rPr>
      </w:pPr>
      <w:r>
        <w:rPr>
          <w:rFonts w:ascii="Times New Roman" w:cs="Times New Roman" w:eastAsia="Times New Roman" w:hAnsi="Times New Roman"/>
          <w:sz w:val="18"/>
          <w:szCs w:val="18"/>
          <w:color w:val="auto"/>
        </w:rPr>
        <w:t>As of March 31, 2025, there were no outstanding service charges related to the Services Agreement included in Due to related parties in the Company’s Condensed Consolidated Balance Sheets.</w:t>
      </w:r>
    </w:p>
    <w:p>
      <w:pPr>
        <w:spacing w:after="0" w:line="37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254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06415"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5" w:name="page16"/>
    <w:bookmarkEnd w:id="1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9. Debt and Credit Facilities</w:t>
      </w:r>
    </w:p>
    <w:p>
      <w:pPr>
        <w:spacing w:after="0" w:line="20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Debt, net of unamortized discounts and financing costs, consists of the following:</w:t>
      </w:r>
    </w:p>
    <w:p>
      <w:pPr>
        <w:spacing w:after="0" w:line="259"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59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2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100" w:type="dxa"/>
            <w:vAlign w:val="bottom"/>
          </w:tcPr>
          <w:p>
            <w:pPr>
              <w:spacing w:after="0"/>
              <w:rPr>
                <w:sz w:val="15"/>
                <w:szCs w:val="15"/>
                <w:color w:val="auto"/>
              </w:rPr>
            </w:pPr>
          </w:p>
        </w:tc>
        <w:tc>
          <w:tcPr>
            <w:tcW w:w="1260" w:type="dxa"/>
            <w:vAlign w:val="bottom"/>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210"/>
        </w:trPr>
        <w:tc>
          <w:tcPr>
            <w:tcW w:w="59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r>
      <w:tr>
        <w:trPr>
          <w:trHeight w:val="216"/>
        </w:trPr>
        <w:tc>
          <w:tcPr>
            <w:tcW w:w="5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Credit Agreement and Guaranty</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102,319</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102,319</w:t>
            </w:r>
          </w:p>
        </w:tc>
      </w:tr>
      <w:tr>
        <w:trPr>
          <w:trHeight w:val="216"/>
        </w:trPr>
        <w:tc>
          <w:tcPr>
            <w:tcW w:w="5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Payable-in-kind ("PIK") interest</w:t>
            </w:r>
          </w:p>
        </w:tc>
        <w:tc>
          <w:tcPr>
            <w:tcW w:w="1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7,072</w:t>
            </w:r>
          </w:p>
        </w:tc>
        <w:tc>
          <w:tcPr>
            <w:tcW w:w="2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4,403</w:t>
            </w:r>
          </w:p>
        </w:tc>
      </w:tr>
      <w:tr>
        <w:trPr>
          <w:trHeight w:val="209"/>
        </w:trPr>
        <w:tc>
          <w:tcPr>
            <w:tcW w:w="59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long-term debt liability</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109,391</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106,722</w:t>
            </w:r>
          </w:p>
        </w:tc>
      </w:tr>
      <w:tr>
        <w:trPr>
          <w:trHeight w:val="216"/>
        </w:trPr>
        <w:tc>
          <w:tcPr>
            <w:tcW w:w="5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Unamortized debt premiums, discounts and issuance costs</w:t>
            </w:r>
          </w:p>
        </w:tc>
        <w:tc>
          <w:tcPr>
            <w:tcW w:w="160" w:type="dxa"/>
            <w:vAlign w:val="bottom"/>
          </w:tcPr>
          <w:p>
            <w:pPr>
              <w:spacing w:after="0"/>
              <w:rPr>
                <w:sz w:val="18"/>
                <w:szCs w:val="18"/>
                <w:color w:val="auto"/>
              </w:rPr>
            </w:pPr>
          </w:p>
        </w:tc>
        <w:tc>
          <w:tcPr>
            <w:tcW w:w="1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(3,865)</w:t>
            </w:r>
          </w:p>
        </w:tc>
        <w:tc>
          <w:tcPr>
            <w:tcW w:w="1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(4,214)</w:t>
            </w:r>
          </w:p>
        </w:tc>
      </w:tr>
      <w:tr>
        <w:trPr>
          <w:trHeight w:val="209"/>
        </w:trPr>
        <w:tc>
          <w:tcPr>
            <w:tcW w:w="5900" w:type="dxa"/>
            <w:vAlign w:val="bottom"/>
            <w:tcBorders>
              <w:top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long-term debt</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105,526</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102,508</w:t>
            </w:r>
          </w:p>
        </w:tc>
      </w:tr>
      <w:tr>
        <w:trPr>
          <w:trHeight w:val="216"/>
        </w:trPr>
        <w:tc>
          <w:tcPr>
            <w:tcW w:w="5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current portion of long-term debt</w:t>
            </w:r>
          </w:p>
        </w:tc>
        <w:tc>
          <w:tcPr>
            <w:tcW w:w="160" w:type="dxa"/>
            <w:vAlign w:val="bottom"/>
          </w:tcPr>
          <w:p>
            <w:pPr>
              <w:spacing w:after="0"/>
              <w:rPr>
                <w:sz w:val="18"/>
                <w:szCs w:val="18"/>
                <w:color w:val="auto"/>
              </w:rPr>
            </w:pPr>
          </w:p>
        </w:tc>
        <w:tc>
          <w:tcPr>
            <w:tcW w:w="1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(5,608)</w:t>
            </w:r>
          </w:p>
        </w:tc>
        <w:tc>
          <w:tcPr>
            <w:tcW w:w="1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5900" w:type="dxa"/>
            <w:vAlign w:val="bottom"/>
            <w:tcBorders>
              <w:top w:val="single" w:sz="8" w:color="CCEEFF"/>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Long-term debt</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99,918</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102,508</w:t>
            </w:r>
          </w:p>
        </w:tc>
      </w:tr>
      <w:tr>
        <w:trPr>
          <w:trHeight w:val="20"/>
        </w:trPr>
        <w:tc>
          <w:tcPr>
            <w:tcW w:w="59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0" w:right="239" w:firstLine="324"/>
        <w:spacing w:after="0" w:line="242" w:lineRule="auto"/>
        <w:rPr>
          <w:sz w:val="20"/>
          <w:szCs w:val="20"/>
          <w:color w:val="auto"/>
        </w:rPr>
      </w:pPr>
      <w:r>
        <w:rPr>
          <w:rFonts w:ascii="Times New Roman" w:cs="Times New Roman" w:eastAsia="Times New Roman" w:hAnsi="Times New Roman"/>
          <w:sz w:val="18"/>
          <w:szCs w:val="18"/>
          <w:color w:val="auto"/>
        </w:rPr>
        <w:t>On April 19, 2022, the Company entered into two strategic financing agreements: (i) a Credit Agreement and Guaranty (the “Credit Agreement”) by and among the Company, as the borrower, certain subsidiaries of the Company from time to time party thereto as subsidiary guarantors, the lenders party thereto (the “Lenders”), and Oaktree Fund Administration LLC (“OFA”) as administrative agent, and (ii) a Revenue Interest Financing Agreement (the “RIFA”; and together with the Credit Agreement, the “OFA Facilities”) by and among the Company, the purchasers party thereto (the “Purchasers”) and OFA as administrative agent. Under the OFA Facilities, the Lenders and the Purchasers agreed to, in the aggregate between the two OFA Facilities, provide up to $260,000 in gross funding to support the Company’s commercial activities of IGALMI</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sublingual film. In addition, the OFA Facilities are intended to support the expansion of clinical development efforts of BXCL501, which includes a Phase 3 program for the acute treatment of agitation in patients with Alzheimer’s disease, and for general corporate purposes. The Lenders and Purchasers are comprised of affiliates of Oaktree Capital Management, L.P. and Qatar Investment Authority.</w:t>
      </w:r>
    </w:p>
    <w:p>
      <w:pPr>
        <w:spacing w:after="0" w:line="15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Waiver and First Amendment to Credit Agreement and Guaranty</w:t>
      </w:r>
    </w:p>
    <w:p>
      <w:pPr>
        <w:spacing w:after="0" w:line="243" w:lineRule="exact"/>
        <w:rPr>
          <w:sz w:val="20"/>
          <w:szCs w:val="20"/>
          <w:color w:val="auto"/>
        </w:rPr>
      </w:pPr>
    </w:p>
    <w:p>
      <w:pPr>
        <w:ind w:left="60" w:right="199" w:firstLine="324"/>
        <w:spacing w:after="0" w:line="253" w:lineRule="auto"/>
        <w:rPr>
          <w:sz w:val="20"/>
          <w:szCs w:val="20"/>
          <w:color w:val="auto"/>
        </w:rPr>
      </w:pPr>
      <w:r>
        <w:rPr>
          <w:rFonts w:ascii="Times New Roman" w:cs="Times New Roman" w:eastAsia="Times New Roman" w:hAnsi="Times New Roman"/>
          <w:sz w:val="18"/>
          <w:szCs w:val="18"/>
          <w:color w:val="auto"/>
        </w:rPr>
        <w:t>On November 13, 2023, the Company, the lenders party to the Credit Agreement and OFA entered into a Waiver and First Amendment to Credit Agreement and Guaranty (the “First Amendment”) that provided for (i) a waiver and a modification to the covenant in the Credit Agreement regarding investments in OnkosXcel and (ii) an agreement among the parties to further revise key financial terms in the Credit Agreement and terminate the RIFA. Pursuant to the First Amendment, the Lenders agreed to permit the Company to invest up to a maximum of $30,000 at any time outstanding in OnkosXcel, increased from $25,000 at any time outstanding. The First Amendment also waived any defaults or events of default arising under the Credit Agreement due to a breach prior to the date of the First Amendment of the OnkosXcel investment covenant, or a breach of the Company’s obligation to notify OFA of such default. In connection with the First Amendment, the Company paid the Lenders a fee of $180 (representing 0.25% of the loans outstanding under the Credit Agreement on the date of the First Amendment) and agreed to pay to the Lenders an exit fee equal to 0.25% of the loans under the Credit Agreement repaid upon maturity or prepayment of the loans.</w:t>
      </w:r>
    </w:p>
    <w:p>
      <w:pPr>
        <w:spacing w:after="0" w:line="18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Second Amendment to Credit Agreement and Guaranty and Termination of the RIFA</w:t>
      </w:r>
    </w:p>
    <w:p>
      <w:pPr>
        <w:spacing w:after="0" w:line="229" w:lineRule="exact"/>
        <w:rPr>
          <w:sz w:val="20"/>
          <w:szCs w:val="20"/>
          <w:color w:val="auto"/>
        </w:rPr>
      </w:pPr>
    </w:p>
    <w:p>
      <w:pPr>
        <w:ind w:left="60" w:right="139" w:firstLine="324"/>
        <w:spacing w:after="0" w:line="253" w:lineRule="auto"/>
        <w:rPr>
          <w:sz w:val="20"/>
          <w:szCs w:val="20"/>
          <w:color w:val="auto"/>
        </w:rPr>
      </w:pPr>
      <w:r>
        <w:rPr>
          <w:rFonts w:ascii="Times New Roman" w:cs="Times New Roman" w:eastAsia="Times New Roman" w:hAnsi="Times New Roman"/>
          <w:sz w:val="18"/>
          <w:szCs w:val="18"/>
          <w:color w:val="auto"/>
        </w:rPr>
        <w:t>On December 5, 2023, (the “Second Amendment Effective Date”), the Company entered into the Second Amendment to Credit Agreement and Guaranty and Termination of Revenue Interest Financing Agreement (the “Second Amendment”), which further amended the Credit Agreement. On the Second Amendment Effective Date, the Credit Agreement was amended to provide up to $202,319 in senior secured term loans, including the initial Tranche A of $70,000, which was funded on April 28, 2022, and related capitalized interest on Tranche A through the Second Amendment Effective Date in the amount of $72,319. In addition, the $30,000 in financing previously provided to the Company under the RIFA on July 8, 2022 was converted to a term loan under the Credit Agreement (the “Tranche A-2 Term Loan”). The RIFA and all commitments for potential future funding thereunder were terminated. In addition, pursuant to the Second Amendment, the Lenders agreed to permit the Company to invest up to a maximum of $30,865 at any time outstanding in OnkosXcel, increased from $30,000. In connection with the Second Amendment, the Company agreed to pay to the Lenders an exit fee equal to 0.25% of the loans under the Credit Agreement repaid upon maturity or prepayment of the loans (which exit fee is in addition to, and not in lieu of, the exit fee provided for by the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254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06415"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6" w:name="page17"/>
    <w:bookmarkEnd w:id="1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319"/>
        <w:spacing w:after="0" w:line="282" w:lineRule="auto"/>
        <w:rPr>
          <w:sz w:val="20"/>
          <w:szCs w:val="20"/>
          <w:color w:val="auto"/>
        </w:rPr>
      </w:pPr>
      <w:r>
        <w:rPr>
          <w:rFonts w:ascii="Times New Roman" w:cs="Times New Roman" w:eastAsia="Times New Roman" w:hAnsi="Times New Roman"/>
          <w:sz w:val="18"/>
          <w:szCs w:val="18"/>
          <w:color w:val="auto"/>
        </w:rPr>
        <w:t>First Amendment). As of March 31, 2025, $80,000 in commitments under the Credit Agreement remains unfunded. The blended effective interest rate on the Tranches A-1 and A-2 as of March 31, 2025 was approximately 15.3%.</w:t>
      </w:r>
    </w:p>
    <w:p>
      <w:pPr>
        <w:spacing w:after="0" w:line="135" w:lineRule="exact"/>
        <w:rPr>
          <w:sz w:val="20"/>
          <w:szCs w:val="20"/>
          <w:color w:val="auto"/>
        </w:rPr>
      </w:pPr>
    </w:p>
    <w:p>
      <w:pPr>
        <w:ind w:left="60" w:right="159" w:firstLine="324"/>
        <w:spacing w:after="0" w:line="254" w:lineRule="auto"/>
        <w:rPr>
          <w:sz w:val="20"/>
          <w:szCs w:val="20"/>
          <w:color w:val="auto"/>
        </w:rPr>
      </w:pPr>
      <w:r>
        <w:rPr>
          <w:rFonts w:ascii="Times New Roman" w:cs="Times New Roman" w:eastAsia="Times New Roman" w:hAnsi="Times New Roman"/>
          <w:sz w:val="18"/>
          <w:szCs w:val="18"/>
          <w:color w:val="auto"/>
        </w:rPr>
        <w:t>The remaining tranches may be borrowed at the Company’s option subject to satisfaction of certain conditions, including regulatory and financial milestones. Tranche B of the Credit Agreement is $20,000 and is available upon satisfaction of certain conditions and financial milestones. Tranche B expired on December 31, 2024. Tranche C of the Credit Agreement is $30,000 and is available upon satisfaction of certain conditions, including receipt of certain regulatory and financial milestones. Tranche D of the Credit Agreement is $50,000 and is available upon satisfaction of the Tranche C Term Loans conditions precedent to, and the funding of Tranche C Loans, including specified minimum net sales of the Company attributable to sales of BXCL501 for a trailing twelve consecutive month period, on or before December 31, 2025. As of March 31, 2025, Tranches C and D, totaling $80,000, remain available for borrowing if the milestones above are met.</w:t>
      </w:r>
    </w:p>
    <w:p>
      <w:pPr>
        <w:spacing w:after="0" w:line="148" w:lineRule="exact"/>
        <w:rPr>
          <w:sz w:val="20"/>
          <w:szCs w:val="20"/>
          <w:color w:val="auto"/>
        </w:rPr>
      </w:pPr>
    </w:p>
    <w:p>
      <w:pPr>
        <w:ind w:left="60" w:right="139" w:firstLine="324"/>
        <w:spacing w:after="0" w:line="255" w:lineRule="auto"/>
        <w:rPr>
          <w:sz w:val="20"/>
          <w:szCs w:val="20"/>
          <w:color w:val="auto"/>
        </w:rPr>
      </w:pPr>
      <w:r>
        <w:rPr>
          <w:rFonts w:ascii="Times New Roman" w:cs="Times New Roman" w:eastAsia="Times New Roman" w:hAnsi="Times New Roman"/>
          <w:sz w:val="18"/>
          <w:szCs w:val="18"/>
          <w:color w:val="auto"/>
        </w:rPr>
        <w:t>The loans under the Credit Agreement do not amortize and mature on April 19, 2027. The Company may, at its option, no earlier than September 21, 2026 and no later than October 21, 2026, request an extension of the maturity date to April, 19, 2028, provided that the Company satisfies certain conditions including receipt of certain regulatory and financial milestones. Borrowings under the Credit Agreement are issued at a 200-basis point original issue discount and bear interest at a variable annual rate of TERM SOFR (but not less than 2.5% or more than 5.5%) plus 7.5%, payable quarterly. The rate resets every three months based on the current Term SOFR rate. Of such interest, above 8% per annum is, at the Company’s option, payable in kind by capitalizing and adding such interest to the outstanding principal amount of loans from the first payment date on which such interest is owed through March 31, 2025, unless, with respect to any payment date, the Company elects to pay all or a portion of such interest in cash. The Company is required to pay a ticking fee equal to 0.75% per annum on the undrawn amount of the commitments, payable quarterly commencing 120 days after April 22, 2022 through the termination of the commitments, which is expensed as incurred and recognized as interest expense in the Consolidated Statements of Operations. The Company may voluntarily prepay the Credit Agreement at any time subject to a prepayment fee.</w:t>
      </w:r>
    </w:p>
    <w:p>
      <w:pPr>
        <w:spacing w:after="0" w:line="152" w:lineRule="exact"/>
        <w:rPr>
          <w:sz w:val="20"/>
          <w:szCs w:val="20"/>
          <w:color w:val="auto"/>
        </w:rPr>
      </w:pPr>
    </w:p>
    <w:p>
      <w:pPr>
        <w:ind w:left="60" w:right="239" w:firstLine="324"/>
        <w:spacing w:after="0" w:line="256" w:lineRule="auto"/>
        <w:rPr>
          <w:sz w:val="20"/>
          <w:szCs w:val="20"/>
          <w:color w:val="auto"/>
        </w:rPr>
      </w:pPr>
      <w:r>
        <w:rPr>
          <w:rFonts w:ascii="Times New Roman" w:cs="Times New Roman" w:eastAsia="Times New Roman" w:hAnsi="Times New Roman"/>
          <w:sz w:val="18"/>
          <w:szCs w:val="18"/>
          <w:color w:val="auto"/>
        </w:rPr>
        <w:t>The Company’s obligations under the Credit Agreement are guaranteed by BTI’s existing and subsequently acquired or organized subsidiaries, subject to certain exceptions. BTI’s obligations under the Credit Agreement and the related guarantees thereunder are secured, subject to customary permitted liens and other agreed upon exceptions, by (i) a pledge of all of the equity interests of all of the Company’s existing and any future direct subsidiaries, and (ii) a perfected security interest in all of its and the guarantors’ tangible and intangible assets (except that the guarantees provided by the BXCL701 Subsidiaries (as defined below) are unsecured).</w:t>
      </w:r>
    </w:p>
    <w:p>
      <w:pPr>
        <w:spacing w:after="0" w:line="160" w:lineRule="exact"/>
        <w:rPr>
          <w:sz w:val="20"/>
          <w:szCs w:val="20"/>
          <w:color w:val="auto"/>
        </w:rPr>
      </w:pPr>
    </w:p>
    <w:p>
      <w:pPr>
        <w:ind w:left="60" w:right="199" w:firstLine="324"/>
        <w:spacing w:after="0" w:line="252" w:lineRule="auto"/>
        <w:rPr>
          <w:sz w:val="20"/>
          <w:szCs w:val="20"/>
          <w:color w:val="auto"/>
        </w:rPr>
      </w:pPr>
      <w:r>
        <w:rPr>
          <w:rFonts w:ascii="Times New Roman" w:cs="Times New Roman" w:eastAsia="Times New Roman" w:hAnsi="Times New Roman"/>
          <w:sz w:val="18"/>
          <w:szCs w:val="18"/>
          <w:color w:val="auto"/>
        </w:rPr>
        <w:t>The Credit Agreement contains customary representations and warranties and customary affirmative and negative covenants, including, among other things, restrictions on indebtedness, liens, investments, mergers, dispositions, prepayment of other indebtedness, and dividends and other distributions, subject to certain exceptions, including specific exceptions with respect to product commercialization and development activities. The Company must also comply with certain financial covenants, including (i) maintenance of cash or permitted cash equivalent investments in accounts controlled by OFA for the Lenders, of at least (a) initially, $15,000, (b) from and after the funding of the Tranche B loans, $20,000, and (c) from and after the Company’s satisfaction of the funding conditions for the Tranche C loans, $15,000, provided, that the liquidity covenant applicable at any time will be increased upon certain events related to a sale of OnkosXcel (up to a maximum amount equal to $37,500), provided that the minimum liquidity amount will in no event exceed 50% of the aggregate amount of loans outstanding under the Credit Agreement at any time; and (ii) a minimum revenue test, measured quarterly beginning with the Company’s fiscal quarter ending on December 31, 2024 (such six-month period the “Revenue Covenant Measurement Period”), that requires it and its subsidiaries’ consolidated net revenue for the six consecutive month period ending on the last day of each such fiscal quarter to not be less than a minimum revenue amount specified in the Credit Agreement (such testing date, the “Revenue Covenant Measurement Testing Date” and the covenant described in this clause (ii) the “Revenue Covenant”). The Company’s failure to comply with the financial covenants will result in an event of default, subject to certain cure rights with respect to the Revenue Covenant. If, as of a Revenue Covenant Measurement Testing Date, the Company’s revenue for the applicable Revenue Covenant Measurement Period is less than the minimum revenue amount specified for the applicable period then required under the Revenue Covenant, the Company would have a right to cure such shortfall for a total of three fiscal periods by making a revenue cure payment (which would be treated as prepayments of the loans subject to a prepayment fee) to the Lenders in an amount equal to the difference between such</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06415"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7" w:name="page18"/>
    <w:bookmarkEnd w:id="1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19"/>
        <w:spacing w:after="0" w:line="261" w:lineRule="auto"/>
        <w:rPr>
          <w:sz w:val="20"/>
          <w:szCs w:val="20"/>
          <w:color w:val="auto"/>
        </w:rPr>
      </w:pPr>
      <w:r>
        <w:rPr>
          <w:rFonts w:ascii="Times New Roman" w:cs="Times New Roman" w:eastAsia="Times New Roman" w:hAnsi="Times New Roman"/>
          <w:sz w:val="18"/>
          <w:szCs w:val="18"/>
          <w:color w:val="auto"/>
        </w:rPr>
        <w:t>minimum required revenue amount and the Company’s actual revenues for such Revenue Covenant Measurement Period, such payment to not be less than $1,000. If paid, the Company will be deemed to have complied with the Revenue Covenant as of such Revenue Covenant Measurement Testing Date. Any such payment will be applied to the prepayment of the loans under the Credit Agreement.</w:t>
      </w:r>
    </w:p>
    <w:p>
      <w:pPr>
        <w:spacing w:after="0" w:line="153" w:lineRule="exact"/>
        <w:rPr>
          <w:sz w:val="20"/>
          <w:szCs w:val="20"/>
          <w:color w:val="auto"/>
        </w:rPr>
      </w:pPr>
    </w:p>
    <w:p>
      <w:pPr>
        <w:ind w:left="60" w:right="139" w:firstLine="324"/>
        <w:spacing w:after="0" w:line="253" w:lineRule="auto"/>
        <w:rPr>
          <w:sz w:val="20"/>
          <w:szCs w:val="20"/>
          <w:color w:val="auto"/>
        </w:rPr>
      </w:pPr>
      <w:r>
        <w:rPr>
          <w:rFonts w:ascii="Times New Roman" w:cs="Times New Roman" w:eastAsia="Times New Roman" w:hAnsi="Times New Roman"/>
          <w:sz w:val="18"/>
          <w:szCs w:val="18"/>
          <w:color w:val="auto"/>
        </w:rPr>
        <w:t>Notwithstanding the foregoing, the Credit Agreement permits OnkosXcel (together with OnkosXcel Employee Holdings, LLC (“Employee Holdings”), a subsidiary of BTI, and their respective subsidiaries, the “BXCL701 Subsidiaries”) to receive third-party investment or transfer all or substantially all of their assets to an unaffiliated third party, in each case subject to terms and conditions set forth in the Credit Agreement, including the escrow of certain proceeds received by BTI and its subsidiaries (other than the BXCL701 Subsidiaries) in respect of these disposition events and, under circumstances set forth in the Credit Agreement, the mandatory prepayment of such escrowed amounts. The Company’s equity interests in the BXCL701 Subsidiaries have been pledged in support of its obligations under the Credit Agreement, and the BXCL701 Subsidiaries have provided direct guarantees of BTI’s obligations under the Credit Agreement on an unsecured basis. However, the pledge, guarantee and other obligations of the BXCL701 Subsidiaries under the Credit Agreement will be released upon certain agreed upon events, including an initial public offering by the BXCL701 Subsidiaries or the ownership by unaffiliated third parties of at least 20% of the equity interests in the BXCL701 Subsidiaries.</w:t>
      </w:r>
    </w:p>
    <w:p>
      <w:pPr>
        <w:spacing w:after="0" w:line="149" w:lineRule="exact"/>
        <w:rPr>
          <w:sz w:val="20"/>
          <w:szCs w:val="20"/>
          <w:color w:val="auto"/>
        </w:rPr>
      </w:pPr>
    </w:p>
    <w:p>
      <w:pPr>
        <w:ind w:left="60" w:right="199" w:firstLine="324"/>
        <w:spacing w:after="0" w:line="254" w:lineRule="auto"/>
        <w:rPr>
          <w:sz w:val="20"/>
          <w:szCs w:val="20"/>
          <w:color w:val="auto"/>
        </w:rPr>
      </w:pPr>
      <w:r>
        <w:rPr>
          <w:rFonts w:ascii="Times New Roman" w:cs="Times New Roman" w:eastAsia="Times New Roman" w:hAnsi="Times New Roman"/>
          <w:sz w:val="18"/>
          <w:szCs w:val="18"/>
          <w:color w:val="auto"/>
        </w:rPr>
        <w:t>The Credit Agreement contains events of default that are customary for financings of this type relating to, among other things, payment defaults, breach of covenants, breach of representations and warranties, cross default to material indebtedness, bankruptcy-related defaults, judgment defaults, breach of the financial covenants described above, and the occurrence of certain change of control events. In certain circumstances, events of default are subject to customary cure periods. The Credit Agreement also contains certain regulatory-related events of default, which do not have cure periods. Following an event of default and any applicable cure period, the Lenders will have the right upon notice to terminate any undrawn commitments and may accelerate all amounts outstanding under the Credit Agreement, in addition to other remedies available to them as the Company’s secured creditors.</w:t>
      </w:r>
    </w:p>
    <w:p>
      <w:pPr>
        <w:spacing w:after="0" w:line="14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Waiver and Third and Fourth Amendments to Credit Agreement and Guaranty</w:t>
      </w:r>
    </w:p>
    <w:p>
      <w:pPr>
        <w:spacing w:after="0" w:line="256" w:lineRule="exact"/>
        <w:rPr>
          <w:sz w:val="20"/>
          <w:szCs w:val="20"/>
          <w:color w:val="auto"/>
        </w:rPr>
      </w:pPr>
    </w:p>
    <w:p>
      <w:pPr>
        <w:ind w:left="60" w:right="139" w:firstLine="324"/>
        <w:spacing w:after="0" w:line="254" w:lineRule="auto"/>
        <w:rPr>
          <w:sz w:val="20"/>
          <w:szCs w:val="20"/>
          <w:color w:val="auto"/>
        </w:rPr>
      </w:pPr>
      <w:r>
        <w:rPr>
          <w:rFonts w:ascii="Times New Roman" w:cs="Times New Roman" w:eastAsia="Times New Roman" w:hAnsi="Times New Roman"/>
          <w:sz w:val="18"/>
          <w:szCs w:val="18"/>
          <w:color w:val="auto"/>
        </w:rPr>
        <w:t>On February 12, 2024, the Company entered into the Third Amendment to Credit Agreement and Guaranty (the “Third Amendment”), which amended the Credit Agreement. Pursuant to the Third Amendment, the Lenders agreed to waive the covenant that the Company shall not receive a report and opinion from the Company’s independent auditors that contains a “going concern” or like qualification or exception or emphasis of matter of going concern footnote with respect to the Company’s financial statements for the fiscal year ended December 31, 2023 and, as a result, such event shall not be an event of default. As a condition to the effectiveness of the Third Amendment, among other things, the Company shall have received at least $40,000 in gross proceeds from a registered public sale of the Company’s common stock, warrants and/or pre-funded warrants on or before February 20, 2024. The Company did not meet this condition and therefore the Third Amendment did not become effective.</w:t>
      </w:r>
    </w:p>
    <w:p>
      <w:pPr>
        <w:spacing w:after="0" w:line="188" w:lineRule="exact"/>
        <w:rPr>
          <w:sz w:val="20"/>
          <w:szCs w:val="20"/>
          <w:color w:val="auto"/>
        </w:rPr>
      </w:pPr>
    </w:p>
    <w:p>
      <w:pPr>
        <w:ind w:left="60" w:right="139" w:firstLine="324"/>
        <w:spacing w:after="0" w:line="254" w:lineRule="auto"/>
        <w:rPr>
          <w:sz w:val="20"/>
          <w:szCs w:val="20"/>
          <w:color w:val="auto"/>
        </w:rPr>
      </w:pPr>
      <w:r>
        <w:rPr>
          <w:rFonts w:ascii="Times New Roman" w:cs="Times New Roman" w:eastAsia="Times New Roman" w:hAnsi="Times New Roman"/>
          <w:sz w:val="18"/>
          <w:szCs w:val="18"/>
          <w:color w:val="auto"/>
        </w:rPr>
        <w:t>On March 20, 2024 (the “Effective Date”), the Company entered into the Fourth Amendment to the Credit Agreement and Guaranty (the “Fourth Amendment”), which amended the Credit Agreement. Pursuant to the Fourth Amendment, the Lenders agreed to waive the covenant that the Company shall not receive a report and opinion from the Company’s independent registered public accounting firm that contains a “going concern” or similar qualification with respect to the Company’s financial statements for the year ended December 31, 2023. Accordingly, while the Company’s independent registered public accounting firm’s report contained in the Annual Report on Form 10-K for the fiscal year ended December 31, 2023 contains a “going concern” explanatory paragraph, it does not constitute an event of default under the Credit Agreement.</w:t>
      </w:r>
    </w:p>
    <w:p>
      <w:pPr>
        <w:spacing w:after="0" w:line="192" w:lineRule="exact"/>
        <w:rPr>
          <w:sz w:val="20"/>
          <w:szCs w:val="20"/>
          <w:color w:val="auto"/>
        </w:rPr>
      </w:pPr>
    </w:p>
    <w:p>
      <w:pPr>
        <w:ind w:left="60" w:right="219" w:firstLine="324"/>
        <w:spacing w:after="0" w:line="255" w:lineRule="auto"/>
        <w:rPr>
          <w:sz w:val="20"/>
          <w:szCs w:val="20"/>
          <w:color w:val="auto"/>
        </w:rPr>
      </w:pPr>
      <w:r>
        <w:rPr>
          <w:rFonts w:ascii="Times New Roman" w:cs="Times New Roman" w:eastAsia="Times New Roman" w:hAnsi="Times New Roman"/>
          <w:sz w:val="18"/>
          <w:szCs w:val="18"/>
          <w:color w:val="auto"/>
        </w:rPr>
        <w:t>The Fourth Amendment includes a covenant that the Company will receive, (i) after the Effective Date and on or before April 15, 2024, at least $25,000 in gross proceeds from the issuance of its common stock, warrants and/or pre-funded warrants, and/or in non-refundable cash consideration from partnering transactions entered into after the Effective Date (so long as such partnering transactions would not require the Company or any of its subsidiaries to make any cash investments in connection with the partnering transactions and no such cash investments are made) and (ii) after the Effective Date and on or before November 30, 2024, at least $50,000 (for the avoidance of doubt, inclusive of amounts previously counted toward the preceding clause (i)) in gross proceeds from the issuance of its common</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254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06415"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8" w:name="page19"/>
    <w:bookmarkEnd w:id="1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59"/>
        <w:spacing w:after="0" w:line="255" w:lineRule="auto"/>
        <w:rPr>
          <w:sz w:val="20"/>
          <w:szCs w:val="20"/>
          <w:color w:val="auto"/>
        </w:rPr>
      </w:pPr>
      <w:r>
        <w:rPr>
          <w:rFonts w:ascii="Times New Roman" w:cs="Times New Roman" w:eastAsia="Times New Roman" w:hAnsi="Times New Roman"/>
          <w:sz w:val="18"/>
          <w:szCs w:val="18"/>
          <w:color w:val="auto"/>
        </w:rPr>
        <w:t>stock, warrants and/or pre-funded warrants, and/or in cash and/or non-cash consideration (measured at fair market value, as determined by the Administrative Agent (as defined in the Credit Agreement) in its sole discretion ) from partnering transactions entered into after the Effective Date. Failure to perform this covenant would constitute (A) a default under the Credit Agreement and (B) an event of default under the Credit Agreement, subject to a cure period, solely in the case of clause (i) of the preceding sentence, until May 15, 2024. For the avoidance of doubt, failure to perform clause (ii) of the preceding sentence would constitute an immediate event of default under the Credit Agreement without any cure or grace period.</w:t>
      </w:r>
    </w:p>
    <w:p>
      <w:pPr>
        <w:spacing w:after="0" w:line="189" w:lineRule="exact"/>
        <w:rPr>
          <w:sz w:val="20"/>
          <w:szCs w:val="20"/>
          <w:color w:val="auto"/>
        </w:rPr>
      </w:pPr>
    </w:p>
    <w:p>
      <w:pPr>
        <w:ind w:left="60" w:right="139" w:firstLine="324"/>
        <w:spacing w:after="0" w:line="252" w:lineRule="auto"/>
        <w:rPr>
          <w:sz w:val="20"/>
          <w:szCs w:val="20"/>
          <w:color w:val="auto"/>
        </w:rPr>
      </w:pPr>
      <w:r>
        <w:rPr>
          <w:rFonts w:ascii="Times New Roman" w:cs="Times New Roman" w:eastAsia="Times New Roman" w:hAnsi="Times New Roman"/>
          <w:sz w:val="18"/>
          <w:szCs w:val="18"/>
          <w:color w:val="auto"/>
        </w:rPr>
        <w:t xml:space="preserve">In addition, the Fourth Amendment provides that if the Company has not, after the Effective Date and on or before September 30, 2024, received at least $40,000 in gross proceeds from the issuance of its common stock, warrants and/or pre-funded warrants, and/or cash and/or non-cash consideration (measured at fair market value, as determined by the Administrative Agent in its sole discretion) from partnering transactions entered into after the Effective Date, the “Minimum Liquidity Amount” (as defined in the Credit Agreement) that the Company is required to maintain at all times will increase to $25,000 from $15,000, unless and until the Company has received, after the Effective Date and on or before November 30, 2024, at least $50,000 in gross proceeds from the issuance of the Company’s common stock, warrants and/or pre-funded warrants, and/or in cash and/or non-cash consideration (measured at fair market value, as determined by the Administrative Agent in its sole discretion) from partnering transactions entered into after the Effective Date. On March 27, 2024, the Company received $25,000 in gross proceeds from the issuance of its common stock, warrants, and pre-funded warrants discussed in Note 11, </w:t>
      </w:r>
      <w:r>
        <w:rPr>
          <w:rFonts w:ascii="Times New Roman" w:cs="Times New Roman" w:eastAsia="Times New Roman" w:hAnsi="Times New Roman"/>
          <w:sz w:val="18"/>
          <w:szCs w:val="18"/>
          <w:i w:val="1"/>
          <w:iCs w:val="1"/>
          <w:color w:val="auto"/>
        </w:rPr>
        <w:t>Common Stock Financing Activities</w:t>
      </w:r>
      <w:r>
        <w:rPr>
          <w:rFonts w:ascii="Times New Roman" w:cs="Times New Roman" w:eastAsia="Times New Roman" w:hAnsi="Times New Roman"/>
          <w:sz w:val="18"/>
          <w:szCs w:val="18"/>
          <w:color w:val="auto"/>
        </w:rPr>
        <w:t>, satisfying the April 15, 2024 covenant requirement of the Fourth Amendment. During the third quarter of 2024, the Company received $467 of gross proceeds from the issuance of the Company’s common stock. As of September 30, 2024, the Company had satisfied $30,943 of the $40,000 required to maintain the Minimum Liquidity Amount and the $50,000 gross proceeds requirement. As a result, at September 30, 2024, the Minimum Liquidity Amount increased to $25,000. As of March 31, 2025, we were in compliance with all restrictive and financial covenants under the Credit Agreement.</w:t>
      </w:r>
    </w:p>
    <w:p>
      <w:pPr>
        <w:spacing w:after="0" w:line="19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Waiver and Fifth Amendment to Credit Agreement and Guaranty</w:t>
      </w:r>
    </w:p>
    <w:p>
      <w:pPr>
        <w:spacing w:after="0" w:line="243" w:lineRule="exact"/>
        <w:rPr>
          <w:sz w:val="20"/>
          <w:szCs w:val="20"/>
          <w:color w:val="auto"/>
        </w:rPr>
      </w:pPr>
    </w:p>
    <w:p>
      <w:pPr>
        <w:ind w:left="60" w:right="179" w:firstLine="324"/>
        <w:spacing w:after="0" w:line="254" w:lineRule="auto"/>
        <w:rPr>
          <w:sz w:val="20"/>
          <w:szCs w:val="20"/>
          <w:color w:val="auto"/>
        </w:rPr>
      </w:pPr>
      <w:r>
        <w:rPr>
          <w:rFonts w:ascii="Times New Roman" w:cs="Times New Roman" w:eastAsia="Times New Roman" w:hAnsi="Times New Roman"/>
          <w:sz w:val="18"/>
          <w:szCs w:val="18"/>
          <w:color w:val="auto"/>
        </w:rPr>
        <w:t>On November 21, 2024, the Company entered into the Fifth Amendment to Credit Agreement and Guaranty and First Amendment to Fourth Amendment to Credit Agreement and Guaranty (the “Fifth Amendment”), which amended the Credit Agreement and Guaranty, dated April 19, 2022, by and among the Company, as the borrower, certain subsidiaries of the Company from time to time party thereto as subsidiary guarantors, the lenders party thereto (the “Lenders”), and Oaktree Fund Administration LLC (“OFA”) as administrative agent (as amended by the Waiver and First Amendment to Credit Agreement and Guaranty, dated as of November 13, 2023, the Second Amendment to Credit Agreement and Guaranty and Termination of Revenue Interest Financing Agreement, dated as of December 5, 2023, the Third Amendment to Credit Agreement, dated as of February 12, 2024, and the Fourth Amendment to Credit Agreement and Guaranty, dated as of March 20, 2024 (the “Fourth Amendment”), the “Existing Credit Agreement”).</w:t>
      </w:r>
    </w:p>
    <w:p>
      <w:pPr>
        <w:spacing w:after="0" w:line="188" w:lineRule="exact"/>
        <w:rPr>
          <w:sz w:val="20"/>
          <w:szCs w:val="20"/>
          <w:color w:val="auto"/>
        </w:rPr>
      </w:pPr>
    </w:p>
    <w:p>
      <w:pPr>
        <w:ind w:left="60" w:right="179" w:firstLine="324"/>
        <w:spacing w:after="0" w:line="273" w:lineRule="auto"/>
        <w:rPr>
          <w:sz w:val="20"/>
          <w:szCs w:val="20"/>
          <w:color w:val="auto"/>
        </w:rPr>
      </w:pPr>
      <w:r>
        <w:rPr>
          <w:rFonts w:ascii="Times New Roman" w:cs="Times New Roman" w:eastAsia="Times New Roman" w:hAnsi="Times New Roman"/>
          <w:sz w:val="17"/>
          <w:szCs w:val="17"/>
          <w:color w:val="auto"/>
        </w:rPr>
        <w:t>Pursuant to the Fifth Amendment, the Lenders agreed to, among other things, (i) waive the Credit Agreement’s covenant that the report and opinion the Company will receive from its independent registered public accounting firm with respect to the financial statements for the year ending December 31, 2024 will not contain a “going concern” or similar qualification, (ii) permanently waive the Credit Agreement’s minimum revenue covenant, and (iii) waive the Fourth Amendment’s requirement that the Company raise, after the effective date of the Fourth Amendment and on or before November 30, 2024, at least $50,000 in gross cash proceeds from the issuance of its common stock, warrants, and/or pre-funded warrants, and/or in cash and/or non-cash consideration from newly entered-into partnering transactions.</w:t>
      </w:r>
    </w:p>
    <w:p>
      <w:pPr>
        <w:spacing w:after="0" w:line="131" w:lineRule="exact"/>
        <w:rPr>
          <w:sz w:val="20"/>
          <w:szCs w:val="20"/>
          <w:color w:val="auto"/>
        </w:rPr>
      </w:pPr>
    </w:p>
    <w:p>
      <w:pPr>
        <w:ind w:left="60" w:right="159" w:firstLine="324"/>
        <w:spacing w:after="0" w:line="254" w:lineRule="auto"/>
        <w:rPr>
          <w:sz w:val="20"/>
          <w:szCs w:val="20"/>
          <w:color w:val="auto"/>
        </w:rPr>
      </w:pPr>
      <w:r>
        <w:rPr>
          <w:rFonts w:ascii="Times New Roman" w:cs="Times New Roman" w:eastAsia="Times New Roman" w:hAnsi="Times New Roman"/>
          <w:sz w:val="18"/>
          <w:szCs w:val="18"/>
          <w:color w:val="auto"/>
        </w:rPr>
        <w:t>The Fifth Amendment includes a new capital raising covenant requiring that the Company receive (A) after the effective date of the Fifth Amendment and on or prior to November 27, 2024, at least $7,000 in gross cash proceeds from the issuance of the Company’s common stock, warrants and/or pre-funded warrants(“Raise 1”), (B) after the effective date of the Fifth Amendment and on or before March 15, 2025 (provided that the Company was required to use its commercially reasonable efforts to satisfy the requirement by February 15, 2025), at least $18,000 in net cash proceeds (including the proceeds of Raise 1) from (i) the issuance of the Company’s common stock, warrants and/or pre-funded warrants, (ii) non-refundable cash consideration from partnering transactions entered into after the effective date of the Fifth Amendment (so long as such partnering transactions would not require the Company or any of its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06415"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9" w:name="page20"/>
    <w:bookmarkEnd w:id="1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59"/>
        <w:spacing w:after="0" w:line="276" w:lineRule="auto"/>
        <w:rPr>
          <w:sz w:val="20"/>
          <w:szCs w:val="20"/>
          <w:color w:val="auto"/>
        </w:rPr>
      </w:pPr>
      <w:r>
        <w:rPr>
          <w:rFonts w:ascii="Times New Roman" w:cs="Times New Roman" w:eastAsia="Times New Roman" w:hAnsi="Times New Roman"/>
          <w:sz w:val="17"/>
          <w:szCs w:val="17"/>
          <w:color w:val="auto"/>
        </w:rPr>
        <w:t>subsidiaries to make any cash investments in connection with the partnering transactions and no such cash investments are made), (iii) the issuance of the Company’s subordinated debt (subject to terms set forth in the Fifth Amendment), and/or</w:t>
      </w:r>
    </w:p>
    <w:p>
      <w:pPr>
        <w:spacing w:after="0" w:line="1" w:lineRule="exact"/>
        <w:rPr>
          <w:sz w:val="20"/>
          <w:szCs w:val="20"/>
          <w:color w:val="auto"/>
        </w:rPr>
      </w:pPr>
    </w:p>
    <w:p>
      <w:pPr>
        <w:ind w:left="60" w:right="239" w:hanging="10"/>
        <w:spacing w:after="0" w:line="253" w:lineRule="auto"/>
        <w:tabs>
          <w:tab w:leader="none" w:pos="36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asset sales permitted pursuant to the Credit Agreement or consented to by the Lenders (such capital raise, “Raise 2”), and (C) after the effective date of the Fifth Amendment and on or prior to the earlier of (x) August 15, 2025 and (y) the date that is 30 days after the final data readout of the SERENITY At-Home Phase 3 trial, at least $29,000 in net cash proceeds (including the proceeds from Raise 1 and Raise 2) from the same permitted capital raising activities listed in the preceding clause (B).</w:t>
      </w:r>
    </w:p>
    <w:p>
      <w:pPr>
        <w:spacing w:after="0" w:line="16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In connection with the Fifth Amendment and the required capital raises described in the preceding paragraph, the</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Lenders agreed to modify the Credit Agreement’s minimum liquidity covenant to require minimum cash liquidity of</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$7,500 (instead of $25,000) from and after the closing of Raise 1until March 30, 2025. On March 31, 2025, the minimum</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liquidity amount increased to $10,000 and on September 30, 2025, the minimum liquidity amount will further increase to</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$15,000.</w:t>
      </w:r>
    </w:p>
    <w:p>
      <w:pPr>
        <w:spacing w:after="0" w:line="166" w:lineRule="exact"/>
        <w:rPr>
          <w:sz w:val="20"/>
          <w:szCs w:val="20"/>
          <w:color w:val="auto"/>
        </w:rPr>
      </w:pPr>
    </w:p>
    <w:p>
      <w:pPr>
        <w:ind w:left="60" w:right="439" w:firstLine="324"/>
        <w:spacing w:after="0" w:line="266" w:lineRule="auto"/>
        <w:rPr>
          <w:sz w:val="20"/>
          <w:szCs w:val="20"/>
          <w:color w:val="auto"/>
        </w:rPr>
      </w:pPr>
      <w:r>
        <w:rPr>
          <w:rFonts w:ascii="Times New Roman" w:cs="Times New Roman" w:eastAsia="Times New Roman" w:hAnsi="Times New Roman"/>
          <w:sz w:val="18"/>
          <w:szCs w:val="18"/>
          <w:color w:val="auto"/>
        </w:rPr>
        <w:t>In connection with the Fifth Amendment, the Company paid a one-time amortization payment of $2,500 principal amount, together with accrued and unpaid interest and a portion of the prepayment fee and other fees payable in December 2024.</w:t>
      </w:r>
    </w:p>
    <w:p>
      <w:pPr>
        <w:spacing w:after="0" w:line="135" w:lineRule="exact"/>
        <w:rPr>
          <w:sz w:val="20"/>
          <w:szCs w:val="20"/>
          <w:color w:val="auto"/>
        </w:rPr>
      </w:pPr>
    </w:p>
    <w:p>
      <w:pPr>
        <w:ind w:left="60" w:right="199" w:firstLine="324"/>
        <w:spacing w:after="0" w:line="255" w:lineRule="auto"/>
        <w:rPr>
          <w:sz w:val="20"/>
          <w:szCs w:val="20"/>
          <w:color w:val="auto"/>
        </w:rPr>
      </w:pPr>
      <w:r>
        <w:rPr>
          <w:rFonts w:ascii="Times New Roman" w:cs="Times New Roman" w:eastAsia="Times New Roman" w:hAnsi="Times New Roman"/>
          <w:sz w:val="18"/>
          <w:szCs w:val="18"/>
          <w:color w:val="auto"/>
        </w:rPr>
        <w:t>The Fifth Amendment also modifies the interest rate of the loans provided under the Credit Agreement from a floating rate of Term SOFR plus 7.50% per annum, to a fixed rate of 13% per annum, retroactive to and effective as of September 30, 2024. For the quarterly payment dates ending December 31, 2024, March 31, 2025, and June 30, 2025, the Company will have the ability to make interest payments of up to 10% per annum “in-kind” by capitalizing and adding such interest to the outstanding principal amount of the loans under the Credit Agreement. In addition, pursuant to the Fifth Amendment, the Company will be required to make quarterly amortization payments equal to 5.0% of the principal amount of funded loans, together with applicable prepayment fees, beginning on March 31, 2026.</w:t>
      </w:r>
    </w:p>
    <w:p>
      <w:pPr>
        <w:spacing w:after="0" w:line="162" w:lineRule="exact"/>
        <w:rPr>
          <w:sz w:val="20"/>
          <w:szCs w:val="20"/>
          <w:color w:val="auto"/>
        </w:rPr>
      </w:pPr>
    </w:p>
    <w:p>
      <w:pPr>
        <w:ind w:left="60" w:right="179" w:firstLine="324"/>
        <w:spacing w:after="0" w:line="261" w:lineRule="auto"/>
        <w:rPr>
          <w:sz w:val="20"/>
          <w:szCs w:val="20"/>
          <w:color w:val="auto"/>
        </w:rPr>
      </w:pPr>
      <w:r>
        <w:rPr>
          <w:rFonts w:ascii="Times New Roman" w:cs="Times New Roman" w:eastAsia="Times New Roman" w:hAnsi="Times New Roman"/>
          <w:sz w:val="18"/>
          <w:szCs w:val="18"/>
          <w:color w:val="auto"/>
        </w:rPr>
        <w:t>On the effective date of the Fifth Amendment and as a condition to effectiveness thereof, the Company’s wholly owned subsidiaries OnkosXcel Therapeutics, LLC and OnkosXcel Employee Holdings, LLC (collectively, “OnkosXcel”), which previously provided unsecured guarantees of the Company’s obligations under the Credit Agreement, granted security interests in substantially all of their assets to support such obligations.</w:t>
      </w:r>
    </w:p>
    <w:p>
      <w:pPr>
        <w:spacing w:after="0" w:line="139" w:lineRule="exact"/>
        <w:rPr>
          <w:sz w:val="20"/>
          <w:szCs w:val="20"/>
          <w:color w:val="auto"/>
        </w:rPr>
      </w:pPr>
    </w:p>
    <w:p>
      <w:pPr>
        <w:jc w:val="both"/>
        <w:ind w:left="60" w:right="139" w:firstLine="324"/>
        <w:spacing w:after="0" w:line="266" w:lineRule="auto"/>
        <w:rPr>
          <w:sz w:val="20"/>
          <w:szCs w:val="20"/>
          <w:color w:val="auto"/>
        </w:rPr>
      </w:pPr>
      <w:r>
        <w:rPr>
          <w:rFonts w:ascii="Times New Roman" w:cs="Times New Roman" w:eastAsia="Times New Roman" w:hAnsi="Times New Roman"/>
          <w:sz w:val="18"/>
          <w:szCs w:val="18"/>
          <w:color w:val="auto"/>
        </w:rPr>
        <w:t>The Fifth Amendment amends the negative covenants under the Credit Agreement to remove flexibility the Company and its subsidiaries previously had thereunder to undertake various transactions, including, without limitation, with respect to potential dispositions of OnkosXcel or out-licenses by OnkosXcel of its intellectual property.</w:t>
      </w:r>
    </w:p>
    <w:p>
      <w:pPr>
        <w:spacing w:after="0" w:line="135" w:lineRule="exact"/>
        <w:rPr>
          <w:sz w:val="20"/>
          <w:szCs w:val="20"/>
          <w:color w:val="auto"/>
        </w:rPr>
      </w:pPr>
    </w:p>
    <w:p>
      <w:pPr>
        <w:ind w:left="60" w:right="339" w:firstLine="324"/>
        <w:spacing w:after="0" w:line="256" w:lineRule="auto"/>
        <w:rPr>
          <w:sz w:val="20"/>
          <w:szCs w:val="20"/>
          <w:color w:val="auto"/>
        </w:rPr>
      </w:pPr>
      <w:r>
        <w:rPr>
          <w:rFonts w:ascii="Times New Roman" w:cs="Times New Roman" w:eastAsia="Times New Roman" w:hAnsi="Times New Roman"/>
          <w:sz w:val="18"/>
          <w:szCs w:val="18"/>
          <w:color w:val="auto"/>
        </w:rPr>
        <w:t>Pursuant to the Fifth Amendment, the Company committed to appoint a new independent board director (subject to customary background checks, applicable law, confirmation of independence and Nasdaq rules), and to provide the independent director with various privileges and committee memberships on the board of directors of the Company (including the appointment of such director on committee to be formed to focus on capital raising and evaluate strategic options). The Company also agreed to engage an investment banker reasonably acceptable to OFA and the Lenders to assist the Company and its board of directors with evaluating and exploring strategic options.</w:t>
      </w:r>
    </w:p>
    <w:p>
      <w:pPr>
        <w:spacing w:after="0" w:line="160" w:lineRule="exact"/>
        <w:rPr>
          <w:sz w:val="20"/>
          <w:szCs w:val="20"/>
          <w:color w:val="auto"/>
        </w:rPr>
      </w:pPr>
    </w:p>
    <w:p>
      <w:pPr>
        <w:ind w:left="60" w:right="219" w:firstLine="324"/>
        <w:spacing w:after="0" w:line="273" w:lineRule="auto"/>
        <w:rPr>
          <w:sz w:val="20"/>
          <w:szCs w:val="20"/>
          <w:color w:val="auto"/>
        </w:rPr>
      </w:pPr>
      <w:r>
        <w:rPr>
          <w:rFonts w:ascii="Times New Roman" w:cs="Times New Roman" w:eastAsia="Times New Roman" w:hAnsi="Times New Roman"/>
          <w:sz w:val="17"/>
          <w:szCs w:val="17"/>
          <w:color w:val="auto"/>
        </w:rPr>
        <w:t>The Company also agreed to covenants requiring that the Company’s cash expenditures be monitored by the Lenders according to a board-approved budget provided to the Lenders prior to the signing of the Fifth Amendment, which cash budget will be updated on a bi-weekly basis going forward. The Company will not be permitted to make disbursements for any two-week period in excess of 115% of the aggregate budgeted amount of disbursements for the applicable period. Finally, pursuant to the Fifth Amendment, the Company is restricted from paying cash bonuses for its employees or executives during the fiscal years 2024 and 2025 without OFA’s consent or increasing the cash compensation for fiscal year 2025 for certain senior officers of the Company from their compensation for fiscal year 2024.</w:t>
      </w:r>
    </w:p>
    <w:p>
      <w:pPr>
        <w:spacing w:after="0" w:line="38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06415"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0" w:name="page21"/>
    <w:bookmarkEnd w:id="2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Sixth Amendment to Credit Agreement</w:t>
      </w:r>
    </w:p>
    <w:p>
      <w:pPr>
        <w:spacing w:after="0" w:line="202" w:lineRule="exact"/>
        <w:rPr>
          <w:sz w:val="20"/>
          <w:szCs w:val="20"/>
          <w:color w:val="auto"/>
        </w:rPr>
      </w:pPr>
    </w:p>
    <w:p>
      <w:pPr>
        <w:ind w:left="60" w:right="499" w:firstLine="324"/>
        <w:spacing w:after="0" w:line="266" w:lineRule="auto"/>
        <w:rPr>
          <w:sz w:val="20"/>
          <w:szCs w:val="20"/>
          <w:color w:val="auto"/>
        </w:rPr>
      </w:pPr>
      <w:r>
        <w:rPr>
          <w:rFonts w:ascii="Times New Roman" w:cs="Times New Roman" w:eastAsia="Times New Roman" w:hAnsi="Times New Roman"/>
          <w:sz w:val="18"/>
          <w:szCs w:val="18"/>
          <w:color w:val="auto"/>
        </w:rPr>
        <w:t>On March 4, 2025, the Company entered into the Sixth Amendment to our Credit Agreement (the “Sixth Amendment”), pursuant to which the Lenders agreed to, among other things, delay the date on which the Company is required to engage an investment banker (which date has been subsequently extended to July 31, 2025).</w:t>
      </w:r>
    </w:p>
    <w:p>
      <w:pPr>
        <w:spacing w:after="0" w:line="13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Warrants and Equity Investment Right</w:t>
      </w:r>
    </w:p>
    <w:p>
      <w:pPr>
        <w:spacing w:after="0" w:line="189" w:lineRule="exact"/>
        <w:rPr>
          <w:sz w:val="20"/>
          <w:szCs w:val="20"/>
          <w:color w:val="auto"/>
        </w:rPr>
      </w:pPr>
    </w:p>
    <w:p>
      <w:pPr>
        <w:ind w:left="60" w:right="159" w:firstLine="324"/>
        <w:spacing w:after="0" w:line="255" w:lineRule="auto"/>
        <w:rPr>
          <w:sz w:val="20"/>
          <w:szCs w:val="20"/>
          <w:color w:val="auto"/>
        </w:rPr>
      </w:pPr>
      <w:r>
        <w:rPr>
          <w:rFonts w:ascii="Times New Roman" w:cs="Times New Roman" w:eastAsia="Times New Roman" w:hAnsi="Times New Roman"/>
          <w:sz w:val="18"/>
          <w:szCs w:val="18"/>
          <w:color w:val="auto"/>
        </w:rPr>
        <w:t>In connection with the closing of the Second Amendment, on the Second Amendment Effective Date, the Company amended and restated the warrants granted to the Lenders on April 19, 2022 to purchase up to 17 shares of the Company’s common stock at an exercise price of $320.64 per share (the “Closing Date Warrants”). Pursuant to the amendment and restatement of the Closing Date Warrants, dated December 5, 2023 (the “Amended and Restated Closing Date Warrants”), the exercise price of the Closing Date Warrants has been reduced to $58.3232 per share. In addition, the Company granted new warrants to the Lenders to purchase up to 4 shares of the Company’s common stock (the “2023 Warrant Shares”) at an exercise price of $58.3232 per share (the “2023 Warrants” and together with the Amended and Restated Closing Date Warrants, the “Warrants”). The Amended and Restated Closing Date Warrants and the 2023 Warrants will expire on April 19, 2029 and may be net exercised at the holders election. In addition, pursuant to the Credit Agreement, the Lenders have the right to purchase shares of the Company’s common stock after the Second Amendment Effective Date, so long as borrowings under the Credit Agreement are outstanding, for a purchase price of $5,000 at a price per share equal to a 10% premium to the volume-weighted average price of the common stock over the 30 trading days prior to the Lenders’ election to proceed with such equity investment (the “Equity Investment Right”). BTI entered into a registration rights agreement (the “Registration Rights Agreement”) with the Lenders and filed a registration statement on Form S-3 to register the shares issuable upon exercise of the Warrants and, if issued, the shares related to the Equity Investment Right, for resale. The maximum shares of the Company’s common stock issuable under the Warrants (including the Closing Date Warrants and the 2023 Warrants) and Lenders’ Equity Investment Right was 366 as of March 31, 2024. On the Second Amendment Effective Date, Company amended and restated its Registration Rights Agreement (the “Amended and Restated Registration Rights Agreement”) with the Lenders, dated April 19, 2022, pursuant to which the Company agreed to register the 2023 Warrant Shares for resale.</w:t>
      </w:r>
    </w:p>
    <w:p>
      <w:pPr>
        <w:spacing w:after="0" w:line="165" w:lineRule="exact"/>
        <w:rPr>
          <w:sz w:val="20"/>
          <w:szCs w:val="20"/>
          <w:color w:val="auto"/>
        </w:rPr>
      </w:pPr>
    </w:p>
    <w:p>
      <w:pPr>
        <w:ind w:left="60" w:right="139" w:firstLine="324"/>
        <w:spacing w:after="0" w:line="253" w:lineRule="auto"/>
        <w:rPr>
          <w:sz w:val="20"/>
          <w:szCs w:val="20"/>
          <w:color w:val="auto"/>
        </w:rPr>
      </w:pPr>
      <w:r>
        <w:rPr>
          <w:rFonts w:ascii="Times New Roman" w:cs="Times New Roman" w:eastAsia="Times New Roman" w:hAnsi="Times New Roman"/>
          <w:sz w:val="18"/>
          <w:szCs w:val="18"/>
          <w:color w:val="auto"/>
        </w:rPr>
        <w:t>As part of the Credit Agreement, OnkosXcel, a wholly owned subsidiary of BTI, granted warrants to the Lenders to purchase 175 individual limited liability company units (which number of units is not in thousands; referred to herein as the “OnkosXcel Warrants”). The strike price of the OnkosXcel Warrants is formulaic based on the value of OnkosXcel at the time of exercise and can only be exercised upon occurrence of an equity related liquidity event for OnkosXcel of at least $20,000. The exercise price per unit of the OnkosXcel Warrants will be set upon the earlier of the closing of the next sale (or series of related sales) by OnkosXcel of equity securities of OnkosXcel with aggregate proceeds of not less than $20,000 to unrelated third parties (the “Next Equity Financing”) at an exercise price per unit equal to a 10% premium over the price per unit of the equity securities sold by OnkosXcel in such Next Equity Financing or, in the event of a sale of OnkosXcel prior to the Next Equity Financing or an initial public offering constituting the Next Equity Financing, the lesser of (x) 75% of the fair value of the consideration to be paid for a unit upon the consummation of such transaction and (y) 150% of the valuation applicable to the initial profits units issued by OnkosXcel after the closing of the Credit Agreement. The OnkosXcel Warrants are transferable with approval from BTI, which cannot be unreasonably withheld, expire on April 19, 2029, and may be net exercised at the holder’s election.</w:t>
      </w:r>
    </w:p>
    <w:p>
      <w:pPr>
        <w:spacing w:after="0" w:line="147" w:lineRule="exact"/>
        <w:rPr>
          <w:sz w:val="20"/>
          <w:szCs w:val="20"/>
          <w:color w:val="auto"/>
        </w:rPr>
      </w:pPr>
    </w:p>
    <w:p>
      <w:pPr>
        <w:ind w:left="60" w:right="199" w:firstLine="324"/>
        <w:spacing w:after="0" w:line="254" w:lineRule="auto"/>
        <w:rPr>
          <w:sz w:val="20"/>
          <w:szCs w:val="20"/>
          <w:color w:val="auto"/>
        </w:rPr>
      </w:pPr>
      <w:r>
        <w:rPr>
          <w:rFonts w:ascii="Times New Roman" w:cs="Times New Roman" w:eastAsia="Times New Roman" w:hAnsi="Times New Roman"/>
          <w:sz w:val="18"/>
          <w:szCs w:val="18"/>
          <w:color w:val="auto"/>
        </w:rPr>
        <w:t>In connection with the closing of the Fourth Amendment discussed below, the Company granted new warrants to the Lenders to purchase up to 6 shares of its common stock (the “2024 Warrant Shares”) at an exercise price of $49.1568 per share (the “2024 Warrants”), which represents a 10% premium over the arithmetic average of the volume-weighted average price of the Company’s common stock on the Nasdaq Capital Market during the 30 trading days preceding the Effective Date. The 2024 Warrants will expire on April 19, 2029 and may be net exercised at the holder’s election. On the Effective Date, the Company amended and restated its Amended and Restated Registration Rights Agreement (the “Second Amended and Restated Registration Rights Agreement”) with the Lenders, originally dated April 19, 2022. Pursuant to the Second Amended and Restated Registration Rights Agreement, the Company agreed to register the 2024 Warrant Shares for resale.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25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06415"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1" w:name="page22"/>
    <w:bookmarkEnd w:id="2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Fifth Amendment Warrants, Registration Rights Agreement and Equity Investment Right Termination</w:t>
      </w:r>
    </w:p>
    <w:p>
      <w:pPr>
        <w:spacing w:after="0" w:line="202" w:lineRule="exact"/>
        <w:rPr>
          <w:sz w:val="20"/>
          <w:szCs w:val="20"/>
          <w:color w:val="auto"/>
        </w:rPr>
      </w:pPr>
    </w:p>
    <w:p>
      <w:pPr>
        <w:ind w:left="60" w:right="159" w:firstLine="324"/>
        <w:spacing w:after="0" w:line="253" w:lineRule="auto"/>
        <w:rPr>
          <w:sz w:val="20"/>
          <w:szCs w:val="20"/>
          <w:color w:val="auto"/>
        </w:rPr>
      </w:pPr>
      <w:r>
        <w:rPr>
          <w:rFonts w:ascii="Times New Roman" w:cs="Times New Roman" w:eastAsia="Times New Roman" w:hAnsi="Times New Roman"/>
          <w:sz w:val="18"/>
          <w:szCs w:val="18"/>
          <w:color w:val="auto"/>
        </w:rPr>
        <w:t>Prior to the Fifth Amendment, pursuant to the Credit Agreement, the Lenders had the right to purchase shares of our common stock, so long as borrowings under the Credit Agreement are outstanding, for a purchase price of $5,000 at a price per share equal to a 10% premium to the volume-weighted average price of the common stock over the 30 trading days prior to the Lenders’ election to proceed with such equity investment (the “Equity Investment Right”). The Equity investment Right was terminated as part of the Fifth Amendment. We entered into a registration rights agreement with the Lenders (as amended and restated in connection with the Second Amendment, the “Amended and Restated Registration Rights Agreement”) and filed registration statements on Form S-3 to register the shares issuable upon exercise of the Closing Date Warrants, 2023 Warrants and the New Warrants for resale. The maximum shares of our common stock issuable under the Closing Date Warrants, the 2023 Warrants and the Lenders’ Equity Investment Right was 366. On the Effective Date, we further amended and restated the Amended and Restated Registration Rights Agreement (the “Second Amended and Restated Registration Rights Agreement”) with the Lenders. Pursuant to the Second Amended and Restated Registration Rights Agreement, we agreed to register the 2024 Warrant Shares for resale.</w:t>
      </w:r>
    </w:p>
    <w:p>
      <w:pPr>
        <w:spacing w:after="0" w:line="149" w:lineRule="exact"/>
        <w:rPr>
          <w:sz w:val="20"/>
          <w:szCs w:val="20"/>
          <w:color w:val="auto"/>
        </w:rPr>
      </w:pPr>
    </w:p>
    <w:p>
      <w:pPr>
        <w:ind w:left="60" w:right="339" w:firstLine="324"/>
        <w:spacing w:after="0" w:line="261" w:lineRule="auto"/>
        <w:rPr>
          <w:sz w:val="20"/>
          <w:szCs w:val="20"/>
          <w:color w:val="auto"/>
        </w:rPr>
      </w:pPr>
      <w:r>
        <w:rPr>
          <w:rFonts w:ascii="Times New Roman" w:cs="Times New Roman" w:eastAsia="Times New Roman" w:hAnsi="Times New Roman"/>
          <w:sz w:val="18"/>
          <w:szCs w:val="18"/>
          <w:color w:val="auto"/>
        </w:rPr>
        <w:t>In connection with the closing of the Fifth Amendment, the Company agreed to, substantially concurrently with the closing of Raise 1, grant new warrants to the Lenders to purchase an aggregate of 313 shares of common stock on the closing date of the Fifth Amendment, at an exercise price of $0.16 per share (the “New Warrants”). The New Warrants will expire on the seventh anniversary of their issuance.</w:t>
      </w:r>
    </w:p>
    <w:p>
      <w:pPr>
        <w:spacing w:after="0" w:line="139" w:lineRule="exact"/>
        <w:rPr>
          <w:sz w:val="20"/>
          <w:szCs w:val="20"/>
          <w:color w:val="auto"/>
        </w:rPr>
      </w:pPr>
    </w:p>
    <w:p>
      <w:pPr>
        <w:ind w:left="60" w:right="179" w:firstLine="324"/>
        <w:spacing w:after="0" w:line="254" w:lineRule="auto"/>
        <w:rPr>
          <w:sz w:val="20"/>
          <w:szCs w:val="20"/>
          <w:color w:val="auto"/>
        </w:rPr>
      </w:pPr>
      <w:r>
        <w:rPr>
          <w:rFonts w:ascii="Times New Roman" w:cs="Times New Roman" w:eastAsia="Times New Roman" w:hAnsi="Times New Roman"/>
          <w:sz w:val="18"/>
          <w:szCs w:val="18"/>
          <w:color w:val="auto"/>
        </w:rPr>
        <w:t>In addition, the Company agreed to, substantially concurrently with the closing of Raise 1, amend and restate all warrants to purchase stock of the Company issued to the Lenders prior to the effective date of the Fifth Amendment, to revise the exercise price thereunder to an exercise price equal to the lower of (i) the price per share of the common stock of the Company issued in Raise 1 and (ii) arithmetic average of the volume-weighted average price of the Company’s common stock on the Nasdaq Capital Market during the 30 trading days preceding Raise 1 (such existing warrants, as amended and restated, the “Original Warrants”). The Original Warrants provide the Lenders with the right to purchase a total of 28 shares of common stock of the Company, and the exercise prices of $58.3232 per share and $49.1568 per share were reduced to $7.68 per share.</w:t>
      </w:r>
    </w:p>
    <w:p>
      <w:pPr>
        <w:spacing w:after="0" w:line="165" w:lineRule="exact"/>
        <w:rPr>
          <w:sz w:val="20"/>
          <w:szCs w:val="20"/>
          <w:color w:val="auto"/>
        </w:rPr>
      </w:pPr>
    </w:p>
    <w:p>
      <w:pPr>
        <w:ind w:left="60" w:right="299" w:firstLine="324"/>
        <w:spacing w:after="0" w:line="261" w:lineRule="auto"/>
        <w:rPr>
          <w:sz w:val="20"/>
          <w:szCs w:val="20"/>
          <w:color w:val="auto"/>
        </w:rPr>
      </w:pPr>
      <w:r>
        <w:rPr>
          <w:rFonts w:ascii="Times New Roman" w:cs="Times New Roman" w:eastAsia="Times New Roman" w:hAnsi="Times New Roman"/>
          <w:sz w:val="18"/>
          <w:szCs w:val="18"/>
          <w:color w:val="auto"/>
        </w:rPr>
        <w:t>On the date of issuance of the New Warrants, the Company agreed to amend and restate its Second Amended and Restated Registration Rights Agreement with the Lenders, dated March 20, 2024. Pursuant to such amendment and restatement (the “Third Amended and Restated Registration Rights Agreement”), the Company will agree to register the shares of common stock issuable under the New Warrants, in addition to all Original Warrants, for resale.</w:t>
      </w:r>
    </w:p>
    <w:p>
      <w:pPr>
        <w:spacing w:after="0" w:line="139" w:lineRule="exact"/>
        <w:rPr>
          <w:sz w:val="20"/>
          <w:szCs w:val="20"/>
          <w:color w:val="auto"/>
        </w:rPr>
      </w:pPr>
    </w:p>
    <w:p>
      <w:pPr>
        <w:ind w:left="60" w:right="159" w:firstLine="324"/>
        <w:spacing w:after="0" w:line="253" w:lineRule="auto"/>
        <w:rPr>
          <w:sz w:val="20"/>
          <w:szCs w:val="20"/>
          <w:color w:val="auto"/>
        </w:rPr>
      </w:pPr>
      <w:r>
        <w:rPr>
          <w:rFonts w:ascii="Times New Roman" w:cs="Times New Roman" w:eastAsia="Times New Roman" w:hAnsi="Times New Roman"/>
          <w:sz w:val="18"/>
          <w:szCs w:val="18"/>
          <w:color w:val="auto"/>
        </w:rPr>
        <w:t>As part of entering into the Credit Agreement, OnkosXcel, a wholly owned subsidiary of BTI, granted the OnkosXcel Warrants to the Lenders to purchase 175 individual limited liability company units. The strike price of the OnkosXcel Warrants is formulaic based on the value of OnkosXcel at the time of exercise and can only be exercised upon occurrence of an equity related liquidity event for OnkosXcel of at least $20,000. The exercise price per unit of the OnkosXcel Warrants will be set upon the earlier of the closing of the next sale (or series of related sales) by OnkosXcel of equity securities of OnkosXcel with aggregate proceeds of not less than $20,000 to unrelated third parties (the “Next Equity Financing”) at an exercise price per unit equal to a 10% premium over the price per unit of the equity securities sold by OnkosXcel in such Next Equity Financing or, in the event of a sale of OnkosXcel prior to the Next Equity Financing or an initial public offering constituting the Next Equity Financing, the lesser of (x) 75% of the fair value of the consideration to be paid for a unit upon the consummation of such transaction and (y) 150% of the valuation applicable to the initial profits units issued by OnkosXcel after the closing of the Credit Agreement. The OnkosXcel Warrants are transferable with approval from BTI, which cannot be unreasonably withheld, expire on April 19, 2029, and may be net exercised at the holder’s election.</w:t>
      </w:r>
    </w:p>
    <w:p>
      <w:pPr>
        <w:spacing w:after="0" w:line="200" w:lineRule="exact"/>
        <w:rPr>
          <w:sz w:val="20"/>
          <w:szCs w:val="20"/>
          <w:color w:val="auto"/>
        </w:rPr>
      </w:pPr>
    </w:p>
    <w:p>
      <w:pPr>
        <w:spacing w:after="0" w:line="20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254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06415"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2" w:name="page23"/>
    <w:bookmarkEnd w:id="2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Maturities of debt are expected to be as follows:</w:t>
      </w:r>
    </w:p>
    <w:p>
      <w:pPr>
        <w:spacing w:after="0" w:line="273"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6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gridSpan w:val="3"/>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March 31, 2025</w:t>
            </w:r>
          </w:p>
        </w:tc>
      </w:tr>
      <w:tr>
        <w:trPr>
          <w:trHeight w:val="209"/>
        </w:trPr>
        <w:tc>
          <w:tcPr>
            <w:tcW w:w="6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6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2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280" w:type="dxa"/>
            <w:vAlign w:val="bottom"/>
          </w:tcPr>
          <w:p>
            <w:pPr>
              <w:spacing w:after="0"/>
              <w:rPr>
                <w:sz w:val="18"/>
                <w:szCs w:val="18"/>
                <w:color w:val="auto"/>
              </w:rPr>
            </w:pPr>
          </w:p>
        </w:tc>
        <w:tc>
          <w:tcPr>
            <w:tcW w:w="92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22,431</w:t>
            </w:r>
          </w:p>
        </w:tc>
      </w:tr>
      <w:tr>
        <w:trPr>
          <w:trHeight w:val="216"/>
        </w:trPr>
        <w:tc>
          <w:tcPr>
            <w:tcW w:w="6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2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86,960</w:t>
            </w:r>
          </w:p>
        </w:tc>
      </w:tr>
      <w:tr>
        <w:trPr>
          <w:trHeight w:val="234"/>
        </w:trPr>
        <w:tc>
          <w:tcPr>
            <w:tcW w:w="6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280" w:type="dxa"/>
            <w:vAlign w:val="bottom"/>
          </w:tcPr>
          <w:p>
            <w:pPr>
              <w:spacing w:after="0"/>
              <w:rPr>
                <w:sz w:val="20"/>
                <w:szCs w:val="20"/>
                <w:color w:val="auto"/>
              </w:rPr>
            </w:pPr>
          </w:p>
        </w:tc>
        <w:tc>
          <w:tcPr>
            <w:tcW w:w="92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414"/>
        </w:trPr>
        <w:tc>
          <w:tcPr>
            <w:tcW w:w="61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Interest expense was as follows:</w:t>
            </w: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422"/>
        </w:trPr>
        <w:tc>
          <w:tcPr>
            <w:tcW w:w="6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380" w:type="dxa"/>
            <w:vAlign w:val="bottom"/>
            <w:gridSpan w:val="5"/>
          </w:tcPr>
          <w:p>
            <w:pPr>
              <w:jc w:val="right"/>
              <w:ind w:right="612"/>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199"/>
        </w:trPr>
        <w:tc>
          <w:tcPr>
            <w:tcW w:w="618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gridSpan w:val="4"/>
          </w:tcPr>
          <w:p>
            <w:pPr>
              <w:ind w:left="72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900" w:type="dxa"/>
            <w:vAlign w:val="bottom"/>
            <w:tcBorders>
              <w:bottom w:val="single" w:sz="8" w:color="auto"/>
            </w:tcBorders>
          </w:tcPr>
          <w:p>
            <w:pPr>
              <w:spacing w:after="0"/>
              <w:rPr>
                <w:sz w:val="17"/>
                <w:szCs w:val="17"/>
                <w:color w:val="auto"/>
              </w:rPr>
            </w:pPr>
          </w:p>
        </w:tc>
      </w:tr>
      <w:tr>
        <w:trPr>
          <w:trHeight w:val="196"/>
        </w:trPr>
        <w:tc>
          <w:tcPr>
            <w:tcW w:w="618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Borders>
              <w:bottom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09"/>
        </w:trPr>
        <w:tc>
          <w:tcPr>
            <w:tcW w:w="6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6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3,643</w:t>
            </w:r>
          </w:p>
        </w:tc>
        <w:tc>
          <w:tcPr>
            <w:tcW w:w="56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3,564</w:t>
            </w:r>
          </w:p>
        </w:tc>
      </w:tr>
      <w:tr>
        <w:trPr>
          <w:trHeight w:val="216"/>
        </w:trPr>
        <w:tc>
          <w:tcPr>
            <w:tcW w:w="6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Accretion of debt discount and amortization of financing costs</w:t>
            </w: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350</w:t>
            </w:r>
          </w:p>
        </w:tc>
        <w:tc>
          <w:tcPr>
            <w:tcW w:w="24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10"/>
        </w:trPr>
        <w:tc>
          <w:tcPr>
            <w:tcW w:w="61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interest expense</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3,993</w:t>
            </w:r>
          </w:p>
        </w:tc>
        <w:tc>
          <w:tcPr>
            <w:tcW w:w="24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3,607</w:t>
            </w:r>
          </w:p>
        </w:tc>
      </w:tr>
      <w:tr>
        <w:trPr>
          <w:trHeight w:val="20"/>
        </w:trPr>
        <w:tc>
          <w:tcPr>
            <w:tcW w:w="6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10. Derivative Financial Instruments</w:t>
      </w:r>
    </w:p>
    <w:p>
      <w:pPr>
        <w:spacing w:after="0" w:line="189" w:lineRule="exact"/>
        <w:rPr>
          <w:sz w:val="20"/>
          <w:szCs w:val="20"/>
          <w:color w:val="auto"/>
        </w:rPr>
      </w:pPr>
    </w:p>
    <w:p>
      <w:pPr>
        <w:ind w:left="60" w:right="219" w:firstLine="405"/>
        <w:spacing w:after="0" w:line="253" w:lineRule="auto"/>
        <w:rPr>
          <w:sz w:val="20"/>
          <w:szCs w:val="20"/>
          <w:color w:val="auto"/>
        </w:rPr>
      </w:pPr>
      <w:r>
        <w:rPr>
          <w:rFonts w:ascii="Times New Roman" w:cs="Times New Roman" w:eastAsia="Times New Roman" w:hAnsi="Times New Roman"/>
          <w:sz w:val="18"/>
          <w:szCs w:val="18"/>
          <w:color w:val="auto"/>
        </w:rPr>
        <w:t xml:space="preserve">BTI identified certain freestanding financial instruments and/or embedded features that require separate accounting from the borrowings under the OFA Facilities. This includes the OnkosXcel Warrants and Equity Investment Right held by the Lenders, along with certain put/call options. The OnkosXcel Warrants and Equity Investment Right do not meet certain scope exceptions under U.S. GAAP, primarily because the exercise prices and number of shares of the Company’s common stock issuable under the instruments are variable, and the instruments meet the definition of a derivative instrument. Therefore, these instruments are recorded as Derivative liabilities in the Condensed Consolidated Balance Sheets. The respective derivative liabilities were recorded at fair value on the date of issuance and are revalued on each balance sheet date until such instruments are settled or expire, with changes in the fair value between reporting periods recorded within Other (income) expense, net in the Company’s Condensed Consolidated Statements of Operations. As discussed in Note 9, </w:t>
      </w:r>
      <w:r>
        <w:rPr>
          <w:rFonts w:ascii="Times New Roman" w:cs="Times New Roman" w:eastAsia="Times New Roman" w:hAnsi="Times New Roman"/>
          <w:sz w:val="18"/>
          <w:szCs w:val="18"/>
          <w:i w:val="1"/>
          <w:iCs w:val="1"/>
          <w:color w:val="auto"/>
        </w:rPr>
        <w:t>Debt and Credit Facilities</w:t>
      </w:r>
      <w:r>
        <w:rPr>
          <w:rFonts w:ascii="Times New Roman" w:cs="Times New Roman" w:eastAsia="Times New Roman" w:hAnsi="Times New Roman"/>
          <w:sz w:val="18"/>
          <w:szCs w:val="18"/>
          <w:color w:val="auto"/>
        </w:rPr>
        <w:t>, the Equity Investment Right was terminated on November 25, 2024 in connection with the Fifth Amendment to the Credit Agreement, and the Company recorded a termination gain, reducing the carrying value of the Equity Investment Right to $0.</w:t>
      </w:r>
    </w:p>
    <w:p>
      <w:pPr>
        <w:spacing w:after="0" w:line="188" w:lineRule="exact"/>
        <w:rPr>
          <w:sz w:val="20"/>
          <w:szCs w:val="20"/>
          <w:color w:val="auto"/>
        </w:rPr>
      </w:pPr>
    </w:p>
    <w:p>
      <w:pPr>
        <w:ind w:left="60" w:right="159" w:firstLine="401"/>
        <w:spacing w:after="0" w:line="254" w:lineRule="auto"/>
        <w:rPr>
          <w:sz w:val="20"/>
          <w:szCs w:val="20"/>
          <w:color w:val="auto"/>
        </w:rPr>
      </w:pPr>
      <w:r>
        <w:rPr>
          <w:rFonts w:ascii="Times New Roman" w:cs="Times New Roman" w:eastAsia="Times New Roman" w:hAnsi="Times New Roman"/>
          <w:sz w:val="18"/>
          <w:szCs w:val="18"/>
          <w:color w:val="auto"/>
        </w:rPr>
        <w:t xml:space="preserve">With respect to the Purchase Agreement discussed in Note 11, </w:t>
      </w:r>
      <w:r>
        <w:rPr>
          <w:rFonts w:ascii="Times New Roman" w:cs="Times New Roman" w:eastAsia="Times New Roman" w:hAnsi="Times New Roman"/>
          <w:sz w:val="18"/>
          <w:szCs w:val="18"/>
          <w:i w:val="1"/>
          <w:iCs w:val="1"/>
          <w:color w:val="auto"/>
        </w:rPr>
        <w:t>Common Stock Financing Activities</w:t>
      </w:r>
      <w:r>
        <w:rPr>
          <w:rFonts w:ascii="Times New Roman" w:cs="Times New Roman" w:eastAsia="Times New Roman" w:hAnsi="Times New Roman"/>
          <w:sz w:val="18"/>
          <w:szCs w:val="18"/>
          <w:color w:val="auto"/>
        </w:rPr>
        <w:t xml:space="preserve">, BTI determined that the Accompanying Warrants fail the equity classification criteria and are therefore classified as liabilities in accordance with ASC 480, Distinguishing Liabilities from Equity ("ASC 480") and ASC 815, Derivatives and Hedging (“ASC 815”). The Accompanying Warrants failed to meet the requirements to be indexed to equity and equity classified, and meet the definition of a derivative instrument. Therefore, these instruments are recorded as Derivative liabilities in the Condensed Consolidated Balance Sheet as of March 31, 2025. The respective derivative liabilities were recorded at fair value on the date of issuance and are revalued on each balance sheet date until such instruments are settled or expire, with changes in the fair value between reporting periods recorded within Other (income) expense, net in the Company’s Condensed Consolidated Statements of Operations. We value the Accompanying Warrants using the Black-Scholes option pricing model as discussed in Note 14, </w:t>
      </w:r>
      <w:r>
        <w:rPr>
          <w:rFonts w:ascii="Times New Roman" w:cs="Times New Roman" w:eastAsia="Times New Roman" w:hAnsi="Times New Roman"/>
          <w:sz w:val="18"/>
          <w:szCs w:val="18"/>
          <w:i w:val="1"/>
          <w:iCs w:val="1"/>
          <w:color w:val="auto"/>
        </w:rPr>
        <w:t>Fair value measurements</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On November 21, 2024, the exercise price of 534 of the Accompanying Warrants was reduced from $51.20 to</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$9.136 per share. For the three months ended March 31, 2025, the Company recorded total net gains of $1,679 in Other</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(income) expense, net, in the Company’s Consolidated Statements of Operations. As of March 31, 2025, the fair value of</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Accompanying Warrants was $641.</w:t>
      </w:r>
    </w:p>
    <w:p>
      <w:pPr>
        <w:spacing w:after="0" w:line="205" w:lineRule="exact"/>
        <w:rPr>
          <w:sz w:val="20"/>
          <w:szCs w:val="20"/>
          <w:color w:val="auto"/>
        </w:rPr>
      </w:pPr>
    </w:p>
    <w:p>
      <w:pPr>
        <w:jc w:val="both"/>
        <w:ind w:left="60" w:right="159" w:firstLine="401"/>
        <w:spacing w:after="0" w:line="267" w:lineRule="auto"/>
        <w:rPr>
          <w:sz w:val="20"/>
          <w:szCs w:val="20"/>
          <w:color w:val="auto"/>
        </w:rPr>
      </w:pPr>
      <w:r>
        <w:rPr>
          <w:rFonts w:ascii="Times New Roman" w:cs="Times New Roman" w:eastAsia="Times New Roman" w:hAnsi="Times New Roman"/>
          <w:sz w:val="18"/>
          <w:szCs w:val="18"/>
          <w:color w:val="auto"/>
        </w:rPr>
        <w:t xml:space="preserve">On November 25, 2024, with respect to the Underwriter Agreement discussed in Note 11, </w:t>
      </w:r>
      <w:r>
        <w:rPr>
          <w:rFonts w:ascii="Times New Roman" w:cs="Times New Roman" w:eastAsia="Times New Roman" w:hAnsi="Times New Roman"/>
          <w:sz w:val="18"/>
          <w:szCs w:val="18"/>
          <w:i w:val="1"/>
          <w:iCs w:val="1"/>
          <w:color w:val="auto"/>
        </w:rPr>
        <w:t>Common Stock Financing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Activities</w:t>
      </w:r>
      <w:r>
        <w:rPr>
          <w:rFonts w:ascii="Times New Roman" w:cs="Times New Roman" w:eastAsia="Times New Roman" w:hAnsi="Times New Roman"/>
          <w:sz w:val="18"/>
          <w:szCs w:val="18"/>
          <w:color w:val="auto"/>
        </w:rPr>
        <w:t>, the Company issued additional warrants (the “November 2024 Accompanying Warrants”). The November 2024</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Accompanying Warrants failed to meet the requirements to be indexed to equity and equity classified,</w:t>
      </w:r>
    </w:p>
    <w:p>
      <w:pPr>
        <w:sectPr>
          <w:pgSz w:w="11900" w:h="16838" w:orient="portrait"/>
          <w:cols w:equalWidth="0" w:num="1">
            <w:col w:w="9019"/>
          </w:cols>
          <w:pgMar w:left="1440" w:top="513" w:right="1440" w:bottom="1440" w:gutter="0" w:footer="0" w:header="0"/>
        </w:sectPr>
      </w:pPr>
    </w:p>
    <w:p>
      <w:pPr>
        <w:spacing w:after="0" w:line="39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26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06415"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3" w:name="page24"/>
    <w:bookmarkEnd w:id="2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59"/>
        <w:spacing w:after="0" w:line="255" w:lineRule="auto"/>
        <w:rPr>
          <w:sz w:val="20"/>
          <w:szCs w:val="20"/>
          <w:color w:val="auto"/>
        </w:rPr>
      </w:pPr>
      <w:r>
        <w:rPr>
          <w:rFonts w:ascii="Times New Roman" w:cs="Times New Roman" w:eastAsia="Times New Roman" w:hAnsi="Times New Roman"/>
          <w:sz w:val="18"/>
          <w:szCs w:val="18"/>
          <w:color w:val="auto"/>
        </w:rPr>
        <w:t>and meet the definition of a derivative instrument. Therefore, these instruments are recorded as Derivative liabilities in the Consolidated Balance Sheet as of March 31, 2025. The respective derivative liabilities were recorded at fair value on the date of issuance and are revalued on each balance sheet date until such instruments are settled or expire, with changes in the fair value between reporting periods recorded within Other (income) expense, net in the Company’s Consolidated Statements of Operations. For the three months ended March 31, 2025, the Company recorded total net gains of $3,080 in Other (income) expense, net, in the Company’s Consolidated Statements of Operations. As of March 31, 2025, the fair value of the November 2024 Accompanying Warrants was $1,193.</w:t>
      </w:r>
    </w:p>
    <w:p>
      <w:pPr>
        <w:spacing w:after="0" w:line="187" w:lineRule="exact"/>
        <w:rPr>
          <w:sz w:val="20"/>
          <w:szCs w:val="20"/>
          <w:color w:val="auto"/>
        </w:rPr>
      </w:pPr>
    </w:p>
    <w:p>
      <w:pPr>
        <w:ind w:left="60" w:right="259" w:firstLine="401"/>
        <w:spacing w:after="0" w:line="254" w:lineRule="auto"/>
        <w:rPr>
          <w:sz w:val="20"/>
          <w:szCs w:val="20"/>
          <w:color w:val="auto"/>
        </w:rPr>
      </w:pPr>
      <w:r>
        <w:rPr>
          <w:rFonts w:ascii="Times New Roman" w:cs="Times New Roman" w:eastAsia="Times New Roman" w:hAnsi="Times New Roman"/>
          <w:sz w:val="18"/>
          <w:szCs w:val="18"/>
          <w:color w:val="auto"/>
        </w:rPr>
        <w:t xml:space="preserve">On March 3, 2025, with respect to the March 2025 Offering discussed in Note 11, </w:t>
      </w:r>
      <w:r>
        <w:rPr>
          <w:rFonts w:ascii="Times New Roman" w:cs="Times New Roman" w:eastAsia="Times New Roman" w:hAnsi="Times New Roman"/>
          <w:sz w:val="18"/>
          <w:szCs w:val="18"/>
          <w:i w:val="1"/>
          <w:iCs w:val="1"/>
          <w:color w:val="auto"/>
        </w:rPr>
        <w:t>Common Stock Financing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Activities</w:t>
      </w:r>
      <w:r>
        <w:rPr>
          <w:rFonts w:ascii="Times New Roman" w:cs="Times New Roman" w:eastAsia="Times New Roman" w:hAnsi="Times New Roman"/>
          <w:sz w:val="18"/>
          <w:szCs w:val="18"/>
          <w:color w:val="auto"/>
        </w:rPr>
        <w:t>, the Company issued additional warrants (the “March 2025 Accompanying Warrants”). The March 2025</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Accompanying Warrants failed to meet the requirements to be indexed to equity and equity classified, and meet the definition of a derivative instrument. Therefore, these instruments are recorded as Derivative liabilities in the Consolidated Balance Sheet as of March 31, 2025. The respective derivative liabilities were recorded at fair value on the date of issuance in the amount of $2,831 and are revalued on each balance sheet date until such instruments are settled or expire, with changes in the fair value between reporting periods recorded within Other (income) expense, net in the Company’s Consolidated Statements of Operations. For the three months ended March 31, 2025, the Company recorded total net gains of $1,429 in Other (income) expense, net, in the Company’s Consolidated Statements of Operations. As of March 31, 2025, the fair value of the March 2025 Accompanying Warrants was $1,402.</w:t>
      </w:r>
    </w:p>
    <w:p>
      <w:pPr>
        <w:spacing w:after="0" w:line="185" w:lineRule="exact"/>
        <w:rPr>
          <w:sz w:val="20"/>
          <w:szCs w:val="20"/>
          <w:color w:val="auto"/>
        </w:rPr>
      </w:pPr>
    </w:p>
    <w:p>
      <w:pPr>
        <w:ind w:left="60" w:right="179" w:firstLine="401"/>
        <w:spacing w:after="0" w:line="256" w:lineRule="auto"/>
        <w:rPr>
          <w:sz w:val="20"/>
          <w:szCs w:val="20"/>
          <w:color w:val="auto"/>
        </w:rPr>
      </w:pPr>
      <w:r>
        <w:rPr>
          <w:rFonts w:ascii="Times New Roman" w:cs="Times New Roman" w:eastAsia="Times New Roman" w:hAnsi="Times New Roman"/>
          <w:sz w:val="18"/>
          <w:szCs w:val="18"/>
          <w:color w:val="auto"/>
        </w:rPr>
        <w:t xml:space="preserve">In connection with the March 2025 Offering discussed in Note 11, </w:t>
      </w:r>
      <w:r>
        <w:rPr>
          <w:rFonts w:ascii="Times New Roman" w:cs="Times New Roman" w:eastAsia="Times New Roman" w:hAnsi="Times New Roman"/>
          <w:sz w:val="18"/>
          <w:szCs w:val="18"/>
          <w:i w:val="1"/>
          <w:iCs w:val="1"/>
          <w:color w:val="auto"/>
        </w:rPr>
        <w:t>Common Stock Financing Activities</w:t>
      </w:r>
      <w:r>
        <w:rPr>
          <w:rFonts w:ascii="Times New Roman" w:cs="Times New Roman" w:eastAsia="Times New Roman" w:hAnsi="Times New Roman"/>
          <w:sz w:val="18"/>
          <w:szCs w:val="18"/>
          <w:color w:val="auto"/>
        </w:rPr>
        <w:t>, the Company also issued option warrants (the “Option Warrants”). The Option Warrants failed to meet the requirements to be indexed to equity and equity classified, and meet the definition of a derivative instrument. Therefore, these instruments are initially recorded as Derivative liabilities. The respective derivative liabilities were recorded at fair value on the date of issuance in the amount of $369. The Option Warrants expired on March 18, 2025 without being exercised, and the Company recorded a termination gain of $369 in Other (income) expense, net, in the Company’s Condensed Consolidated Statements of Operations. As of March 31, 2025, the fair value of the Option Warrants was $0.</w:t>
      </w:r>
    </w:p>
    <w:p>
      <w:pPr>
        <w:spacing w:after="0" w:line="1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11. Common Stock Financing Activities</w:t>
      </w:r>
    </w:p>
    <w:p>
      <w:pPr>
        <w:spacing w:after="0" w:line="22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Jeffries At-the-Market Program</w:t>
      </w:r>
    </w:p>
    <w:p>
      <w:pPr>
        <w:spacing w:after="0" w:line="229" w:lineRule="exact"/>
        <w:rPr>
          <w:sz w:val="20"/>
          <w:szCs w:val="20"/>
          <w:color w:val="auto"/>
        </w:rPr>
      </w:pPr>
    </w:p>
    <w:p>
      <w:pPr>
        <w:ind w:left="60" w:right="159" w:firstLine="324"/>
        <w:spacing w:after="0" w:line="254" w:lineRule="auto"/>
        <w:rPr>
          <w:sz w:val="20"/>
          <w:szCs w:val="20"/>
          <w:color w:val="auto"/>
        </w:rPr>
      </w:pPr>
      <w:r>
        <w:rPr>
          <w:rFonts w:ascii="Times New Roman" w:cs="Times New Roman" w:eastAsia="Times New Roman" w:hAnsi="Times New Roman"/>
          <w:sz w:val="18"/>
          <w:szCs w:val="18"/>
          <w:color w:val="auto"/>
        </w:rPr>
        <w:t>In May 2021, the Company entered into an Open Market Sale Agreement (as amended, supplemented and/or restated from time to time, the “Sale Agreement”) with Jefferies LLC (“Jefferies”) pursuant to which the Company could offer and sell shares of its common stock, having an aggregate offering price of up to $100,000, from time to time, through an “at the market offering” program under which Jefferies will act as sale agent. In November 2023, the Company amended the Sale Agreement to increase the size of the “at the market offering" program to $150,000. On March 26, 2025, the Company and Jefferies terminated that certain Open Market Sales Agreement. There have been no sales of the Company’s common stock under the Sale Agreement for the three months ended March 31, 2025. For the three months ended March 31, 2024, the Company sold 40 shares under the Sale Agreement for gross proceeds of $1,743 and received proceeds of $1,691, net of issuance costs of $52.</w:t>
      </w:r>
    </w:p>
    <w:p>
      <w:pPr>
        <w:spacing w:after="0" w:line="18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March 2024 Offering</w:t>
      </w:r>
    </w:p>
    <w:p>
      <w:pPr>
        <w:spacing w:after="0" w:line="229" w:lineRule="exact"/>
        <w:rPr>
          <w:sz w:val="20"/>
          <w:szCs w:val="20"/>
          <w:color w:val="auto"/>
        </w:rPr>
      </w:pPr>
    </w:p>
    <w:p>
      <w:pPr>
        <w:ind w:left="60" w:right="159" w:firstLine="324"/>
        <w:spacing w:after="0" w:line="253" w:lineRule="auto"/>
        <w:rPr>
          <w:sz w:val="20"/>
          <w:szCs w:val="20"/>
          <w:color w:val="auto"/>
        </w:rPr>
      </w:pPr>
      <w:r>
        <w:rPr>
          <w:rFonts w:ascii="Times New Roman" w:cs="Times New Roman" w:eastAsia="Times New Roman" w:hAnsi="Times New Roman"/>
          <w:sz w:val="18"/>
          <w:szCs w:val="18"/>
          <w:color w:val="auto"/>
        </w:rPr>
        <w:t>On March 25, 2024, the Company entered into a Securities Purchase Agreement (the “Purchase Agreement”) with the purchasers named therein (collectively, the “Purchasers”). Pursuant to the Purchase Agreement, the Company agreed to issue and sell to the Purchasers in a registered direct offering (the “Offering”) under an effective shelf registration statement on Form S-3 (File No. 333-275261) and a related prospectus supplement filed with the Securities and Exchange Commission on March 25, 2024 (the “Prospectus Supplement”) an aggregate of 191 shares (the “Shares”) of Common Stock, and accompanying warrants (the “Accompanying Warrants”) to purchase up to 191 shares of common stock at a combined offering price of $46.416 per Share and Accompanying Warrant and pre-funded warrants (the “Pre-Funded Warrants”) to purchase up to 348 shares of common stock and Accompanying Warrants to purchase up to 348 shares of common stock, at a combined offering price of $46.40 per share underlying each Pre-Funded Warrant and Accompanying Warrant, which equals the offering price per Share and Accompanying Warrant</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1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26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06415"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4" w:name="page25"/>
    <w:bookmarkEnd w:id="2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79"/>
        <w:spacing w:after="0" w:line="261" w:lineRule="auto"/>
        <w:rPr>
          <w:sz w:val="20"/>
          <w:szCs w:val="20"/>
          <w:color w:val="auto"/>
        </w:rPr>
      </w:pPr>
      <w:r>
        <w:rPr>
          <w:rFonts w:ascii="Times New Roman" w:cs="Times New Roman" w:eastAsia="Times New Roman" w:hAnsi="Times New Roman"/>
          <w:sz w:val="18"/>
          <w:szCs w:val="18"/>
          <w:color w:val="auto"/>
        </w:rPr>
        <w:t>less the $0.016 exercise price per share of the Pre-Funded Warrants. The Pre-Funded Warrants and Accompanying Warrants are not listed on the Nasdaq Capital Market or any other securities exchange or trading system and the Company does not intend to list them. On March 27, 2024, the Company received $25,000 of gross proceeds from the Offering, incurred costs of $248, and received net proceeds of $24,752.</w:t>
      </w:r>
    </w:p>
    <w:p>
      <w:pPr>
        <w:spacing w:after="0" w:line="180" w:lineRule="exact"/>
        <w:rPr>
          <w:sz w:val="20"/>
          <w:szCs w:val="20"/>
          <w:color w:val="auto"/>
        </w:rPr>
      </w:pPr>
    </w:p>
    <w:p>
      <w:pPr>
        <w:ind w:left="60" w:right="199" w:firstLine="324"/>
        <w:spacing w:after="0" w:line="255" w:lineRule="auto"/>
        <w:rPr>
          <w:sz w:val="20"/>
          <w:szCs w:val="20"/>
          <w:color w:val="auto"/>
        </w:rPr>
      </w:pPr>
      <w:r>
        <w:rPr>
          <w:rFonts w:ascii="Times New Roman" w:cs="Times New Roman" w:eastAsia="Times New Roman" w:hAnsi="Times New Roman"/>
          <w:sz w:val="18"/>
          <w:szCs w:val="18"/>
          <w:color w:val="auto"/>
        </w:rPr>
        <w:t>The Pre-Funded Warrants have an exercise price per share of common stock equal to $0.016 per share. The exercise price and the number of shares of common stock issuable upon exercise of the Pre-Funded Warrants are subject to appropriate adjustments in the event of certain stock dividends and distributions, stock splits, stock combinations, reclassifications or similar events affecting the common stock. The Pre-Funded Warrants are exercisable at any time after the date of issuance. The Pre-Funded Warrants meet the equity classification criteria and are therefore classified as equity. For the year ended December 31, 2024, all 348 Pre-Funded Warrants were exercised and the same number of shares of common stock were issued.</w:t>
      </w:r>
    </w:p>
    <w:p>
      <w:pPr>
        <w:spacing w:after="0" w:line="189" w:lineRule="exact"/>
        <w:rPr>
          <w:sz w:val="20"/>
          <w:szCs w:val="20"/>
          <w:color w:val="auto"/>
        </w:rPr>
      </w:pPr>
    </w:p>
    <w:p>
      <w:pPr>
        <w:ind w:left="60" w:right="199" w:firstLine="324"/>
        <w:spacing w:after="0" w:line="254" w:lineRule="auto"/>
        <w:rPr>
          <w:sz w:val="20"/>
          <w:szCs w:val="20"/>
          <w:color w:val="auto"/>
        </w:rPr>
      </w:pPr>
      <w:r>
        <w:rPr>
          <w:rFonts w:ascii="Times New Roman" w:cs="Times New Roman" w:eastAsia="Times New Roman" w:hAnsi="Times New Roman"/>
          <w:sz w:val="18"/>
          <w:szCs w:val="18"/>
          <w:color w:val="auto"/>
        </w:rPr>
        <w:t>The Accompanying Warrants have an exercise price per share of common stock equal to $51.20 per share. The exercise price and the number of shares of common stock issuable upon exercise of the Accompanying Warrants are subject to appropriate adjustments in the event of certain stock dividends and distributions, stock splits, stock combinations, reclassifications or similar events affecting the common stock. The Accompanying Warrants will be exercisable at any time after the date of issuance and will expire on the fifth anniversary of the date of issuance. The Accompanying Warrants do not meet certain scope exceptions under U.S. GAAP, primarily because they did not meet the requirements to be indexed to equity and equity classified, and the instruments meet the definition of a derivative instrument. Therefore, these instruments are recorded as Derivative liabilities in the Condensed Consolidated Balance Sheet as of March 31, 2025.</w:t>
      </w:r>
    </w:p>
    <w:p>
      <w:pPr>
        <w:spacing w:after="0" w:line="18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November 2024 Offering</w:t>
      </w:r>
    </w:p>
    <w:p>
      <w:pPr>
        <w:spacing w:after="0" w:line="229" w:lineRule="exact"/>
        <w:rPr>
          <w:sz w:val="20"/>
          <w:szCs w:val="20"/>
          <w:color w:val="auto"/>
        </w:rPr>
      </w:pPr>
    </w:p>
    <w:p>
      <w:pPr>
        <w:ind w:left="60" w:right="199" w:firstLine="324"/>
        <w:spacing w:after="0" w:line="253" w:lineRule="auto"/>
        <w:rPr>
          <w:sz w:val="20"/>
          <w:szCs w:val="20"/>
          <w:color w:val="auto"/>
        </w:rPr>
      </w:pPr>
      <w:r>
        <w:rPr>
          <w:rFonts w:ascii="Times New Roman" w:cs="Times New Roman" w:eastAsia="Times New Roman" w:hAnsi="Times New Roman"/>
          <w:sz w:val="18"/>
          <w:szCs w:val="18"/>
          <w:color w:val="auto"/>
        </w:rPr>
        <w:t>On November 22, 2024, the Company entered into an underwriting agreement (the “Underwriting Agreement”) with Canaccord Genuity LLC, as underwriter (the “Underwriter”), in connection with the issuance and sale by the Company in a public offering of (i) 350 shares of the Company’s common stock, and accompanying warrants (the “November 2024 Accompanying Warrants”) to purchase 350 shares of Common Stock, at a combined public offering price of $7.68 per share, and, in lieu thereof to certain investors, (ii) Pre-Funded Warrants to purchase 563 shares of Common Stock, and accompanying warrants to purchase 563 shares of Common Stock, at a combined public offering price of $7.664 per pre-funded warrant, which equals the public offering price per share of Common Stock and accompanying warrant less the $0.016 exercise price per share of the pre-funded warrants, less underwriting discounts and commissions, pursuant to an effective shelf registration statement on Form S-3 (Registration No. 333-275261) and a related prospectus supplement filed with the Securities and Exchange Commission. The Company received net proceeds from the offering of approximately $6,128, after deducting underwriting discounts and commissions and offering expenses of $871. The Company intends to use the net proceeds of the offering to fund the SERENITY At-Home trial, prepare for the initiation of the TRANQUILITY In-Care trial, working capital and general corporate purposes.</w:t>
      </w:r>
    </w:p>
    <w:p>
      <w:pPr>
        <w:spacing w:after="0" w:line="187" w:lineRule="exact"/>
        <w:rPr>
          <w:sz w:val="20"/>
          <w:szCs w:val="20"/>
          <w:color w:val="auto"/>
        </w:rPr>
      </w:pPr>
    </w:p>
    <w:p>
      <w:pPr>
        <w:ind w:left="60" w:right="199" w:firstLine="324"/>
        <w:spacing w:after="0" w:line="254" w:lineRule="auto"/>
        <w:rPr>
          <w:sz w:val="20"/>
          <w:szCs w:val="20"/>
          <w:color w:val="auto"/>
        </w:rPr>
      </w:pPr>
      <w:r>
        <w:rPr>
          <w:rFonts w:ascii="Times New Roman" w:cs="Times New Roman" w:eastAsia="Times New Roman" w:hAnsi="Times New Roman"/>
          <w:sz w:val="18"/>
          <w:szCs w:val="18"/>
          <w:color w:val="auto"/>
        </w:rPr>
        <w:t>The Pre-Funded Warrants have an exercise price per share of common stock equal to $0.016 per share. The exercise price and the number of shares of common stock issuable upon exercise of the Pre-Funded Warrants are subject to appropriate adjustments in the event of certain stock dividends and distributions, stock splits, stock combinations, reclassifications or similar events affecting the common stock. The Pre-Funded Warrants are exercisable at any time after the date of issuance. The Pre-Funded Warrants meet the equity classification criteria and are therefore classified as equity. For the year ended December 31, 2024, 80 Pre-Funded Warrants were exercised and the same number of shares of common stock were issued. For the three months ended March 31, 2025, the remaining 483 Pre-Funded Warrants were exercised and the same number of common stock were issued in exchange for $8 of proceeds received.</w:t>
      </w:r>
    </w:p>
    <w:p>
      <w:pPr>
        <w:spacing w:after="0" w:line="192" w:lineRule="exact"/>
        <w:rPr>
          <w:sz w:val="20"/>
          <w:szCs w:val="20"/>
          <w:color w:val="auto"/>
        </w:rPr>
      </w:pPr>
    </w:p>
    <w:p>
      <w:pPr>
        <w:ind w:left="60" w:right="319" w:firstLine="324"/>
        <w:spacing w:after="0" w:line="281" w:lineRule="auto"/>
        <w:rPr>
          <w:sz w:val="20"/>
          <w:szCs w:val="20"/>
          <w:color w:val="auto"/>
        </w:rPr>
      </w:pPr>
      <w:r>
        <w:rPr>
          <w:rFonts w:ascii="Times New Roman" w:cs="Times New Roman" w:eastAsia="Times New Roman" w:hAnsi="Times New Roman"/>
          <w:sz w:val="17"/>
          <w:szCs w:val="17"/>
          <w:color w:val="auto"/>
        </w:rPr>
        <w:t>The November 2024 Accompanying Warrants have an exercise price per share of common stock equal to $7.68 per share. The exercise price and the number of shares of common stock issuable upon exercise of the November 2024 Accompanying Warrants are subject to appropriate adjustments in the event of certain stock dividends and distributions, stock splits, stock combinations, reclassifications or similar events affecting the common stock. The November 2024</w:t>
      </w:r>
    </w:p>
    <w:p>
      <w:pPr>
        <w:sectPr>
          <w:pgSz w:w="11900" w:h="16838" w:orient="portrait"/>
          <w:cols w:equalWidth="0" w:num="1">
            <w:col w:w="9019"/>
          </w:cols>
          <w:pgMar w:left="1440" w:top="513" w:right="1440" w:bottom="1440" w:gutter="0" w:footer="0" w:header="0"/>
        </w:sectPr>
      </w:pPr>
    </w:p>
    <w:p>
      <w:pPr>
        <w:spacing w:after="0" w:line="38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260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06415"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5" w:name="page26"/>
    <w:bookmarkEnd w:id="2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339"/>
        <w:spacing w:after="0" w:line="258" w:lineRule="auto"/>
        <w:rPr>
          <w:sz w:val="20"/>
          <w:szCs w:val="20"/>
          <w:color w:val="auto"/>
        </w:rPr>
      </w:pPr>
      <w:r>
        <w:rPr>
          <w:rFonts w:ascii="Times New Roman" w:cs="Times New Roman" w:eastAsia="Times New Roman" w:hAnsi="Times New Roman"/>
          <w:sz w:val="18"/>
          <w:szCs w:val="18"/>
          <w:color w:val="auto"/>
        </w:rPr>
        <w:t>Accompanying Warrants are exercisable at any time after the date of issuance and will expire on the fifth anniversary of the date of issuance. The November 2024 Accompanying Warrants do not meet certain scope exceptions under U.S. GAAP, primarily because they did not meet the requirements to be indexed to equity and equity classified, and the instruments meet the definition of a derivative instrument. Therefore, these instruments are recorded as Derivative liabilities in the Condensed Consolidated Balance Sheet as of March 31, 2025.</w:t>
      </w:r>
    </w:p>
    <w:p>
      <w:pPr>
        <w:spacing w:after="0" w:line="17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March 2025 Offering</w:t>
      </w:r>
    </w:p>
    <w:p>
      <w:pPr>
        <w:spacing w:after="0" w:line="229" w:lineRule="exact"/>
        <w:rPr>
          <w:sz w:val="20"/>
          <w:szCs w:val="20"/>
          <w:color w:val="auto"/>
        </w:rPr>
      </w:pPr>
    </w:p>
    <w:p>
      <w:pPr>
        <w:ind w:left="60" w:right="159" w:firstLine="324"/>
        <w:spacing w:after="0" w:line="255" w:lineRule="auto"/>
        <w:rPr>
          <w:sz w:val="20"/>
          <w:szCs w:val="20"/>
          <w:color w:val="auto"/>
        </w:rPr>
      </w:pPr>
      <w:r>
        <w:rPr>
          <w:rFonts w:ascii="Times New Roman" w:cs="Times New Roman" w:eastAsia="Times New Roman" w:hAnsi="Times New Roman"/>
          <w:sz w:val="18"/>
          <w:szCs w:val="18"/>
          <w:color w:val="auto"/>
        </w:rPr>
        <w:t>On March 3, 2025, the Company entered into a purchase agreement (the “March 2025 Offering”) with a purchaser. Pursuant to the March 2025 Offering, the Company agreed to issue and sell to the purchaser and the purchaser agreed to buy in a registered direct offering (i) an aggregate of 188 shares (the “Shares”) of Common Stock at an offering price of $3.50 per Share, (ii) Pre-Funded Warrants to purchase up to 3,812 shares of Common Stock, at an offering price of $3.499 per share underlying the Pre-Funded Warrants, which equals the offering price per share less the $0.001 exercise price per share of the Pre-Funded Warrants, and (iii) an aggregate of 4,000 accompanying warrants (the “March 2025 Accompanying Warrants”) to purchase up to 4,000 shares of Common Stock at an offering price of $4.20 per accompanying warrant, pursuant to an effective registration statement on Form S-3 (File No. 333-275261), including the base prospectus included therein, and prospectus supplement filed with the SEC on March 4, 2025. The Company received net proceeds from the offering of approximately $12,957, after deducting underwriting discounts and commissions and offering expenses of $1,039.</w:t>
      </w:r>
    </w:p>
    <w:p>
      <w:pPr>
        <w:spacing w:after="0" w:line="186" w:lineRule="exact"/>
        <w:rPr>
          <w:sz w:val="20"/>
          <w:szCs w:val="20"/>
          <w:color w:val="auto"/>
        </w:rPr>
      </w:pPr>
    </w:p>
    <w:p>
      <w:pPr>
        <w:ind w:left="60" w:right="179" w:firstLine="324"/>
        <w:spacing w:after="0" w:line="255" w:lineRule="auto"/>
        <w:rPr>
          <w:sz w:val="20"/>
          <w:szCs w:val="20"/>
          <w:color w:val="auto"/>
        </w:rPr>
      </w:pPr>
      <w:r>
        <w:rPr>
          <w:rFonts w:ascii="Times New Roman" w:cs="Times New Roman" w:eastAsia="Times New Roman" w:hAnsi="Times New Roman"/>
          <w:sz w:val="18"/>
          <w:szCs w:val="18"/>
          <w:color w:val="auto"/>
        </w:rPr>
        <w:t>The Pre-Funded Warrants have an exercise price per share of common stock equal to $0.001 per share. The exercise price and the number of shares of common stock issuable upon exercise of the Pre-Funded Warrants are subject to appropriate adjustments in the event of certain stock dividends and distributions, stock splits, stock combinations, reclassifications or similar events affecting the common stock. The Pre-Funded Warrants are exercisable at any time after the date of issuance. The Pre-Funded Warrants meet the equity classification criteria and are therefore classified as equity. For the three months ended March 31, 2025, 1,688 Pre-Funded Warrants were exercised and the same number of common stock were issued in exchange for $2 of proceeds received.</w:t>
      </w:r>
    </w:p>
    <w:p>
      <w:pPr>
        <w:spacing w:after="0" w:line="189" w:lineRule="exact"/>
        <w:rPr>
          <w:sz w:val="20"/>
          <w:szCs w:val="20"/>
          <w:color w:val="auto"/>
        </w:rPr>
      </w:pPr>
    </w:p>
    <w:p>
      <w:pPr>
        <w:ind w:left="60" w:right="159" w:firstLine="324"/>
        <w:spacing w:after="0" w:line="254" w:lineRule="auto"/>
        <w:rPr>
          <w:sz w:val="20"/>
          <w:szCs w:val="20"/>
          <w:color w:val="auto"/>
        </w:rPr>
      </w:pPr>
      <w:r>
        <w:rPr>
          <w:rFonts w:ascii="Times New Roman" w:cs="Times New Roman" w:eastAsia="Times New Roman" w:hAnsi="Times New Roman"/>
          <w:sz w:val="18"/>
          <w:szCs w:val="18"/>
          <w:color w:val="auto"/>
        </w:rPr>
        <w:t>The March 2025 Accompanying Warrants have an exercise price per share of common stock equal to $4.20 per share. The exercise price and the number of shares of common stock issuable upon exercise of the March 2025 Accompanying Warrants are subject to appropriate adjustments in the event of certain stock dividends and distributions, stock splits, stock combinations, reclassifications or similar events affecting the common stock. The March 2025 Accompanying Warrants will be exercisable at any time after the date of issuance and will expire on the fifth anniversary of the date of issuance. The March 2025 Accompanying Warrants do not meet certain scope exceptions under U.S. GAAP, primarily because they did not meet the requirements to be indexed to equity and equity classified, and the instruments meet the definition of a derivative instrument. Therefore, these instruments are recorded as Derivative liabilities in the Condensed Consolidated Balance Sheet as of March 31, 2025.</w:t>
      </w:r>
    </w:p>
    <w:p>
      <w:pPr>
        <w:spacing w:after="0" w:line="188" w:lineRule="exact"/>
        <w:rPr>
          <w:sz w:val="20"/>
          <w:szCs w:val="20"/>
          <w:color w:val="auto"/>
        </w:rPr>
      </w:pPr>
    </w:p>
    <w:p>
      <w:pPr>
        <w:ind w:left="60" w:right="419" w:firstLine="324"/>
        <w:spacing w:after="0" w:line="256" w:lineRule="auto"/>
        <w:rPr>
          <w:sz w:val="20"/>
          <w:szCs w:val="20"/>
          <w:color w:val="auto"/>
        </w:rPr>
      </w:pPr>
      <w:r>
        <w:rPr>
          <w:rFonts w:ascii="Times New Roman" w:cs="Times New Roman" w:eastAsia="Times New Roman" w:hAnsi="Times New Roman"/>
          <w:sz w:val="18"/>
          <w:szCs w:val="18"/>
          <w:color w:val="auto"/>
        </w:rPr>
        <w:t>In the March 2025 Offering, the Company also issued to the purchaser option warrants, to purchase up to 4,000 shares of Common Stock (or pre-funded warrants in lieu thereof) and accompanying warrants to purchase up to 4,000 shares of Common Stock. The exercise price of the Option Warrant is $3.50 per underlying share of Common Stock or $3.499 per underlying pre-funded warrant to purchase one share of Common Stock and accompanying warrant. The option accompanying warrants have an exercise price per share of common stock equal to $4.20 per share. The Option Warrants expired on March 18, 2025 without being exercised.</w:t>
      </w:r>
    </w:p>
    <w:p>
      <w:pPr>
        <w:spacing w:after="0" w:line="39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12. Stock-Based Compensation</w:t>
      </w:r>
    </w:p>
    <w:p>
      <w:pPr>
        <w:spacing w:after="0" w:line="19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2017 Equity Incentive Plan</w:t>
      </w:r>
    </w:p>
    <w:p>
      <w:pPr>
        <w:spacing w:after="0" w:line="189" w:lineRule="exact"/>
        <w:rPr>
          <w:sz w:val="20"/>
          <w:szCs w:val="20"/>
          <w:color w:val="auto"/>
        </w:rPr>
      </w:pPr>
    </w:p>
    <w:p>
      <w:pPr>
        <w:ind w:left="60" w:right="479" w:firstLine="324"/>
        <w:spacing w:after="0" w:line="266" w:lineRule="auto"/>
        <w:rPr>
          <w:sz w:val="20"/>
          <w:szCs w:val="20"/>
          <w:color w:val="auto"/>
        </w:rPr>
      </w:pPr>
      <w:r>
        <w:rPr>
          <w:rFonts w:ascii="Times New Roman" w:cs="Times New Roman" w:eastAsia="Times New Roman" w:hAnsi="Times New Roman"/>
          <w:sz w:val="18"/>
          <w:szCs w:val="18"/>
          <w:color w:val="auto"/>
        </w:rPr>
        <w:t>The Company’s 2017 Plan became effective in August 2017. Following the effective date of the Company's 2020 Plan, the Company ceased granting awards under the 2017 Plan, however, the terms and conditions of the 2017 Plan continue to govern any outstanding awards granted thereunder.</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26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06415"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6" w:name="page27"/>
    <w:bookmarkEnd w:id="2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2020 Incentive Award Plan</w:t>
      </w:r>
    </w:p>
    <w:p>
      <w:pPr>
        <w:spacing w:after="0" w:line="202" w:lineRule="exact"/>
        <w:rPr>
          <w:sz w:val="20"/>
          <w:szCs w:val="20"/>
          <w:color w:val="auto"/>
        </w:rPr>
      </w:pPr>
    </w:p>
    <w:p>
      <w:pPr>
        <w:ind w:left="60" w:right="279" w:firstLine="324"/>
        <w:spacing w:after="0" w:line="272" w:lineRule="auto"/>
        <w:rPr>
          <w:sz w:val="20"/>
          <w:szCs w:val="20"/>
          <w:color w:val="auto"/>
        </w:rPr>
      </w:pPr>
      <w:r>
        <w:rPr>
          <w:rFonts w:ascii="Times New Roman" w:cs="Times New Roman" w:eastAsia="Times New Roman" w:hAnsi="Times New Roman"/>
          <w:sz w:val="17"/>
          <w:szCs w:val="17"/>
          <w:color w:val="auto"/>
        </w:rPr>
        <w:t>The Company’s 2020 Plan was approved and became effective at the Company’s 2020 annual meeting of stockholders on May 20, 2020, and unless earlier terminated by the Board of Directors, will remain in effect until March 26, 2030. The 2020 Plan originally authorized for issuance the sum of (i) 57 shares of the Company’s common stock and</w:t>
      </w:r>
    </w:p>
    <w:p>
      <w:pPr>
        <w:spacing w:after="0" w:line="2" w:lineRule="exact"/>
        <w:rPr>
          <w:sz w:val="20"/>
          <w:szCs w:val="20"/>
          <w:color w:val="auto"/>
        </w:rPr>
      </w:pPr>
    </w:p>
    <w:p>
      <w:pPr>
        <w:ind w:left="60" w:right="159" w:hanging="10"/>
        <w:spacing w:after="0" w:line="251" w:lineRule="auto"/>
        <w:tabs>
          <w:tab w:leader="none" w:pos="32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 shares of the Company’s common stock, which represents the number of shares that remained available for issuance under the 2017 Plan immediately prior to the approval of the 2020 Plan by the Company’s stockholders. Any shares of common stock which, immediately prior to the approval of the 2020 Plan by the Company’s stockholders, were subject to awards granted under the 2017 Plan that are forfeited or lapse unexercised and are not issued under the 2017 Plan will increase the number of shares of common stock available for grant under the 2020 Plan. In addition, the number of shares available for issuance under the 2020 Plan will increase on the first day of each calendar year, beginning January 1, 2021 and ending on and including January 1, 2030, by a number of shares equal to the lesser of (A) 4% of the aggregate number of shares of the Company’s common stock outstanding on the final day of the immediately preceding calendar year and (B) such smaller number of shares of common stock as determined by the Board of Directors. The shares available for issuance under the 2020 Plan increased by 124 shares and 75 shares on January 1, 2025 and 2024, respectively.</w:t>
      </w:r>
    </w:p>
    <w:p>
      <w:pPr>
        <w:spacing w:after="0" w:line="152" w:lineRule="exact"/>
        <w:rPr>
          <w:sz w:val="20"/>
          <w:szCs w:val="20"/>
          <w:color w:val="auto"/>
        </w:rPr>
      </w:pPr>
    </w:p>
    <w:p>
      <w:pPr>
        <w:ind w:left="60" w:right="199" w:firstLine="324"/>
        <w:spacing w:after="0" w:line="282" w:lineRule="auto"/>
        <w:rPr>
          <w:sz w:val="20"/>
          <w:szCs w:val="20"/>
          <w:color w:val="auto"/>
        </w:rPr>
      </w:pPr>
      <w:r>
        <w:rPr>
          <w:rFonts w:ascii="Times New Roman" w:cs="Times New Roman" w:eastAsia="Times New Roman" w:hAnsi="Times New Roman"/>
          <w:sz w:val="18"/>
          <w:szCs w:val="18"/>
          <w:color w:val="auto"/>
        </w:rPr>
        <w:t>Stock options granted under the 2020 Plan have a term of ten years. The vesting schedule of all awards granted under the 2020 Plan is determined by the Board of Directors, which is generally four years.</w:t>
      </w:r>
    </w:p>
    <w:p>
      <w:pPr>
        <w:spacing w:after="0" w:line="12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As of March 31, 2025, there were 118 shares available to be granted under the 2020 Plan.</w:t>
      </w:r>
    </w:p>
    <w:p>
      <w:pPr>
        <w:spacing w:after="0" w:line="19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BTI Restricted stock units</w:t>
      </w:r>
    </w:p>
    <w:p>
      <w:pPr>
        <w:spacing w:after="0" w:line="18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table below summarizes activity relating to BTI RSUs.</w:t>
      </w:r>
    </w:p>
    <w:p>
      <w:pPr>
        <w:spacing w:after="0" w:line="32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7400" w:type="dxa"/>
            <w:vAlign w:val="bottom"/>
          </w:tcPr>
          <w:p>
            <w:pPr>
              <w:spacing w:after="0"/>
              <w:rPr>
                <w:sz w:val="13"/>
                <w:szCs w:val="13"/>
                <w:color w:val="auto"/>
              </w:rPr>
            </w:pPr>
          </w:p>
        </w:tc>
        <w:tc>
          <w:tcPr>
            <w:tcW w:w="1440" w:type="dxa"/>
            <w:vAlign w:val="bottom"/>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Number of</w:t>
            </w:r>
          </w:p>
        </w:tc>
      </w:tr>
      <w:tr>
        <w:trPr>
          <w:trHeight w:val="173"/>
        </w:trPr>
        <w:tc>
          <w:tcPr>
            <w:tcW w:w="7400" w:type="dxa"/>
            <w:vAlign w:val="bottom"/>
          </w:tcPr>
          <w:p>
            <w:pPr>
              <w:spacing w:after="0"/>
              <w:rPr>
                <w:sz w:val="15"/>
                <w:szCs w:val="15"/>
                <w:color w:val="auto"/>
              </w:rPr>
            </w:pPr>
          </w:p>
        </w:tc>
        <w:tc>
          <w:tcPr>
            <w:tcW w:w="144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shares</w:t>
            </w:r>
          </w:p>
        </w:tc>
      </w:tr>
      <w:tr>
        <w:trPr>
          <w:trHeight w:val="142"/>
        </w:trPr>
        <w:tc>
          <w:tcPr>
            <w:tcW w:w="7400" w:type="dxa"/>
            <w:vAlign w:val="bottom"/>
          </w:tcPr>
          <w:p>
            <w:pPr>
              <w:spacing w:after="0"/>
              <w:rPr>
                <w:sz w:val="12"/>
                <w:szCs w:val="12"/>
                <w:color w:val="auto"/>
              </w:rPr>
            </w:pPr>
          </w:p>
        </w:tc>
        <w:tc>
          <w:tcPr>
            <w:tcW w:w="1440" w:type="dxa"/>
            <w:vAlign w:val="bottom"/>
          </w:tcPr>
          <w:p>
            <w:pPr>
              <w:spacing w:after="0"/>
              <w:rPr>
                <w:sz w:val="12"/>
                <w:szCs w:val="12"/>
                <w:color w:val="auto"/>
              </w:rPr>
            </w:pPr>
          </w:p>
        </w:tc>
      </w:tr>
      <w:tr>
        <w:trPr>
          <w:trHeight w:val="216"/>
        </w:trPr>
        <w:tc>
          <w:tcPr>
            <w:tcW w:w="7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as of January 1, 2025</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16"/>
        </w:trPr>
        <w:tc>
          <w:tcPr>
            <w:tcW w:w="74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Granted</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16"/>
        </w:trPr>
        <w:tc>
          <w:tcPr>
            <w:tcW w:w="74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Cancelled</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74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Vested</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10"/>
        </w:trPr>
        <w:tc>
          <w:tcPr>
            <w:tcW w:w="7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as of March 31, 2025</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0"/>
        </w:trPr>
        <w:tc>
          <w:tcPr>
            <w:tcW w:w="74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0" w:right="219" w:firstLine="324"/>
        <w:spacing w:after="0" w:line="256" w:lineRule="auto"/>
        <w:rPr>
          <w:sz w:val="20"/>
          <w:szCs w:val="20"/>
          <w:color w:val="auto"/>
        </w:rPr>
      </w:pPr>
      <w:r>
        <w:rPr>
          <w:rFonts w:ascii="Times New Roman" w:cs="Times New Roman" w:eastAsia="Times New Roman" w:hAnsi="Times New Roman"/>
          <w:sz w:val="18"/>
          <w:szCs w:val="18"/>
          <w:color w:val="auto"/>
        </w:rPr>
        <w:t>During the three months ended March 31, 2025, the Company granted 3 time-based BTI RSUs which fully vest on the one-year anniversary of the grant date. The weighted average grant date fair value per share for the BTI RSUs for the three months ended March 31, 2025 was $6.14. The remaining outstanding RSUs generally vest over four years, with 25% vesting at the one-year anniversary of the grant date and the balance vesting ratably over the remaining 12 quarters of the vesting period. Unrecognized stock-based compensation expense related to the BTI RSUs was approximately $537 and $1,308 as of March 31, 2025 and 2024, respectively.</w:t>
      </w:r>
    </w:p>
    <w:p>
      <w:pPr>
        <w:spacing w:after="0" w:line="15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BTI Performance stock units</w:t>
      </w:r>
    </w:p>
    <w:p>
      <w:pPr>
        <w:spacing w:after="0" w:line="18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table below summarizes activity relating to Performance Units related to BTI common stock.</w:t>
      </w:r>
    </w:p>
    <w:p>
      <w:pPr>
        <w:spacing w:after="0" w:line="22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7900" w:type="dxa"/>
            <w:vAlign w:val="bottom"/>
          </w:tcPr>
          <w:p>
            <w:pPr>
              <w:spacing w:after="0"/>
              <w:rPr>
                <w:sz w:val="13"/>
                <w:szCs w:val="13"/>
                <w:color w:val="auto"/>
              </w:rPr>
            </w:pPr>
          </w:p>
        </w:tc>
        <w:tc>
          <w:tcPr>
            <w:tcW w:w="940" w:type="dxa"/>
            <w:vAlign w:val="bottom"/>
          </w:tcPr>
          <w:p>
            <w:pPr>
              <w:jc w:val="right"/>
              <w:ind w:right="55"/>
              <w:spacing w:after="0"/>
              <w:rPr>
                <w:sz w:val="20"/>
                <w:szCs w:val="20"/>
                <w:color w:val="auto"/>
              </w:rPr>
            </w:pPr>
            <w:r>
              <w:rPr>
                <w:rFonts w:ascii="Times New Roman" w:cs="Times New Roman" w:eastAsia="Times New Roman" w:hAnsi="Times New Roman"/>
                <w:sz w:val="14"/>
                <w:szCs w:val="14"/>
                <w:b w:val="1"/>
                <w:bCs w:val="1"/>
                <w:color w:val="auto"/>
              </w:rPr>
              <w:t>Number of</w:t>
            </w:r>
          </w:p>
        </w:tc>
      </w:tr>
      <w:tr>
        <w:trPr>
          <w:trHeight w:val="173"/>
        </w:trPr>
        <w:tc>
          <w:tcPr>
            <w:tcW w:w="7900" w:type="dxa"/>
            <w:vAlign w:val="bottom"/>
          </w:tcPr>
          <w:p>
            <w:pPr>
              <w:spacing w:after="0"/>
              <w:rPr>
                <w:sz w:val="15"/>
                <w:szCs w:val="15"/>
                <w:color w:val="auto"/>
              </w:rPr>
            </w:pPr>
          </w:p>
        </w:tc>
        <w:tc>
          <w:tcPr>
            <w:tcW w:w="940" w:type="dxa"/>
            <w:vAlign w:val="bottom"/>
            <w:tcBorders>
              <w:bottom w:val="single" w:sz="8" w:color="auto"/>
            </w:tcBorders>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shares</w:t>
            </w:r>
          </w:p>
        </w:tc>
      </w:tr>
      <w:tr>
        <w:trPr>
          <w:trHeight w:val="142"/>
        </w:trPr>
        <w:tc>
          <w:tcPr>
            <w:tcW w:w="7900" w:type="dxa"/>
            <w:vAlign w:val="bottom"/>
          </w:tcPr>
          <w:p>
            <w:pPr>
              <w:spacing w:after="0"/>
              <w:rPr>
                <w:sz w:val="12"/>
                <w:szCs w:val="12"/>
                <w:color w:val="auto"/>
              </w:rPr>
            </w:pPr>
          </w:p>
        </w:tc>
        <w:tc>
          <w:tcPr>
            <w:tcW w:w="940" w:type="dxa"/>
            <w:vAlign w:val="bottom"/>
          </w:tcPr>
          <w:p>
            <w:pPr>
              <w:spacing w:after="0"/>
              <w:rPr>
                <w:sz w:val="12"/>
                <w:szCs w:val="12"/>
                <w:color w:val="auto"/>
              </w:rPr>
            </w:pPr>
          </w:p>
        </w:tc>
      </w:tr>
      <w:tr>
        <w:trPr>
          <w:trHeight w:val="216"/>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as of January 1, 2025</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r>
      <w:tr>
        <w:trPr>
          <w:trHeight w:val="216"/>
        </w:trPr>
        <w:tc>
          <w:tcPr>
            <w:tcW w:w="79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Granted</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9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Cancelled</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16"/>
        </w:trPr>
        <w:tc>
          <w:tcPr>
            <w:tcW w:w="79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Exercised</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7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as of March 31, 2025</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20"/>
        </w:trPr>
        <w:tc>
          <w:tcPr>
            <w:tcW w:w="79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3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260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06415"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7" w:name="page28"/>
    <w:bookmarkEnd w:id="2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19" w:firstLine="324"/>
        <w:spacing w:after="0" w:line="258" w:lineRule="auto"/>
        <w:rPr>
          <w:sz w:val="20"/>
          <w:szCs w:val="20"/>
          <w:color w:val="auto"/>
        </w:rPr>
      </w:pPr>
      <w:r>
        <w:rPr>
          <w:rFonts w:ascii="Times New Roman" w:cs="Times New Roman" w:eastAsia="Times New Roman" w:hAnsi="Times New Roman"/>
          <w:sz w:val="18"/>
          <w:szCs w:val="18"/>
          <w:color w:val="auto"/>
        </w:rPr>
        <w:t>In July 2024, the Company granted 87 Performance Units to employees. The Performance Units vest on the one-year anniversary of the grant date, provided certain performance criteria are met. The weighted average value per share of Performance Units granted in 2024 was $19.20. None of the Performance Units had vested as of March 31, 2025. Unrecognized stock-based compensation expense related to these Performance Units expected to vest was zero as of March 31, 2025 since it is uncertain whether any performance criteria will be met.</w:t>
      </w:r>
    </w:p>
    <w:p>
      <w:pPr>
        <w:spacing w:after="0" w:line="15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OnkosXcel profit sharing units</w:t>
      </w:r>
    </w:p>
    <w:p>
      <w:pPr>
        <w:spacing w:after="0" w:line="18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table below summarizes activity relating to the PSUs associated with OnkosXcel as described below.</w:t>
      </w:r>
    </w:p>
    <w:p>
      <w:pPr>
        <w:spacing w:after="0" w:line="200" w:lineRule="exact"/>
        <w:rPr>
          <w:sz w:val="20"/>
          <w:szCs w:val="20"/>
          <w:color w:val="auto"/>
        </w:rPr>
      </w:pPr>
    </w:p>
    <w:p>
      <w:pPr>
        <w:spacing w:after="0" w:line="275"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58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0" w:type="dxa"/>
            <w:vAlign w:val="bottom"/>
          </w:tcPr>
          <w:p>
            <w:pPr>
              <w:jc w:val="center"/>
              <w:ind w:right="97"/>
              <w:spacing w:after="0"/>
              <w:rPr>
                <w:sz w:val="20"/>
                <w:szCs w:val="20"/>
                <w:color w:val="auto"/>
              </w:rPr>
            </w:pPr>
            <w:r>
              <w:rPr>
                <w:rFonts w:ascii="Times New Roman" w:cs="Times New Roman" w:eastAsia="Times New Roman" w:hAnsi="Times New Roman"/>
                <w:sz w:val="14"/>
                <w:szCs w:val="14"/>
                <w:b w:val="1"/>
                <w:bCs w:val="1"/>
                <w:color w:val="auto"/>
              </w:rPr>
              <w:t>Weighted average</w:t>
            </w:r>
          </w:p>
        </w:tc>
      </w:tr>
      <w:tr>
        <w:trPr>
          <w:trHeight w:val="216"/>
        </w:trPr>
        <w:tc>
          <w:tcPr>
            <w:tcW w:w="5860" w:type="dxa"/>
            <w:vAlign w:val="bottom"/>
          </w:tcPr>
          <w:p>
            <w:pPr>
              <w:spacing w:after="0"/>
              <w:rPr>
                <w:sz w:val="18"/>
                <w:szCs w:val="18"/>
                <w:color w:val="auto"/>
              </w:rPr>
            </w:pPr>
          </w:p>
        </w:tc>
        <w:tc>
          <w:tcPr>
            <w:tcW w:w="142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60" w:type="dxa"/>
            <w:vAlign w:val="bottom"/>
          </w:tcPr>
          <w:p>
            <w:pPr>
              <w:spacing w:after="0"/>
              <w:rPr>
                <w:sz w:val="18"/>
                <w:szCs w:val="18"/>
                <w:color w:val="auto"/>
              </w:rPr>
            </w:pPr>
          </w:p>
        </w:tc>
        <w:tc>
          <w:tcPr>
            <w:tcW w:w="1400" w:type="dxa"/>
            <w:vAlign w:val="bottom"/>
          </w:tcPr>
          <w:p>
            <w:pPr>
              <w:jc w:val="center"/>
              <w:ind w:right="77"/>
              <w:spacing w:after="0"/>
              <w:rPr>
                <w:sz w:val="20"/>
                <w:szCs w:val="20"/>
                <w:color w:val="auto"/>
              </w:rPr>
            </w:pPr>
            <w:r>
              <w:rPr>
                <w:rFonts w:ascii="Times New Roman" w:cs="Times New Roman" w:eastAsia="Times New Roman" w:hAnsi="Times New Roman"/>
                <w:sz w:val="14"/>
                <w:szCs w:val="14"/>
                <w:b w:val="1"/>
                <w:bCs w:val="1"/>
                <w:color w:val="auto"/>
              </w:rPr>
              <w:t>price per unit</w:t>
            </w:r>
          </w:p>
        </w:tc>
      </w:tr>
      <w:tr>
        <w:trPr>
          <w:trHeight w:val="199"/>
        </w:trPr>
        <w:tc>
          <w:tcPr>
            <w:tcW w:w="5860" w:type="dxa"/>
            <w:vAlign w:val="bottom"/>
          </w:tcPr>
          <w:p>
            <w:pPr>
              <w:spacing w:after="0"/>
              <w:rPr>
                <w:sz w:val="17"/>
                <w:szCs w:val="17"/>
                <w:color w:val="auto"/>
              </w:rPr>
            </w:pPr>
          </w:p>
        </w:tc>
        <w:tc>
          <w:tcPr>
            <w:tcW w:w="1420" w:type="dxa"/>
            <w:vAlign w:val="bottom"/>
            <w:gridSpan w:val="2"/>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units</w:t>
            </w:r>
          </w:p>
        </w:tc>
        <w:tc>
          <w:tcPr>
            <w:tcW w:w="160" w:type="dxa"/>
            <w:vAlign w:val="bottom"/>
          </w:tcPr>
          <w:p>
            <w:pPr>
              <w:spacing w:after="0"/>
              <w:rPr>
                <w:sz w:val="17"/>
                <w:szCs w:val="17"/>
                <w:color w:val="auto"/>
              </w:rPr>
            </w:pPr>
          </w:p>
        </w:tc>
        <w:tc>
          <w:tcPr>
            <w:tcW w:w="1400" w:type="dxa"/>
            <w:vAlign w:val="bottom"/>
          </w:tcPr>
          <w:p>
            <w:pPr>
              <w:jc w:val="center"/>
              <w:ind w:right="77"/>
              <w:spacing w:after="0"/>
              <w:rPr>
                <w:sz w:val="20"/>
                <w:szCs w:val="20"/>
                <w:color w:val="auto"/>
              </w:rPr>
            </w:pPr>
            <w:r>
              <w:rPr>
                <w:rFonts w:ascii="Times New Roman" w:cs="Times New Roman" w:eastAsia="Times New Roman" w:hAnsi="Times New Roman"/>
                <w:sz w:val="14"/>
                <w:szCs w:val="14"/>
                <w:b w:val="1"/>
                <w:bCs w:val="1"/>
                <w:color w:val="auto"/>
              </w:rPr>
              <w:t>(in whole dollars)</w:t>
            </w:r>
          </w:p>
        </w:tc>
      </w:tr>
      <w:tr>
        <w:trPr>
          <w:trHeight w:val="209"/>
        </w:trPr>
        <w:tc>
          <w:tcPr>
            <w:tcW w:w="586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spacing w:after="0"/>
              <w:rPr>
                <w:sz w:val="18"/>
                <w:szCs w:val="18"/>
                <w:color w:val="auto"/>
              </w:rPr>
            </w:pPr>
          </w:p>
        </w:tc>
      </w:tr>
      <w:tr>
        <w:trPr>
          <w:trHeight w:val="216"/>
        </w:trPr>
        <w:tc>
          <w:tcPr>
            <w:tcW w:w="5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as of January 1, 2025</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1,166</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5,686</w:t>
            </w:r>
          </w:p>
        </w:tc>
      </w:tr>
      <w:tr>
        <w:trPr>
          <w:trHeight w:val="216"/>
        </w:trPr>
        <w:tc>
          <w:tcPr>
            <w:tcW w:w="58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Granted</w:t>
            </w:r>
          </w:p>
        </w:tc>
        <w:tc>
          <w:tcPr>
            <w:tcW w:w="14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8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Cancelled</w:t>
            </w:r>
          </w:p>
        </w:tc>
        <w:tc>
          <w:tcPr>
            <w:tcW w:w="14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(84)</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6,006</w:t>
            </w:r>
          </w:p>
        </w:tc>
      </w:tr>
      <w:tr>
        <w:trPr>
          <w:trHeight w:val="216"/>
        </w:trPr>
        <w:tc>
          <w:tcPr>
            <w:tcW w:w="58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Forfeited</w:t>
            </w:r>
          </w:p>
        </w:tc>
        <w:tc>
          <w:tcPr>
            <w:tcW w:w="14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58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as of March 31, 2025</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1,082</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4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586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197"/>
        </w:trPr>
        <w:tc>
          <w:tcPr>
            <w:tcW w:w="58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tcPr>
          <w:p>
            <w:pPr>
              <w:spacing w:after="0"/>
              <w:rPr>
                <w:sz w:val="17"/>
                <w:szCs w:val="17"/>
                <w:color w:val="auto"/>
              </w:rPr>
            </w:pPr>
          </w:p>
        </w:tc>
      </w:tr>
      <w:tr>
        <w:trPr>
          <w:trHeight w:val="216"/>
        </w:trPr>
        <w:tc>
          <w:tcPr>
            <w:tcW w:w="5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 units as of March 31, 2025</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976</w:t>
            </w:r>
          </w:p>
        </w:tc>
        <w:tc>
          <w:tcPr>
            <w:tcW w:w="2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5,533</w:t>
            </w:r>
          </w:p>
        </w:tc>
      </w:tr>
      <w:tr>
        <w:trPr>
          <w:trHeight w:val="20"/>
        </w:trPr>
        <w:tc>
          <w:tcPr>
            <w:tcW w:w="586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right="379" w:firstLine="324"/>
        <w:spacing w:after="0" w:line="261" w:lineRule="auto"/>
        <w:rPr>
          <w:sz w:val="20"/>
          <w:szCs w:val="20"/>
          <w:color w:val="auto"/>
        </w:rPr>
      </w:pPr>
      <w:r>
        <w:rPr>
          <w:rFonts w:ascii="Times New Roman" w:cs="Times New Roman" w:eastAsia="Times New Roman" w:hAnsi="Times New Roman"/>
          <w:sz w:val="18"/>
          <w:szCs w:val="18"/>
          <w:color w:val="auto"/>
        </w:rPr>
        <w:t>During 2024, OnkosXcel Employee Holdings, LLC, a management holding company used to facilitate the grant of equity interests to service providers of OnkosXcel granted 15 individual (not in thousands) time-based PSUs related to OnkosXcel to certain employees of the Company in consideration for services provided to OnkosXcel. The PSUs represent indirect equity interests in OnkosXcel. These PSUs vest ratably over 48 months.</w:t>
      </w:r>
    </w:p>
    <w:p>
      <w:pPr>
        <w:spacing w:after="0" w:line="153" w:lineRule="exact"/>
        <w:rPr>
          <w:sz w:val="20"/>
          <w:szCs w:val="20"/>
          <w:color w:val="auto"/>
        </w:rPr>
      </w:pPr>
    </w:p>
    <w:p>
      <w:pPr>
        <w:ind w:left="60" w:right="519" w:firstLine="324"/>
        <w:spacing w:after="0" w:line="282" w:lineRule="auto"/>
        <w:rPr>
          <w:sz w:val="20"/>
          <w:szCs w:val="20"/>
          <w:color w:val="auto"/>
        </w:rPr>
      </w:pPr>
      <w:r>
        <w:rPr>
          <w:rFonts w:ascii="Times New Roman" w:cs="Times New Roman" w:eastAsia="Times New Roman" w:hAnsi="Times New Roman"/>
          <w:sz w:val="18"/>
          <w:szCs w:val="18"/>
          <w:color w:val="auto"/>
        </w:rPr>
        <w:t>The fair values of PSUs granted in 2024 were estimated at the date of grant using a Black-Scholes option pricing model and assumptions below.</w:t>
      </w:r>
    </w:p>
    <w:p>
      <w:pPr>
        <w:spacing w:after="0" w:line="347"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4220" w:type="dxa"/>
            <w:vAlign w:val="bottom"/>
          </w:tcPr>
          <w:p>
            <w:pPr>
              <w:spacing w:after="0"/>
              <w:rPr>
                <w:sz w:val="18"/>
                <w:szCs w:val="18"/>
                <w:color w:val="auto"/>
              </w:rPr>
            </w:pPr>
          </w:p>
        </w:tc>
        <w:tc>
          <w:tcPr>
            <w:tcW w:w="462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2024 grant profit share</w:t>
            </w:r>
          </w:p>
        </w:tc>
      </w:tr>
      <w:tr>
        <w:trPr>
          <w:trHeight w:val="238"/>
        </w:trPr>
        <w:tc>
          <w:tcPr>
            <w:tcW w:w="4220" w:type="dxa"/>
            <w:vAlign w:val="bottom"/>
          </w:tcPr>
          <w:p>
            <w:pPr>
              <w:spacing w:after="0"/>
              <w:rPr>
                <w:sz w:val="20"/>
                <w:szCs w:val="20"/>
                <w:color w:val="auto"/>
              </w:rPr>
            </w:pPr>
          </w:p>
        </w:tc>
        <w:tc>
          <w:tcPr>
            <w:tcW w:w="462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unit valuation inputs</w:t>
            </w:r>
          </w:p>
        </w:tc>
      </w:tr>
      <w:tr>
        <w:trPr>
          <w:trHeight w:val="216"/>
        </w:trPr>
        <w:tc>
          <w:tcPr>
            <w:tcW w:w="4220" w:type="dxa"/>
            <w:vAlign w:val="bottom"/>
          </w:tcPr>
          <w:p>
            <w:pPr>
              <w:spacing w:after="0"/>
              <w:rPr>
                <w:sz w:val="18"/>
                <w:szCs w:val="18"/>
                <w:color w:val="auto"/>
              </w:rPr>
            </w:pPr>
          </w:p>
        </w:tc>
        <w:tc>
          <w:tcPr>
            <w:tcW w:w="4620" w:type="dxa"/>
            <w:vAlign w:val="bottom"/>
          </w:tcPr>
          <w:p>
            <w:pPr>
              <w:spacing w:after="0"/>
              <w:rPr>
                <w:sz w:val="18"/>
                <w:szCs w:val="18"/>
                <w:color w:val="auto"/>
              </w:rPr>
            </w:pPr>
          </w:p>
        </w:tc>
      </w:tr>
      <w:tr>
        <w:trPr>
          <w:trHeight w:val="216"/>
        </w:trPr>
        <w:tc>
          <w:tcPr>
            <w:tcW w:w="4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4620" w:type="dxa"/>
            <w:vAlign w:val="bottom"/>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rPr>
              <w:t>97.4 %</w:t>
            </w:r>
          </w:p>
        </w:tc>
      </w:tr>
      <w:tr>
        <w:trPr>
          <w:trHeight w:val="216"/>
        </w:trPr>
        <w:tc>
          <w:tcPr>
            <w:tcW w:w="4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Risk-free rate of interest</w:t>
            </w:r>
          </w:p>
        </w:tc>
        <w:tc>
          <w:tcPr>
            <w:tcW w:w="4620" w:type="dxa"/>
            <w:vAlign w:val="bottom"/>
          </w:tcPr>
          <w:p>
            <w:pPr>
              <w:jc w:val="right"/>
              <w:ind w:right="750"/>
              <w:spacing w:after="0"/>
              <w:rPr>
                <w:sz w:val="20"/>
                <w:szCs w:val="20"/>
                <w:color w:val="auto"/>
              </w:rPr>
            </w:pPr>
            <w:r>
              <w:rPr>
                <w:rFonts w:ascii="Times New Roman" w:cs="Times New Roman" w:eastAsia="Times New Roman" w:hAnsi="Times New Roman"/>
                <w:sz w:val="18"/>
                <w:szCs w:val="18"/>
                <w:color w:val="auto"/>
              </w:rPr>
              <w:t>3.6 %</w:t>
            </w:r>
          </w:p>
        </w:tc>
      </w:tr>
      <w:tr>
        <w:trPr>
          <w:trHeight w:val="216"/>
        </w:trPr>
        <w:tc>
          <w:tcPr>
            <w:tcW w:w="4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dividend yield</w:t>
            </w:r>
          </w:p>
        </w:tc>
        <w:tc>
          <w:tcPr>
            <w:tcW w:w="4620" w:type="dxa"/>
            <w:vAlign w:val="bottom"/>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rPr>
              <w:t>— %</w:t>
            </w:r>
          </w:p>
        </w:tc>
      </w:tr>
      <w:tr>
        <w:trPr>
          <w:trHeight w:val="234"/>
        </w:trPr>
        <w:tc>
          <w:tcPr>
            <w:tcW w:w="4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term</w:t>
            </w:r>
          </w:p>
        </w:tc>
        <w:tc>
          <w:tcPr>
            <w:tcW w:w="462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5.8 years</w:t>
            </w:r>
          </w:p>
        </w:tc>
      </w:tr>
    </w:tbl>
    <w:p>
      <w:pPr>
        <w:spacing w:after="0" w:line="179" w:lineRule="exact"/>
        <w:rPr>
          <w:sz w:val="20"/>
          <w:szCs w:val="20"/>
          <w:color w:val="auto"/>
        </w:rPr>
      </w:pPr>
    </w:p>
    <w:p>
      <w:pPr>
        <w:ind w:left="60" w:right="359" w:firstLine="324"/>
        <w:spacing w:after="0" w:line="282" w:lineRule="auto"/>
        <w:rPr>
          <w:sz w:val="20"/>
          <w:szCs w:val="20"/>
          <w:color w:val="auto"/>
        </w:rPr>
      </w:pPr>
      <w:r>
        <w:rPr>
          <w:rFonts w:ascii="Times New Roman" w:cs="Times New Roman" w:eastAsia="Times New Roman" w:hAnsi="Times New Roman"/>
          <w:sz w:val="18"/>
          <w:szCs w:val="18"/>
          <w:color w:val="auto"/>
        </w:rPr>
        <w:t>Unrecognized stock-based compensation expense related to these awards was $319 and $782 as of March 31, 2025 and 2024, respectively.</w:t>
      </w:r>
    </w:p>
    <w:p>
      <w:pPr>
        <w:spacing w:after="0" w:line="37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260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06415"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8" w:name="page29"/>
    <w:bookmarkEnd w:id="2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OnkosXcel restricted stock units</w:t>
      </w:r>
    </w:p>
    <w:p>
      <w:pPr>
        <w:spacing w:after="0" w:line="20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table below summarizes activity relating to the OnkosXcel RSUs.</w:t>
      </w:r>
    </w:p>
    <w:p>
      <w:pPr>
        <w:spacing w:after="0" w:line="200" w:lineRule="exact"/>
        <w:rPr>
          <w:sz w:val="20"/>
          <w:szCs w:val="20"/>
          <w:color w:val="auto"/>
        </w:rPr>
      </w:pPr>
    </w:p>
    <w:p>
      <w:pPr>
        <w:spacing w:after="0" w:line="237" w:lineRule="exact"/>
        <w:rPr>
          <w:sz w:val="20"/>
          <w:szCs w:val="20"/>
          <w:color w:val="auto"/>
        </w:rPr>
      </w:pPr>
    </w:p>
    <w:tbl>
      <w:tblPr>
        <w:tblLayout w:type="fixed"/>
        <w:tblInd w:w="40" w:type="dxa"/>
        <w:tblCellMar>
          <w:top w:w="0" w:type="dxa"/>
          <w:left w:w="0" w:type="dxa"/>
          <w:bottom w:w="0" w:type="dxa"/>
          <w:right w:w="0" w:type="dxa"/>
        </w:tblCellMar>
      </w:tblPr>
      <w:tr>
        <w:trPr>
          <w:trHeight w:val="229"/>
        </w:trPr>
        <w:tc>
          <w:tcPr>
            <w:tcW w:w="7400" w:type="dxa"/>
            <w:vAlign w:val="bottom"/>
          </w:tcPr>
          <w:p>
            <w:pPr>
              <w:spacing w:after="0"/>
              <w:rPr>
                <w:sz w:val="19"/>
                <w:szCs w:val="19"/>
                <w:color w:val="auto"/>
              </w:rPr>
            </w:pPr>
          </w:p>
        </w:tc>
        <w:tc>
          <w:tcPr>
            <w:tcW w:w="144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Number of</w:t>
            </w:r>
          </w:p>
        </w:tc>
      </w:tr>
      <w:tr>
        <w:trPr>
          <w:trHeight w:val="238"/>
        </w:trPr>
        <w:tc>
          <w:tcPr>
            <w:tcW w:w="7400" w:type="dxa"/>
            <w:vAlign w:val="bottom"/>
          </w:tcPr>
          <w:p>
            <w:pPr>
              <w:spacing w:after="0"/>
              <w:rPr>
                <w:sz w:val="20"/>
                <w:szCs w:val="20"/>
                <w:color w:val="auto"/>
              </w:rPr>
            </w:pPr>
          </w:p>
        </w:tc>
        <w:tc>
          <w:tcPr>
            <w:tcW w:w="144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units</w:t>
            </w:r>
          </w:p>
        </w:tc>
      </w:tr>
      <w:tr>
        <w:trPr>
          <w:trHeight w:val="209"/>
        </w:trPr>
        <w:tc>
          <w:tcPr>
            <w:tcW w:w="740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16"/>
        </w:trPr>
        <w:tc>
          <w:tcPr>
            <w:tcW w:w="7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as of January 1, 2025</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w:t>
            </w:r>
          </w:p>
        </w:tc>
      </w:tr>
      <w:tr>
        <w:trPr>
          <w:trHeight w:val="216"/>
        </w:trPr>
        <w:tc>
          <w:tcPr>
            <w:tcW w:w="74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Granted</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4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Vested</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740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Cancelled</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09"/>
        </w:trPr>
        <w:tc>
          <w:tcPr>
            <w:tcW w:w="7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as of March 31, 2025</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w:t>
            </w:r>
          </w:p>
        </w:tc>
      </w:tr>
      <w:tr>
        <w:trPr>
          <w:trHeight w:val="20"/>
        </w:trPr>
        <w:tc>
          <w:tcPr>
            <w:tcW w:w="74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left="60" w:right="399" w:firstLine="324"/>
        <w:spacing w:after="0" w:line="266" w:lineRule="auto"/>
        <w:rPr>
          <w:sz w:val="20"/>
          <w:szCs w:val="20"/>
          <w:color w:val="auto"/>
        </w:rPr>
      </w:pPr>
      <w:r>
        <w:rPr>
          <w:rFonts w:ascii="Times New Roman" w:cs="Times New Roman" w:eastAsia="Times New Roman" w:hAnsi="Times New Roman"/>
          <w:sz w:val="18"/>
          <w:szCs w:val="18"/>
          <w:color w:val="auto"/>
        </w:rPr>
        <w:t>As of March 31, 2025, the Company had 140 OnkosXcel Restricted Stock Units outstanding. Unrecognized stock-based compensation expense related to the awards expected to vest was approximately $50 and $420 as of March 31, 2025 and 2024, respectively.</w:t>
      </w:r>
    </w:p>
    <w:p>
      <w:pPr>
        <w:spacing w:after="0" w:line="13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BTI Stock options</w:t>
      </w: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 summary of the Company’s stock option activity for the three months ended March 31, 2025 is presented below.</w:t>
      </w:r>
    </w:p>
    <w:p>
      <w:pPr>
        <w:spacing w:after="0" w:line="32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500" w:type="dxa"/>
            <w:vAlign w:val="bottom"/>
          </w:tcPr>
          <w:p>
            <w:pPr>
              <w:spacing w:after="0"/>
              <w:rPr>
                <w:sz w:val="13"/>
                <w:szCs w:val="13"/>
                <w:color w:val="auto"/>
              </w:rPr>
            </w:pPr>
          </w:p>
        </w:tc>
        <w:tc>
          <w:tcPr>
            <w:tcW w:w="132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220" w:type="dxa"/>
            <w:vAlign w:val="bottom"/>
          </w:tcPr>
          <w:p>
            <w:pPr>
              <w:spacing w:after="0"/>
              <w:rPr>
                <w:sz w:val="13"/>
                <w:szCs w:val="13"/>
                <w:color w:val="auto"/>
              </w:rPr>
            </w:pPr>
          </w:p>
        </w:tc>
        <w:tc>
          <w:tcPr>
            <w:tcW w:w="180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Weighted average</w:t>
            </w:r>
          </w:p>
        </w:tc>
      </w:tr>
      <w:tr>
        <w:trPr>
          <w:trHeight w:val="173"/>
        </w:trPr>
        <w:tc>
          <w:tcPr>
            <w:tcW w:w="5500" w:type="dxa"/>
            <w:vAlign w:val="bottom"/>
          </w:tcPr>
          <w:p>
            <w:pPr>
              <w:spacing w:after="0"/>
              <w:rPr>
                <w:sz w:val="15"/>
                <w:szCs w:val="15"/>
                <w:color w:val="auto"/>
              </w:rPr>
            </w:pPr>
          </w:p>
        </w:tc>
        <w:tc>
          <w:tcPr>
            <w:tcW w:w="1320" w:type="dxa"/>
            <w:vAlign w:val="bottom"/>
            <w:gridSpan w:val="2"/>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20" w:type="dxa"/>
            <w:vAlign w:val="bottom"/>
          </w:tcPr>
          <w:p>
            <w:pPr>
              <w:spacing w:after="0"/>
              <w:rPr>
                <w:sz w:val="15"/>
                <w:szCs w:val="15"/>
                <w:color w:val="auto"/>
              </w:rPr>
            </w:pPr>
          </w:p>
        </w:tc>
        <w:tc>
          <w:tcPr>
            <w:tcW w:w="1800" w:type="dxa"/>
            <w:vAlign w:val="bottom"/>
            <w:gridSpan w:val="2"/>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price per share</w:t>
            </w:r>
          </w:p>
        </w:tc>
      </w:tr>
      <w:tr>
        <w:trPr>
          <w:trHeight w:val="142"/>
        </w:trPr>
        <w:tc>
          <w:tcPr>
            <w:tcW w:w="5500" w:type="dxa"/>
            <w:vAlign w:val="bottom"/>
          </w:tcPr>
          <w:p>
            <w:pPr>
              <w:spacing w:after="0"/>
              <w:rPr>
                <w:sz w:val="12"/>
                <w:szCs w:val="12"/>
                <w:color w:val="auto"/>
              </w:rPr>
            </w:pPr>
          </w:p>
        </w:tc>
        <w:tc>
          <w:tcPr>
            <w:tcW w:w="106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54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r>
      <w:tr>
        <w:trPr>
          <w:trHeight w:val="216"/>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as of January 1, 2025</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265.36</w:t>
            </w:r>
          </w:p>
        </w:tc>
        <w:tc>
          <w:tcPr>
            <w:tcW w:w="260" w:type="dxa"/>
            <w:vAlign w:val="bottom"/>
            <w:shd w:val="clear" w:color="auto" w:fill="CCEEFF"/>
          </w:tcPr>
          <w:p>
            <w:pPr>
              <w:spacing w:after="0"/>
              <w:rPr>
                <w:sz w:val="18"/>
                <w:szCs w:val="18"/>
                <w:color w:val="auto"/>
              </w:rPr>
            </w:pPr>
          </w:p>
        </w:tc>
      </w:tr>
      <w:tr>
        <w:trPr>
          <w:trHeight w:val="216"/>
        </w:trPr>
        <w:tc>
          <w:tcPr>
            <w:tcW w:w="55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Granted</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26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7.54</w:t>
            </w:r>
          </w:p>
        </w:tc>
        <w:tc>
          <w:tcPr>
            <w:tcW w:w="260" w:type="dxa"/>
            <w:vAlign w:val="bottom"/>
          </w:tcPr>
          <w:p>
            <w:pPr>
              <w:spacing w:after="0"/>
              <w:rPr>
                <w:sz w:val="18"/>
                <w:szCs w:val="18"/>
                <w:color w:val="auto"/>
              </w:rPr>
            </w:pPr>
          </w:p>
        </w:tc>
      </w:tr>
      <w:tr>
        <w:trPr>
          <w:trHeight w:val="216"/>
        </w:trPr>
        <w:tc>
          <w:tcPr>
            <w:tcW w:w="55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Forfeited</w:t>
            </w:r>
          </w:p>
        </w:tc>
        <w:tc>
          <w:tcPr>
            <w:tcW w:w="13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124.94</w:t>
            </w:r>
          </w:p>
        </w:tc>
        <w:tc>
          <w:tcPr>
            <w:tcW w:w="260" w:type="dxa"/>
            <w:vAlign w:val="bottom"/>
            <w:shd w:val="clear" w:color="auto" w:fill="CCEEFF"/>
          </w:tcPr>
          <w:p>
            <w:pPr>
              <w:spacing w:after="0"/>
              <w:rPr>
                <w:sz w:val="18"/>
                <w:szCs w:val="18"/>
                <w:color w:val="auto"/>
              </w:rPr>
            </w:pPr>
          </w:p>
        </w:tc>
      </w:tr>
      <w:tr>
        <w:trPr>
          <w:trHeight w:val="216"/>
        </w:trPr>
        <w:tc>
          <w:tcPr>
            <w:tcW w:w="55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Cancelled</w:t>
            </w:r>
          </w:p>
        </w:tc>
        <w:tc>
          <w:tcPr>
            <w:tcW w:w="13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(14)</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384.60</w:t>
            </w:r>
          </w:p>
        </w:tc>
        <w:tc>
          <w:tcPr>
            <w:tcW w:w="260" w:type="dxa"/>
            <w:vAlign w:val="bottom"/>
          </w:tcPr>
          <w:p>
            <w:pPr>
              <w:spacing w:after="0"/>
              <w:rPr>
                <w:sz w:val="18"/>
                <w:szCs w:val="18"/>
                <w:color w:val="auto"/>
              </w:rPr>
            </w:pPr>
          </w:p>
        </w:tc>
      </w:tr>
      <w:tr>
        <w:trPr>
          <w:trHeight w:val="216"/>
        </w:trPr>
        <w:tc>
          <w:tcPr>
            <w:tcW w:w="55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Exercised</w:t>
            </w:r>
          </w:p>
        </w:tc>
        <w:tc>
          <w:tcPr>
            <w:tcW w:w="13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5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Outstanding as of March 31, 2025</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367</w:t>
            </w:r>
          </w:p>
        </w:tc>
        <w:tc>
          <w:tcPr>
            <w:tcW w:w="260" w:type="dxa"/>
            <w:vAlign w:val="bottom"/>
            <w:tcBorders>
              <w:bottom w:val="single" w:sz="8" w:color="CCEEFF"/>
            </w:tcBorders>
          </w:tcPr>
          <w:p>
            <w:pPr>
              <w:spacing w:after="0"/>
              <w:rPr>
                <w:sz w:val="21"/>
                <w:szCs w:val="21"/>
                <w:color w:val="auto"/>
              </w:rPr>
            </w:pPr>
          </w:p>
        </w:tc>
        <w:tc>
          <w:tcPr>
            <w:tcW w:w="220" w:type="dxa"/>
            <w:vAlign w:val="bottom"/>
            <w:tcBorders>
              <w:bottom w:val="single" w:sz="8" w:color="CCEEFF"/>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210.27</w:t>
            </w:r>
          </w:p>
        </w:tc>
        <w:tc>
          <w:tcPr>
            <w:tcW w:w="260" w:type="dxa"/>
            <w:vAlign w:val="bottom"/>
            <w:tcBorders>
              <w:bottom w:val="single" w:sz="8" w:color="CCEEFF"/>
            </w:tcBorders>
          </w:tcPr>
          <w:p>
            <w:pPr>
              <w:spacing w:after="0"/>
              <w:rPr>
                <w:sz w:val="21"/>
                <w:szCs w:val="21"/>
                <w:color w:val="auto"/>
              </w:rPr>
            </w:pPr>
          </w:p>
        </w:tc>
      </w:tr>
      <w:tr>
        <w:trPr>
          <w:trHeight w:val="196"/>
        </w:trPr>
        <w:tc>
          <w:tcPr>
            <w:tcW w:w="55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r>
      <w:tr>
        <w:trPr>
          <w:trHeight w:val="234"/>
        </w:trPr>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Options vested and exercisable as of March 31, 2025</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w:t>
            </w:r>
          </w:p>
        </w:tc>
        <w:tc>
          <w:tcPr>
            <w:tcW w:w="26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268.46</w:t>
            </w:r>
          </w:p>
        </w:tc>
        <w:tc>
          <w:tcPr>
            <w:tcW w:w="260" w:type="dxa"/>
            <w:vAlign w:val="bottom"/>
          </w:tcPr>
          <w:p>
            <w:pPr>
              <w:spacing w:after="0"/>
              <w:rPr>
                <w:sz w:val="20"/>
                <w:szCs w:val="20"/>
                <w:color w:val="auto"/>
              </w:rPr>
            </w:pPr>
          </w:p>
        </w:tc>
      </w:tr>
    </w:tbl>
    <w:p>
      <w:pPr>
        <w:spacing w:after="0" w:line="179" w:lineRule="exact"/>
        <w:rPr>
          <w:sz w:val="20"/>
          <w:szCs w:val="20"/>
          <w:color w:val="auto"/>
        </w:rPr>
      </w:pPr>
    </w:p>
    <w:p>
      <w:pPr>
        <w:ind w:left="60" w:right="279" w:firstLine="324"/>
        <w:spacing w:after="0" w:line="266" w:lineRule="auto"/>
        <w:rPr>
          <w:sz w:val="20"/>
          <w:szCs w:val="20"/>
          <w:color w:val="auto"/>
        </w:rPr>
      </w:pPr>
      <w:r>
        <w:rPr>
          <w:rFonts w:ascii="Times New Roman" w:cs="Times New Roman" w:eastAsia="Times New Roman" w:hAnsi="Times New Roman"/>
          <w:sz w:val="18"/>
          <w:szCs w:val="18"/>
          <w:color w:val="auto"/>
        </w:rPr>
        <w:t>As of March 31, 2025, the intrinsic value of options outstanding was $0. The intrinsic value for stock options is calculated based on the difference between the exercise prices of the underlying awards and the quoted stock price of the Company’s common stock as of the reporting date.</w:t>
      </w:r>
    </w:p>
    <w:p>
      <w:pPr>
        <w:spacing w:after="0" w:line="135" w:lineRule="exact"/>
        <w:rPr>
          <w:sz w:val="20"/>
          <w:szCs w:val="20"/>
          <w:color w:val="auto"/>
        </w:rPr>
      </w:pPr>
    </w:p>
    <w:p>
      <w:pPr>
        <w:ind w:left="60" w:right="159" w:firstLine="324"/>
        <w:spacing w:after="0" w:line="282" w:lineRule="auto"/>
        <w:rPr>
          <w:sz w:val="20"/>
          <w:szCs w:val="20"/>
          <w:color w:val="auto"/>
        </w:rPr>
      </w:pPr>
      <w:r>
        <w:rPr>
          <w:rFonts w:ascii="Times New Roman" w:cs="Times New Roman" w:eastAsia="Times New Roman" w:hAnsi="Times New Roman"/>
          <w:sz w:val="18"/>
          <w:szCs w:val="18"/>
          <w:color w:val="auto"/>
        </w:rPr>
        <w:t>No stock options were exercised for the three months ended March 31, 2025. As of March 31, 2025, the total intrinsic value of stock options exercisable was $0.</w:t>
      </w:r>
    </w:p>
    <w:p>
      <w:pPr>
        <w:spacing w:after="0" w:line="13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weighted average grant date fair value per share of options granted as of March 31, 2025 was $6.21.</w:t>
      </w:r>
    </w:p>
    <w:p>
      <w:pPr>
        <w:spacing w:after="0" w:line="18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weighted average grant date fair value per share of options vested as of March 31, 2025 was $196.53.</w:t>
      </w:r>
    </w:p>
    <w:p>
      <w:pPr>
        <w:spacing w:after="0" w:line="185" w:lineRule="exact"/>
        <w:rPr>
          <w:sz w:val="20"/>
          <w:szCs w:val="20"/>
          <w:color w:val="auto"/>
        </w:rPr>
      </w:pPr>
    </w:p>
    <w:p>
      <w:pPr>
        <w:ind w:left="60" w:right="659" w:firstLine="324"/>
        <w:spacing w:after="0" w:line="282" w:lineRule="auto"/>
        <w:rPr>
          <w:sz w:val="20"/>
          <w:szCs w:val="20"/>
          <w:color w:val="auto"/>
        </w:rPr>
      </w:pPr>
      <w:r>
        <w:rPr>
          <w:rFonts w:ascii="Times New Roman" w:cs="Times New Roman" w:eastAsia="Times New Roman" w:hAnsi="Times New Roman"/>
          <w:sz w:val="18"/>
          <w:szCs w:val="18"/>
          <w:color w:val="auto"/>
        </w:rPr>
        <w:t>The weighted average remaining contractual life is 5.0 years for options exercisable as of March 31, 2025. The weighted average remaining contractual life was 6.2 years for options outstanding as of March 31, 2025.</w:t>
      </w:r>
    </w:p>
    <w:p>
      <w:pPr>
        <w:spacing w:after="0" w:line="135" w:lineRule="exact"/>
        <w:rPr>
          <w:sz w:val="20"/>
          <w:szCs w:val="20"/>
          <w:color w:val="auto"/>
        </w:rPr>
      </w:pPr>
    </w:p>
    <w:p>
      <w:pPr>
        <w:ind w:left="60" w:right="219" w:firstLine="324"/>
        <w:spacing w:after="0" w:line="266" w:lineRule="auto"/>
        <w:rPr>
          <w:sz w:val="20"/>
          <w:szCs w:val="20"/>
          <w:color w:val="auto"/>
        </w:rPr>
      </w:pPr>
      <w:r>
        <w:rPr>
          <w:rFonts w:ascii="Times New Roman" w:cs="Times New Roman" w:eastAsia="Times New Roman" w:hAnsi="Times New Roman"/>
          <w:sz w:val="18"/>
          <w:szCs w:val="18"/>
          <w:color w:val="auto"/>
        </w:rPr>
        <w:t>Unrecognized compensation expense related to unvested stock option awards as of March 31, 2025 was $1,675 and will be recognized over the remaining vesting periods of the underlying awards. The weighted-average period over which such compensation is expected to be recognized is 1.1 years.</w:t>
      </w:r>
    </w:p>
    <w:p>
      <w:pPr>
        <w:spacing w:after="0" w:line="39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06415"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9" w:name="page30"/>
    <w:bookmarkEnd w:id="2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202" w:lineRule="exact"/>
        <w:rPr>
          <w:sz w:val="20"/>
          <w:szCs w:val="20"/>
          <w:color w:val="auto"/>
        </w:rPr>
      </w:pPr>
    </w:p>
    <w:p>
      <w:pPr>
        <w:ind w:left="60" w:right="239" w:firstLine="324"/>
        <w:spacing w:after="0" w:line="282" w:lineRule="auto"/>
        <w:rPr>
          <w:sz w:val="20"/>
          <w:szCs w:val="20"/>
          <w:color w:val="auto"/>
        </w:rPr>
      </w:pPr>
      <w:r>
        <w:rPr>
          <w:rFonts w:ascii="Times New Roman" w:cs="Times New Roman" w:eastAsia="Times New Roman" w:hAnsi="Times New Roman"/>
          <w:sz w:val="18"/>
          <w:szCs w:val="18"/>
          <w:color w:val="auto"/>
        </w:rPr>
        <w:t>The fair value of stock options granted during the three months ended March 31, 2025 and 2024 was estimated using the Black-Scholes pricing model with the following assumptions:</w:t>
      </w:r>
    </w:p>
    <w:p>
      <w:pPr>
        <w:spacing w:after="0" w:line="264"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000" w:type="dxa"/>
            <w:vAlign w:val="bottom"/>
          </w:tcPr>
          <w:p>
            <w:pPr>
              <w:spacing w:after="0"/>
              <w:rPr>
                <w:sz w:val="13"/>
                <w:szCs w:val="13"/>
                <w:color w:val="auto"/>
              </w:rPr>
            </w:pPr>
          </w:p>
        </w:tc>
        <w:tc>
          <w:tcPr>
            <w:tcW w:w="2460" w:type="dxa"/>
            <w:vAlign w:val="bottom"/>
            <w:gridSpan w:val="2"/>
          </w:tcPr>
          <w:p>
            <w:pPr>
              <w:ind w:left="4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380" w:type="dxa"/>
            <w:vAlign w:val="bottom"/>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173"/>
        </w:trPr>
        <w:tc>
          <w:tcPr>
            <w:tcW w:w="4000" w:type="dxa"/>
            <w:vAlign w:val="bottom"/>
          </w:tcPr>
          <w:p>
            <w:pPr>
              <w:spacing w:after="0"/>
              <w:rPr>
                <w:sz w:val="15"/>
                <w:szCs w:val="15"/>
                <w:color w:val="auto"/>
              </w:rPr>
            </w:pPr>
          </w:p>
        </w:tc>
        <w:tc>
          <w:tcPr>
            <w:tcW w:w="2460" w:type="dxa"/>
            <w:vAlign w:val="bottom"/>
            <w:gridSpan w:val="2"/>
          </w:tcPr>
          <w:p>
            <w:pPr>
              <w:ind w:left="660"/>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2380" w:type="dxa"/>
            <w:vAlign w:val="bottom"/>
          </w:tcPr>
          <w:p>
            <w:pPr>
              <w:jc w:val="right"/>
              <w:ind w:right="636"/>
              <w:spacing w:after="0"/>
              <w:rPr>
                <w:sz w:val="20"/>
                <w:szCs w:val="20"/>
                <w:color w:val="auto"/>
              </w:rPr>
            </w:pPr>
            <w:r>
              <w:rPr>
                <w:rFonts w:ascii="Times New Roman" w:cs="Times New Roman" w:eastAsia="Times New Roman" w:hAnsi="Times New Roman"/>
                <w:sz w:val="14"/>
                <w:szCs w:val="14"/>
                <w:b w:val="1"/>
                <w:bCs w:val="1"/>
                <w:color w:val="auto"/>
              </w:rPr>
              <w:t>March 31, 2024</w:t>
            </w:r>
          </w:p>
        </w:tc>
      </w:tr>
      <w:tr>
        <w:trPr>
          <w:trHeight w:val="142"/>
        </w:trPr>
        <w:tc>
          <w:tcPr>
            <w:tcW w:w="4000" w:type="dxa"/>
            <w:vAlign w:val="bottom"/>
          </w:tcPr>
          <w:p>
            <w:pPr>
              <w:spacing w:after="0"/>
              <w:rPr>
                <w:sz w:val="12"/>
                <w:szCs w:val="12"/>
                <w:color w:val="auto"/>
              </w:rPr>
            </w:pPr>
          </w:p>
        </w:tc>
        <w:tc>
          <w:tcPr>
            <w:tcW w:w="228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2380" w:type="dxa"/>
            <w:vAlign w:val="bottom"/>
            <w:tcBorders>
              <w:top w:val="single" w:sz="8" w:color="auto"/>
            </w:tcBorders>
          </w:tcPr>
          <w:p>
            <w:pPr>
              <w:spacing w:after="0"/>
              <w:rPr>
                <w:sz w:val="12"/>
                <w:szCs w:val="12"/>
                <w:color w:val="auto"/>
              </w:rPr>
            </w:pPr>
          </w:p>
        </w:tc>
      </w:tr>
      <w:tr>
        <w:trPr>
          <w:trHeight w:val="216"/>
        </w:trPr>
        <w:tc>
          <w:tcPr>
            <w:tcW w:w="4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term</w:t>
            </w:r>
          </w:p>
        </w:tc>
        <w:tc>
          <w:tcPr>
            <w:tcW w:w="2460" w:type="dxa"/>
            <w:vAlign w:val="bottom"/>
            <w:gridSpan w:val="2"/>
            <w:shd w:val="clear" w:color="auto" w:fill="CCEEFF"/>
          </w:tcPr>
          <w:p>
            <w:pPr>
              <w:ind w:left="1100"/>
              <w:spacing w:after="0"/>
              <w:rPr>
                <w:sz w:val="20"/>
                <w:szCs w:val="20"/>
                <w:color w:val="auto"/>
              </w:rPr>
            </w:pPr>
            <w:r>
              <w:rPr>
                <w:rFonts w:ascii="Times New Roman" w:cs="Times New Roman" w:eastAsia="Times New Roman" w:hAnsi="Times New Roman"/>
                <w:sz w:val="18"/>
                <w:szCs w:val="18"/>
                <w:color w:val="auto"/>
              </w:rPr>
              <w:t>5.3 years</w:t>
            </w:r>
          </w:p>
        </w:tc>
        <w:tc>
          <w:tcPr>
            <w:tcW w:w="2380" w:type="dxa"/>
            <w:vAlign w:val="bottom"/>
            <w:shd w:val="clear" w:color="auto" w:fill="CCEEFF"/>
          </w:tcPr>
          <w:p>
            <w:pPr>
              <w:jc w:val="right"/>
              <w:ind w:right="496"/>
              <w:spacing w:after="0"/>
              <w:rPr>
                <w:sz w:val="20"/>
                <w:szCs w:val="20"/>
                <w:color w:val="auto"/>
              </w:rPr>
            </w:pPr>
            <w:r>
              <w:rPr>
                <w:rFonts w:ascii="Times New Roman" w:cs="Times New Roman" w:eastAsia="Times New Roman" w:hAnsi="Times New Roman"/>
                <w:sz w:val="18"/>
                <w:szCs w:val="18"/>
                <w:color w:val="auto"/>
              </w:rPr>
              <w:t>6.1 years</w:t>
            </w:r>
          </w:p>
        </w:tc>
      </w:tr>
      <w:tr>
        <w:trPr>
          <w:trHeight w:val="216"/>
        </w:trPr>
        <w:tc>
          <w:tcPr>
            <w:tcW w:w="4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stock price volatility</w:t>
            </w:r>
          </w:p>
        </w:tc>
        <w:tc>
          <w:tcPr>
            <w:tcW w:w="2280" w:type="dxa"/>
            <w:vAlign w:val="bottom"/>
          </w:tcPr>
          <w:p>
            <w:pPr>
              <w:jc w:val="right"/>
              <w:ind w:right="676"/>
              <w:spacing w:after="0"/>
              <w:rPr>
                <w:sz w:val="20"/>
                <w:szCs w:val="20"/>
                <w:color w:val="auto"/>
              </w:rPr>
            </w:pPr>
            <w:r>
              <w:rPr>
                <w:rFonts w:ascii="Times New Roman" w:cs="Times New Roman" w:eastAsia="Times New Roman" w:hAnsi="Times New Roman"/>
                <w:sz w:val="18"/>
                <w:szCs w:val="18"/>
                <w:color w:val="auto"/>
              </w:rPr>
              <w:t>112.0 %</w:t>
            </w:r>
          </w:p>
        </w:tc>
        <w:tc>
          <w:tcPr>
            <w:tcW w:w="180" w:type="dxa"/>
            <w:vAlign w:val="bottom"/>
          </w:tcPr>
          <w:p>
            <w:pPr>
              <w:spacing w:after="0"/>
              <w:rPr>
                <w:sz w:val="18"/>
                <w:szCs w:val="18"/>
                <w:color w:val="auto"/>
              </w:rPr>
            </w:pPr>
          </w:p>
        </w:tc>
        <w:tc>
          <w:tcPr>
            <w:tcW w:w="2380" w:type="dxa"/>
            <w:vAlign w:val="bottom"/>
          </w:tcPr>
          <w:p>
            <w:pPr>
              <w:jc w:val="right"/>
              <w:ind w:right="716"/>
              <w:spacing w:after="0"/>
              <w:rPr>
                <w:sz w:val="20"/>
                <w:szCs w:val="20"/>
                <w:color w:val="auto"/>
              </w:rPr>
            </w:pPr>
            <w:r>
              <w:rPr>
                <w:rFonts w:ascii="Times New Roman" w:cs="Times New Roman" w:eastAsia="Times New Roman" w:hAnsi="Times New Roman"/>
                <w:sz w:val="18"/>
                <w:szCs w:val="18"/>
                <w:color w:val="auto"/>
              </w:rPr>
              <w:t>108.4 %</w:t>
            </w:r>
          </w:p>
        </w:tc>
      </w:tr>
      <w:tr>
        <w:trPr>
          <w:trHeight w:val="216"/>
        </w:trPr>
        <w:tc>
          <w:tcPr>
            <w:tcW w:w="4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Risk-free rate of interest</w:t>
            </w:r>
          </w:p>
        </w:tc>
        <w:tc>
          <w:tcPr>
            <w:tcW w:w="2280" w:type="dxa"/>
            <w:vAlign w:val="bottom"/>
            <w:shd w:val="clear" w:color="auto" w:fill="CCEEFF"/>
          </w:tcPr>
          <w:p>
            <w:pPr>
              <w:jc w:val="right"/>
              <w:ind w:right="676"/>
              <w:spacing w:after="0"/>
              <w:rPr>
                <w:sz w:val="20"/>
                <w:szCs w:val="20"/>
                <w:color w:val="auto"/>
              </w:rPr>
            </w:pPr>
            <w:r>
              <w:rPr>
                <w:rFonts w:ascii="Times New Roman" w:cs="Times New Roman" w:eastAsia="Times New Roman" w:hAnsi="Times New Roman"/>
                <w:sz w:val="18"/>
                <w:szCs w:val="18"/>
                <w:color w:val="auto"/>
              </w:rPr>
              <w:t>4.5 %</w:t>
            </w:r>
          </w:p>
        </w:tc>
        <w:tc>
          <w:tcPr>
            <w:tcW w:w="180" w:type="dxa"/>
            <w:vAlign w:val="bottom"/>
            <w:shd w:val="clear" w:color="auto" w:fill="CCEEFF"/>
          </w:tcPr>
          <w:p>
            <w:pPr>
              <w:spacing w:after="0"/>
              <w:rPr>
                <w:sz w:val="18"/>
                <w:szCs w:val="18"/>
                <w:color w:val="auto"/>
              </w:rPr>
            </w:pPr>
          </w:p>
        </w:tc>
        <w:tc>
          <w:tcPr>
            <w:tcW w:w="2380" w:type="dxa"/>
            <w:vAlign w:val="bottom"/>
            <w:shd w:val="clear" w:color="auto" w:fill="CCEEFF"/>
          </w:tcPr>
          <w:p>
            <w:pPr>
              <w:jc w:val="right"/>
              <w:ind w:right="716"/>
              <w:spacing w:after="0"/>
              <w:rPr>
                <w:sz w:val="20"/>
                <w:szCs w:val="20"/>
                <w:color w:val="auto"/>
              </w:rPr>
            </w:pPr>
            <w:r>
              <w:rPr>
                <w:rFonts w:ascii="Times New Roman" w:cs="Times New Roman" w:eastAsia="Times New Roman" w:hAnsi="Times New Roman"/>
                <w:sz w:val="18"/>
                <w:szCs w:val="18"/>
                <w:color w:val="auto"/>
              </w:rPr>
              <w:t>4.0 %</w:t>
            </w:r>
          </w:p>
        </w:tc>
      </w:tr>
      <w:tr>
        <w:trPr>
          <w:trHeight w:val="234"/>
        </w:trPr>
        <w:tc>
          <w:tcPr>
            <w:tcW w:w="4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dividend yield</w:t>
            </w:r>
          </w:p>
        </w:tc>
        <w:tc>
          <w:tcPr>
            <w:tcW w:w="2280" w:type="dxa"/>
            <w:vAlign w:val="bottom"/>
          </w:tcPr>
          <w:p>
            <w:pPr>
              <w:jc w:val="right"/>
              <w:ind w:right="676"/>
              <w:spacing w:after="0"/>
              <w:rPr>
                <w:sz w:val="20"/>
                <w:szCs w:val="20"/>
                <w:color w:val="auto"/>
              </w:rPr>
            </w:pPr>
            <w:r>
              <w:rPr>
                <w:rFonts w:ascii="Times New Roman" w:cs="Times New Roman" w:eastAsia="Times New Roman" w:hAnsi="Times New Roman"/>
                <w:sz w:val="18"/>
                <w:szCs w:val="18"/>
                <w:color w:val="auto"/>
              </w:rPr>
              <w:t>0.0 %</w:t>
            </w:r>
          </w:p>
        </w:tc>
        <w:tc>
          <w:tcPr>
            <w:tcW w:w="180" w:type="dxa"/>
            <w:vAlign w:val="bottom"/>
          </w:tcPr>
          <w:p>
            <w:pPr>
              <w:spacing w:after="0"/>
              <w:rPr>
                <w:sz w:val="20"/>
                <w:szCs w:val="20"/>
                <w:color w:val="auto"/>
              </w:rPr>
            </w:pPr>
          </w:p>
        </w:tc>
        <w:tc>
          <w:tcPr>
            <w:tcW w:w="2380" w:type="dxa"/>
            <w:vAlign w:val="bottom"/>
          </w:tcPr>
          <w:p>
            <w:pPr>
              <w:jc w:val="right"/>
              <w:ind w:right="716"/>
              <w:spacing w:after="0"/>
              <w:rPr>
                <w:sz w:val="20"/>
                <w:szCs w:val="20"/>
                <w:color w:val="auto"/>
              </w:rPr>
            </w:pPr>
            <w:r>
              <w:rPr>
                <w:rFonts w:ascii="Times New Roman" w:cs="Times New Roman" w:eastAsia="Times New Roman" w:hAnsi="Times New Roman"/>
                <w:sz w:val="18"/>
                <w:szCs w:val="18"/>
                <w:color w:val="auto"/>
              </w:rPr>
              <w:t>0.0 %</w:t>
            </w:r>
          </w:p>
        </w:tc>
      </w:tr>
    </w:tbl>
    <w:p>
      <w:pPr>
        <w:spacing w:after="0" w:line="179" w:lineRule="exact"/>
        <w:rPr>
          <w:sz w:val="20"/>
          <w:szCs w:val="20"/>
          <w:color w:val="auto"/>
        </w:rPr>
      </w:pPr>
    </w:p>
    <w:p>
      <w:pPr>
        <w:ind w:left="60" w:right="199" w:firstLine="324"/>
        <w:spacing w:after="0" w:line="253" w:lineRule="auto"/>
        <w:rPr>
          <w:sz w:val="20"/>
          <w:szCs w:val="20"/>
          <w:color w:val="auto"/>
        </w:rPr>
      </w:pPr>
      <w:r>
        <w:rPr>
          <w:rFonts w:ascii="Times New Roman" w:cs="Times New Roman" w:eastAsia="Times New Roman" w:hAnsi="Times New Roman"/>
          <w:sz w:val="18"/>
          <w:szCs w:val="18"/>
          <w:color w:val="auto"/>
        </w:rPr>
        <w:t>In 2025, the Company continued using the historical volatility of its common stock to estimate volatility. Prior to 2023, volatility was estimated using a combination of the historical volatility of publicly traded peer companies and that of the Company’s common stock. The expected term of the awards is estimated based on the simplified method, which calculates the expected term based upon the midpoint of the life of the award and the vesting period. The Company uses the simplified method because it does not have sufficient option exercise data to provide a reasonable basis upon which to estimate the expected term. The expected dividend yield is zero percent as the Company has no history of paying dividends nor does management expect to pay dividends over the contractual terms of these options. The risk-free interest rates are determined by reference to the U.S. Treasury yield curve in effect at the time of grant, with maturities approximating the expected term of the stock options. The fair value of the underlying common stock is generally determined as the closing price of the Company’s common stock on The Nasdaq Capital Market on the grant date, with consideration of whether there is material nonpublic information that could impact that estimated fair value when it is released.</w:t>
      </w:r>
    </w:p>
    <w:p>
      <w:pPr>
        <w:spacing w:after="0" w:line="149" w:lineRule="exact"/>
        <w:rPr>
          <w:sz w:val="20"/>
          <w:szCs w:val="20"/>
          <w:color w:val="auto"/>
        </w:rPr>
      </w:pPr>
    </w:p>
    <w:p>
      <w:pPr>
        <w:ind w:left="60" w:right="159" w:firstLine="324"/>
        <w:spacing w:after="0" w:line="266" w:lineRule="auto"/>
        <w:rPr>
          <w:sz w:val="20"/>
          <w:szCs w:val="20"/>
          <w:color w:val="auto"/>
        </w:rPr>
      </w:pPr>
      <w:r>
        <w:rPr>
          <w:rFonts w:ascii="Times New Roman" w:cs="Times New Roman" w:eastAsia="Times New Roman" w:hAnsi="Times New Roman"/>
          <w:sz w:val="18"/>
          <w:szCs w:val="18"/>
          <w:color w:val="auto"/>
        </w:rPr>
        <w:t>The Company recognized stock-based compensation expense related to awards issued under the 2017 Plan and the 2020 Plan, as well as the OnkosXcel RSUs and PSUs, of $180 and $3,433 for the three months ended March 31, 2025 and 2024, respectively, which were comprised as follows:</w:t>
      </w:r>
    </w:p>
    <w:p>
      <w:pPr>
        <w:spacing w:after="0" w:line="223"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5400" w:type="dxa"/>
            <w:vAlign w:val="bottom"/>
          </w:tcPr>
          <w:p>
            <w:pPr>
              <w:spacing w:after="0"/>
              <w:rPr>
                <w:sz w:val="15"/>
                <w:szCs w:val="15"/>
                <w:color w:val="auto"/>
              </w:rPr>
            </w:pPr>
          </w:p>
        </w:tc>
        <w:tc>
          <w:tcPr>
            <w:tcW w:w="2900" w:type="dxa"/>
            <w:vAlign w:val="bottom"/>
            <w:tcBorders>
              <w:bottom w:val="single" w:sz="8" w:color="auto"/>
            </w:tcBorders>
            <w:gridSpan w:val="4"/>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540" w:type="dxa"/>
            <w:vAlign w:val="bottom"/>
            <w:tcBorders>
              <w:bottom w:val="single" w:sz="8" w:color="auto"/>
            </w:tcBorders>
          </w:tcPr>
          <w:p>
            <w:pPr>
              <w:spacing w:after="0"/>
              <w:rPr>
                <w:sz w:val="15"/>
                <w:szCs w:val="15"/>
                <w:color w:val="auto"/>
              </w:rPr>
            </w:pPr>
          </w:p>
        </w:tc>
      </w:tr>
      <w:tr>
        <w:trPr>
          <w:trHeight w:val="196"/>
        </w:trPr>
        <w:tc>
          <w:tcPr>
            <w:tcW w:w="5400" w:type="dxa"/>
            <w:vAlign w:val="bottom"/>
          </w:tcPr>
          <w:p>
            <w:pPr>
              <w:spacing w:after="0"/>
              <w:rPr>
                <w:sz w:val="17"/>
                <w:szCs w:val="17"/>
                <w:color w:val="auto"/>
              </w:rPr>
            </w:pPr>
          </w:p>
        </w:tc>
        <w:tc>
          <w:tcPr>
            <w:tcW w:w="1040" w:type="dxa"/>
            <w:vAlign w:val="bottom"/>
            <w:tcBorders>
              <w:bottom w:val="single" w:sz="8" w:color="auto"/>
            </w:tcBorders>
          </w:tcPr>
          <w:p>
            <w:pPr>
              <w:jc w:val="right"/>
              <w:ind w:right="42"/>
              <w:spacing w:after="0"/>
              <w:rPr>
                <w:sz w:val="20"/>
                <w:szCs w:val="20"/>
                <w:color w:val="auto"/>
              </w:rPr>
            </w:pPr>
            <w:r>
              <w:rPr>
                <w:rFonts w:ascii="Times New Roman" w:cs="Times New Roman" w:eastAsia="Times New Roman" w:hAnsi="Times New Roman"/>
                <w:sz w:val="14"/>
                <w:szCs w:val="14"/>
                <w:b w:val="1"/>
                <w:bCs w:val="1"/>
                <w:color w:val="auto"/>
              </w:rPr>
              <w:t>2025</w:t>
            </w:r>
          </w:p>
        </w:tc>
        <w:tc>
          <w:tcPr>
            <w:tcW w:w="500" w:type="dxa"/>
            <w:vAlign w:val="bottom"/>
            <w:tcBorders>
              <w:bottom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102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2024</w:t>
            </w:r>
          </w:p>
        </w:tc>
        <w:tc>
          <w:tcPr>
            <w:tcW w:w="540" w:type="dxa"/>
            <w:vAlign w:val="bottom"/>
            <w:tcBorders>
              <w:bottom w:val="single" w:sz="8" w:color="auto"/>
            </w:tcBorders>
          </w:tcPr>
          <w:p>
            <w:pPr>
              <w:spacing w:after="0"/>
              <w:rPr>
                <w:sz w:val="17"/>
                <w:szCs w:val="17"/>
                <w:color w:val="auto"/>
              </w:rPr>
            </w:pPr>
          </w:p>
        </w:tc>
      </w:tr>
      <w:tr>
        <w:trPr>
          <w:trHeight w:val="210"/>
        </w:trPr>
        <w:tc>
          <w:tcPr>
            <w:tcW w:w="54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40" w:type="dxa"/>
            <w:vAlign w:val="bottom"/>
          </w:tcPr>
          <w:p>
            <w:pPr>
              <w:spacing w:after="0"/>
              <w:rPr>
                <w:sz w:val="18"/>
                <w:szCs w:val="18"/>
                <w:color w:val="auto"/>
              </w:rPr>
            </w:pPr>
          </w:p>
        </w:tc>
      </w:tr>
      <w:tr>
        <w:trPr>
          <w:trHeight w:val="216"/>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040" w:type="dxa"/>
            <w:vAlign w:val="bottom"/>
            <w:shd w:val="clear" w:color="auto" w:fill="CCEEFF"/>
          </w:tcPr>
          <w:p>
            <w:pPr>
              <w:jc w:val="right"/>
              <w:ind w:right="882"/>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(514)</w:t>
            </w:r>
          </w:p>
        </w:tc>
        <w:tc>
          <w:tcPr>
            <w:tcW w:w="1020" w:type="dxa"/>
            <w:vAlign w:val="bottom"/>
            <w:shd w:val="clear" w:color="auto" w:fill="CCEEFF"/>
          </w:tcPr>
          <w:p>
            <w:pPr>
              <w:jc w:val="right"/>
              <w:ind w:right="860"/>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1,281</w:t>
            </w:r>
          </w:p>
        </w:tc>
      </w:tr>
      <w:tr>
        <w:trPr>
          <w:trHeight w:val="216"/>
        </w:trPr>
        <w:tc>
          <w:tcPr>
            <w:tcW w:w="5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04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694</w:t>
            </w:r>
          </w:p>
        </w:tc>
        <w:tc>
          <w:tcPr>
            <w:tcW w:w="340" w:type="dxa"/>
            <w:vAlign w:val="bottom"/>
            <w:tcBorders>
              <w:bottom w:val="single" w:sz="8" w:color="CCEEFF"/>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2,152</w:t>
            </w:r>
          </w:p>
        </w:tc>
      </w:tr>
      <w:tr>
        <w:trPr>
          <w:trHeight w:val="210"/>
        </w:trPr>
        <w:tc>
          <w:tcPr>
            <w:tcW w:w="54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1040" w:type="dxa"/>
            <w:vAlign w:val="bottom"/>
            <w:tcBorders>
              <w:bottom w:val="single" w:sz="8" w:color="auto"/>
            </w:tcBorders>
            <w:shd w:val="clear" w:color="auto" w:fill="CCEEFF"/>
          </w:tcPr>
          <w:p>
            <w:pPr>
              <w:jc w:val="right"/>
              <w:ind w:right="882"/>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34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860"/>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3,433</w:t>
            </w:r>
          </w:p>
        </w:tc>
      </w:tr>
      <w:tr>
        <w:trPr>
          <w:trHeight w:val="20"/>
        </w:trPr>
        <w:tc>
          <w:tcPr>
            <w:tcW w:w="54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color w:val="auto"/>
        </w:rPr>
        <w:t>2020 Employee Stock Purchase Plan</w:t>
      </w:r>
    </w:p>
    <w:p>
      <w:pPr>
        <w:spacing w:after="0" w:line="189" w:lineRule="exact"/>
        <w:rPr>
          <w:sz w:val="20"/>
          <w:szCs w:val="20"/>
          <w:color w:val="auto"/>
        </w:rPr>
      </w:pPr>
    </w:p>
    <w:p>
      <w:pPr>
        <w:ind w:left="60" w:right="179" w:firstLine="324"/>
        <w:spacing w:after="0" w:line="252" w:lineRule="auto"/>
        <w:rPr>
          <w:sz w:val="20"/>
          <w:szCs w:val="20"/>
          <w:color w:val="auto"/>
        </w:rPr>
      </w:pPr>
      <w:r>
        <w:rPr>
          <w:rFonts w:ascii="Times New Roman" w:cs="Times New Roman" w:eastAsia="Times New Roman" w:hAnsi="Times New Roman"/>
          <w:sz w:val="18"/>
          <w:szCs w:val="18"/>
          <w:color w:val="auto"/>
        </w:rPr>
        <w:t>The Company’s 2020 Employee Stock Purchase Plan (the “ESPP”) was also approved and became effective at the Company’s 2020 annual meeting of stockholders on May 20, 2020. The ESPP is designed to assist eligible employees of the Company with the opportunity to purchase the Company’s common stock at a discount through accumulated payroll deductions during successive offering periods. The aggregate number of shares that were initially available to be issued pursuant to rights granted under the ESPP was 6 shares of common stock. In addition, the number of shares available for issuance under the ESPP increases on the first day of each calendar year, beginning on January 1, 2021 and ending on and including January 1, 2030, by a number of shares of common stock equal to the lesser of (a) 1% of the shares outstanding on the final day of the immediately preceding calendar year and (b) such smaller number of shares as determined by the Board of Directors. The number of shares that may be issued or transferred pursuant to rights granted under the component of the ESPP that is intended to qualify for favorable U.S. federal tax treatment under Section 423 of the Internal Revenue Code (the “Section 423 Component”) shall not exceed 31 shares. The purchase price will be determined by the administrator of the ESPP and, for purposes of the Section 423 Component, shall not be less than 85% of the fair value of a share on the first trading day or on the last trading day of the applicable offering period, whichever is lower. The shares available for issuance under the ESPP increased by 31 shares and 19</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1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260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06415"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0" w:name="page31"/>
    <w:bookmarkEnd w:id="3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79"/>
        <w:spacing w:after="0" w:line="282" w:lineRule="auto"/>
        <w:rPr>
          <w:sz w:val="20"/>
          <w:szCs w:val="20"/>
          <w:color w:val="auto"/>
        </w:rPr>
      </w:pPr>
      <w:r>
        <w:rPr>
          <w:rFonts w:ascii="Times New Roman" w:cs="Times New Roman" w:eastAsia="Times New Roman" w:hAnsi="Times New Roman"/>
          <w:sz w:val="18"/>
          <w:szCs w:val="18"/>
          <w:color w:val="auto"/>
        </w:rPr>
        <w:t>shares on January 1, 2025 and 2024, respectively. To date, no shares have been sold under the ESPP. There were 106 shares available for issuance as of March 31, 2025.</w:t>
      </w:r>
    </w:p>
    <w:p>
      <w:pPr>
        <w:spacing w:after="0" w:line="1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13. Leases</w:t>
      </w:r>
    </w:p>
    <w:p>
      <w:pPr>
        <w:spacing w:after="0" w:line="189" w:lineRule="exact"/>
        <w:rPr>
          <w:sz w:val="20"/>
          <w:szCs w:val="20"/>
          <w:color w:val="auto"/>
        </w:rPr>
      </w:pPr>
    </w:p>
    <w:p>
      <w:pPr>
        <w:jc w:val="both"/>
        <w:ind w:left="60" w:right="339" w:firstLine="324"/>
        <w:spacing w:after="0" w:line="266" w:lineRule="auto"/>
        <w:rPr>
          <w:sz w:val="20"/>
          <w:szCs w:val="20"/>
          <w:color w:val="auto"/>
        </w:rPr>
      </w:pPr>
      <w:r>
        <w:rPr>
          <w:rFonts w:ascii="Times New Roman" w:cs="Times New Roman" w:eastAsia="Times New Roman" w:hAnsi="Times New Roman"/>
          <w:sz w:val="18"/>
          <w:szCs w:val="18"/>
          <w:color w:val="auto"/>
        </w:rPr>
        <w:t>BTI leases office space for its corporate headquarters at 555 Long Wharf Drive, New Haven, Connecticut (the “HQ Lease”) under an operating lease that expires in February 2026. The Company has an option to renew the HQ Lease for one additional five-year term. Payments under the HQ Lease are fixed.</w:t>
      </w:r>
    </w:p>
    <w:p>
      <w:pPr>
        <w:spacing w:after="0" w:line="13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Company also leases equipment such as copiers and information technology equipment.</w:t>
      </w:r>
    </w:p>
    <w:p>
      <w:pPr>
        <w:spacing w:after="0" w:line="19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future minimum annual lease payments under operating leases, as of March 31, 2025, are as follows:</w:t>
      </w:r>
    </w:p>
    <w:p>
      <w:pPr>
        <w:spacing w:after="0" w:line="192" w:lineRule="exact"/>
        <w:rPr>
          <w:sz w:val="20"/>
          <w:szCs w:val="20"/>
          <w:color w:val="auto"/>
        </w:rPr>
      </w:pPr>
    </w:p>
    <w:tbl>
      <w:tblPr>
        <w:tblLayout w:type="fixed"/>
        <w:tblInd w:w="840" w:type="dxa"/>
        <w:tblCellMar>
          <w:top w:w="0" w:type="dxa"/>
          <w:left w:w="0" w:type="dxa"/>
          <w:bottom w:w="0" w:type="dxa"/>
          <w:right w:w="0" w:type="dxa"/>
        </w:tblCellMar>
      </w:tblPr>
      <w:tr>
        <w:trPr>
          <w:trHeight w:val="173"/>
        </w:trPr>
        <w:tc>
          <w:tcPr>
            <w:tcW w:w="62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Year ending December 31,</w:t>
            </w:r>
          </w:p>
        </w:tc>
        <w:tc>
          <w:tcPr>
            <w:tcW w:w="160" w:type="dxa"/>
            <w:vAlign w:val="bottom"/>
          </w:tcPr>
          <w:p>
            <w:pPr>
              <w:spacing w:after="0"/>
              <w:rPr>
                <w:sz w:val="15"/>
                <w:szCs w:val="15"/>
                <w:color w:val="auto"/>
              </w:rPr>
            </w:pPr>
          </w:p>
        </w:tc>
        <w:tc>
          <w:tcPr>
            <w:tcW w:w="800" w:type="dxa"/>
            <w:vAlign w:val="bottom"/>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Amount</w:t>
            </w:r>
          </w:p>
        </w:tc>
      </w:tr>
      <w:tr>
        <w:trPr>
          <w:trHeight w:val="142"/>
        </w:trPr>
        <w:tc>
          <w:tcPr>
            <w:tcW w:w="610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r>
      <w:tr>
        <w:trPr>
          <w:trHeight w:val="216"/>
        </w:trPr>
        <w:tc>
          <w:tcPr>
            <w:tcW w:w="6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Remainder of 2025</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w:t>
            </w:r>
          </w:p>
        </w:tc>
      </w:tr>
      <w:tr>
        <w:trPr>
          <w:trHeight w:val="216"/>
        </w:trPr>
        <w:tc>
          <w:tcPr>
            <w:tcW w:w="610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r>
      <w:tr>
        <w:trPr>
          <w:trHeight w:val="216"/>
        </w:trPr>
        <w:tc>
          <w:tcPr>
            <w:tcW w:w="6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Thereafter</w:t>
            </w:r>
          </w:p>
        </w:tc>
        <w:tc>
          <w:tcPr>
            <w:tcW w:w="16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62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Total lease payments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w:t>
            </w:r>
          </w:p>
        </w:tc>
      </w:tr>
      <w:tr>
        <w:trPr>
          <w:trHeight w:val="216"/>
        </w:trPr>
        <w:tc>
          <w:tcPr>
            <w:tcW w:w="6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Imputed interest</w:t>
            </w:r>
          </w:p>
        </w:tc>
        <w:tc>
          <w:tcPr>
            <w:tcW w:w="16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10"/>
        </w:trPr>
        <w:tc>
          <w:tcPr>
            <w:tcW w:w="62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Total lease liability</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w:t>
            </w:r>
          </w:p>
        </w:tc>
      </w:tr>
      <w:tr>
        <w:trPr>
          <w:trHeight w:val="216"/>
        </w:trPr>
        <w:tc>
          <w:tcPr>
            <w:tcW w:w="6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current portion of lease liability</w:t>
            </w:r>
          </w:p>
        </w:tc>
        <w:tc>
          <w:tcPr>
            <w:tcW w:w="16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w:t>
            </w:r>
          </w:p>
        </w:tc>
      </w:tr>
      <w:tr>
        <w:trPr>
          <w:trHeight w:val="209"/>
        </w:trPr>
        <w:tc>
          <w:tcPr>
            <w:tcW w:w="62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Long-term portion of operating lease liability</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6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0" w:right="499" w:firstLine="324"/>
        <w:spacing w:after="0" w:line="282" w:lineRule="auto"/>
        <w:rPr>
          <w:sz w:val="20"/>
          <w:szCs w:val="20"/>
          <w:color w:val="auto"/>
        </w:rPr>
      </w:pPr>
      <w:r>
        <w:rPr>
          <w:rFonts w:ascii="Times New Roman" w:cs="Times New Roman" w:eastAsia="Times New Roman" w:hAnsi="Times New Roman"/>
          <w:sz w:val="18"/>
          <w:szCs w:val="18"/>
          <w:color w:val="auto"/>
        </w:rPr>
        <w:t>The current portion of the Company’s operating lease liability of $350 as of March 31, 2025, is included in Other current liabilities on the Condensed Consolidated Balance Sheets.</w:t>
      </w:r>
    </w:p>
    <w:p>
      <w:pPr>
        <w:spacing w:after="0" w:line="12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Lease expense was $101 and $99 for the three months ended March 31, 2025 and 2024, respectively.</w:t>
      </w:r>
    </w:p>
    <w:p>
      <w:pPr>
        <w:spacing w:after="0" w:line="19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Lease renewal options are not included in the ROU asset or lease liability.</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14. Fair Value Measurements</w:t>
      </w:r>
    </w:p>
    <w:p>
      <w:pPr>
        <w:spacing w:after="0" w:line="189" w:lineRule="exact"/>
        <w:rPr>
          <w:sz w:val="20"/>
          <w:szCs w:val="20"/>
          <w:color w:val="auto"/>
        </w:rPr>
      </w:pPr>
    </w:p>
    <w:p>
      <w:pPr>
        <w:ind w:left="60" w:right="179" w:firstLine="324"/>
        <w:spacing w:after="0" w:line="266" w:lineRule="auto"/>
        <w:rPr>
          <w:sz w:val="20"/>
          <w:szCs w:val="20"/>
          <w:color w:val="auto"/>
        </w:rPr>
      </w:pPr>
      <w:r>
        <w:rPr>
          <w:rFonts w:ascii="Times New Roman" w:cs="Times New Roman" w:eastAsia="Times New Roman" w:hAnsi="Times New Roman"/>
          <w:sz w:val="18"/>
          <w:szCs w:val="18"/>
          <w:color w:val="auto"/>
        </w:rPr>
        <w:t xml:space="preserve">The Company groups its assets and liabilities measured at fair value in three levels based on the nature of the inputs and assumptions used to determine fair value. Refer to Note 3, </w:t>
      </w:r>
      <w:r>
        <w:rPr>
          <w:rFonts w:ascii="Times New Roman" w:cs="Times New Roman" w:eastAsia="Times New Roman" w:hAnsi="Times New Roman"/>
          <w:sz w:val="18"/>
          <w:szCs w:val="18"/>
          <w:i w:val="1"/>
          <w:iCs w:val="1"/>
          <w:color w:val="auto"/>
        </w:rPr>
        <w:t>Summary of Significant Accounting Policies</w:t>
      </w:r>
      <w:r>
        <w:rPr>
          <w:rFonts w:ascii="Times New Roman" w:cs="Times New Roman" w:eastAsia="Times New Roman" w:hAnsi="Times New Roman"/>
          <w:sz w:val="18"/>
          <w:szCs w:val="18"/>
          <w:color w:val="auto"/>
        </w:rPr>
        <w:t>, for additional information on the accounting policies related to fair value.</w:t>
      </w:r>
    </w:p>
    <w:p>
      <w:pPr>
        <w:spacing w:after="0" w:line="135" w:lineRule="exact"/>
        <w:rPr>
          <w:sz w:val="20"/>
          <w:szCs w:val="20"/>
          <w:color w:val="auto"/>
        </w:rPr>
      </w:pPr>
    </w:p>
    <w:p>
      <w:pPr>
        <w:ind w:left="60" w:right="239" w:firstLine="324"/>
        <w:spacing w:after="0" w:line="256" w:lineRule="auto"/>
        <w:rPr>
          <w:sz w:val="20"/>
          <w:szCs w:val="20"/>
          <w:color w:val="auto"/>
        </w:rPr>
      </w:pPr>
      <w:r>
        <w:rPr>
          <w:rFonts w:ascii="Times New Roman" w:cs="Times New Roman" w:eastAsia="Times New Roman" w:hAnsi="Times New Roman"/>
          <w:sz w:val="18"/>
          <w:szCs w:val="18"/>
          <w:color w:val="auto"/>
        </w:rPr>
        <w:t>The carrying amounts of cash and cash equivalents, accounts receivable, net, and accounts payable approximate fair value due to the short-term nature of these instruments. As of March 31, 2025 and December 31, 2024, the Company had $30,310 and $29,036, respectively, primarily in money market funds that hold U.S. government cash equivalent instruments (included in cash and cash equivalents) which were valued based on Level 1 inputs. There were no transfers between levels within the hierarchy during the three months ended March 31, 2025 and the year ended December 31, 2024.</w:t>
      </w:r>
    </w:p>
    <w:p>
      <w:pPr>
        <w:spacing w:after="0" w:line="16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Derivative liabilities measured at fair value on a recurring basis are summarized below.</w:t>
      </w:r>
    </w:p>
    <w:p>
      <w:pPr>
        <w:spacing w:after="0" w:line="259"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4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r>
      <w:tr>
        <w:trPr>
          <w:trHeight w:val="199"/>
        </w:trPr>
        <w:tc>
          <w:tcPr>
            <w:tcW w:w="43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14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r>
      <w:tr>
        <w:trPr>
          <w:trHeight w:val="196"/>
        </w:trPr>
        <w:tc>
          <w:tcPr>
            <w:tcW w:w="4320" w:type="dxa"/>
            <w:vAlign w:val="bottom"/>
          </w:tcPr>
          <w:p>
            <w:pPr>
              <w:spacing w:after="0"/>
              <w:rPr>
                <w:sz w:val="17"/>
                <w:szCs w:val="17"/>
                <w:color w:val="auto"/>
              </w:rPr>
            </w:pPr>
          </w:p>
        </w:tc>
        <w:tc>
          <w:tcPr>
            <w:tcW w:w="92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40" w:type="dxa"/>
            <w:vAlign w:val="bottom"/>
          </w:tcPr>
          <w:p>
            <w:pPr>
              <w:spacing w:after="0"/>
              <w:rPr>
                <w:sz w:val="17"/>
                <w:szCs w:val="17"/>
                <w:color w:val="auto"/>
              </w:rPr>
            </w:pPr>
          </w:p>
        </w:tc>
        <w:tc>
          <w:tcPr>
            <w:tcW w:w="64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40" w:type="dxa"/>
            <w:vAlign w:val="bottom"/>
          </w:tcPr>
          <w:p>
            <w:pPr>
              <w:spacing w:after="0"/>
              <w:rPr>
                <w:sz w:val="17"/>
                <w:szCs w:val="17"/>
                <w:color w:val="auto"/>
              </w:rPr>
            </w:pPr>
          </w:p>
        </w:tc>
        <w:tc>
          <w:tcPr>
            <w:tcW w:w="8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60" w:type="dxa"/>
            <w:vAlign w:val="bottom"/>
          </w:tcPr>
          <w:p>
            <w:pPr>
              <w:spacing w:after="0"/>
              <w:rPr>
                <w:sz w:val="17"/>
                <w:szCs w:val="17"/>
                <w:color w:val="auto"/>
              </w:rPr>
            </w:pPr>
          </w:p>
        </w:tc>
        <w:tc>
          <w:tcPr>
            <w:tcW w:w="640" w:type="dxa"/>
            <w:vAlign w:val="bottom"/>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10"/>
        </w:trPr>
        <w:tc>
          <w:tcPr>
            <w:tcW w:w="43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r>
      <w:tr>
        <w:trPr>
          <w:trHeight w:val="216"/>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Derivative liability - BTI Warrants</w:t>
            </w:r>
          </w:p>
        </w:tc>
        <w:tc>
          <w:tcPr>
            <w:tcW w:w="20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3,236</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1,834</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1,402</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3,236</w:t>
            </w:r>
          </w:p>
        </w:tc>
      </w:tr>
      <w:tr>
        <w:trPr>
          <w:trHeight w:val="216"/>
        </w:trPr>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Derivative liability - OnkosXcel Warrants</w:t>
            </w:r>
          </w:p>
        </w:tc>
        <w:tc>
          <w:tcPr>
            <w:tcW w:w="2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10"/>
        </w:trPr>
        <w:tc>
          <w:tcPr>
            <w:tcW w:w="4320" w:type="dxa"/>
            <w:vAlign w:val="bottom"/>
            <w:tcBorders>
              <w:top w:val="single" w:sz="8" w:color="CCEEFF"/>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derivative liabilities</w:t>
            </w:r>
          </w:p>
        </w:tc>
        <w:tc>
          <w:tcPr>
            <w:tcW w:w="20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3,274</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bottom w:val="single" w:sz="8" w:color="auto"/>
            </w:tcBorders>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1,834</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1,440</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3,274</w:t>
            </w:r>
          </w:p>
        </w:tc>
      </w:tr>
      <w:tr>
        <w:trPr>
          <w:trHeight w:val="20"/>
        </w:trPr>
        <w:tc>
          <w:tcPr>
            <w:tcW w:w="4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3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260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06415"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1" w:name="page32"/>
    <w:bookmarkEnd w:id="3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4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r>
      <w:tr>
        <w:trPr>
          <w:trHeight w:val="199"/>
        </w:trPr>
        <w:tc>
          <w:tcPr>
            <w:tcW w:w="416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68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r>
      <w:tr>
        <w:trPr>
          <w:trHeight w:val="196"/>
        </w:trPr>
        <w:tc>
          <w:tcPr>
            <w:tcW w:w="416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r>
      <w:tr>
        <w:trPr>
          <w:trHeight w:val="196"/>
        </w:trPr>
        <w:tc>
          <w:tcPr>
            <w:tcW w:w="4160" w:type="dxa"/>
            <w:vAlign w:val="bottom"/>
          </w:tcPr>
          <w:p>
            <w:pPr>
              <w:spacing w:after="0"/>
              <w:rPr>
                <w:sz w:val="17"/>
                <w:szCs w:val="17"/>
                <w:color w:val="auto"/>
              </w:rPr>
            </w:pPr>
          </w:p>
        </w:tc>
        <w:tc>
          <w:tcPr>
            <w:tcW w:w="96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20" w:type="dxa"/>
            <w:vAlign w:val="bottom"/>
          </w:tcPr>
          <w:p>
            <w:pPr>
              <w:spacing w:after="0"/>
              <w:rPr>
                <w:sz w:val="17"/>
                <w:szCs w:val="17"/>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40" w:type="dxa"/>
            <w:vAlign w:val="bottom"/>
          </w:tcPr>
          <w:p>
            <w:pPr>
              <w:spacing w:after="0"/>
              <w:rPr>
                <w:sz w:val="17"/>
                <w:szCs w:val="17"/>
                <w:color w:val="auto"/>
              </w:rPr>
            </w:pPr>
          </w:p>
        </w:tc>
        <w:tc>
          <w:tcPr>
            <w:tcW w:w="8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60" w:type="dxa"/>
            <w:vAlign w:val="bottom"/>
          </w:tcPr>
          <w:p>
            <w:pPr>
              <w:spacing w:after="0"/>
              <w:rPr>
                <w:sz w:val="17"/>
                <w:szCs w:val="17"/>
                <w:color w:val="auto"/>
              </w:rPr>
            </w:pPr>
          </w:p>
        </w:tc>
        <w:tc>
          <w:tcPr>
            <w:tcW w:w="660" w:type="dxa"/>
            <w:vAlign w:val="bottom"/>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09"/>
        </w:trPr>
        <w:tc>
          <w:tcPr>
            <w:tcW w:w="416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r>
      <w:tr>
        <w:trPr>
          <w:trHeight w:val="216"/>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Derivative liability - BTI Warrants</w:t>
            </w:r>
          </w:p>
        </w:tc>
        <w:tc>
          <w:tcPr>
            <w:tcW w:w="22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6,593</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6,593</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6,593</w:t>
            </w:r>
          </w:p>
        </w:tc>
      </w:tr>
      <w:tr>
        <w:trPr>
          <w:trHeight w:val="216"/>
        </w:trPr>
        <w:tc>
          <w:tcPr>
            <w:tcW w:w="4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Derivative liability - OnkosXcel Warrants</w:t>
            </w:r>
          </w:p>
        </w:tc>
        <w:tc>
          <w:tcPr>
            <w:tcW w:w="2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6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40</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10"/>
        </w:trPr>
        <w:tc>
          <w:tcPr>
            <w:tcW w:w="4160" w:type="dxa"/>
            <w:vAlign w:val="bottom"/>
            <w:tcBorders>
              <w:top w:val="single" w:sz="8" w:color="CCEEFF"/>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derivative liabilities</w:t>
            </w:r>
          </w:p>
        </w:tc>
        <w:tc>
          <w:tcPr>
            <w:tcW w:w="22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6,633</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bottom w:val="single" w:sz="8" w:color="auto"/>
            </w:tcBorders>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6,593</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40</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6,633</w:t>
            </w:r>
          </w:p>
        </w:tc>
      </w:tr>
      <w:tr>
        <w:trPr>
          <w:trHeight w:val="20"/>
        </w:trPr>
        <w:tc>
          <w:tcPr>
            <w:tcW w:w="4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0" w:right="159" w:firstLine="324"/>
        <w:spacing w:after="0" w:line="266" w:lineRule="auto"/>
        <w:rPr>
          <w:sz w:val="20"/>
          <w:szCs w:val="20"/>
          <w:color w:val="auto"/>
        </w:rPr>
      </w:pPr>
      <w:r>
        <w:rPr>
          <w:rFonts w:ascii="Times New Roman" w:cs="Times New Roman" w:eastAsia="Times New Roman" w:hAnsi="Times New Roman"/>
          <w:sz w:val="18"/>
          <w:szCs w:val="18"/>
          <w:color w:val="auto"/>
        </w:rPr>
        <w:t>Derivative liabilities are comprised of the OnkosXcel Warrants, BTI Warrants, and Option Warrants. The fair value of the derivative liabilities was determined using Binomial Option Pricing and Distribution models for the OnkosXcel Warrants and Option Warrants, and using a Black Scholes model for the BTI Warrants.</w:t>
      </w:r>
    </w:p>
    <w:p>
      <w:pPr>
        <w:spacing w:after="0" w:line="149" w:lineRule="exact"/>
        <w:rPr>
          <w:sz w:val="20"/>
          <w:szCs w:val="20"/>
          <w:color w:val="auto"/>
        </w:rPr>
      </w:pPr>
    </w:p>
    <w:p>
      <w:pPr>
        <w:jc w:val="both"/>
        <w:ind w:left="60" w:right="359" w:firstLine="324"/>
        <w:spacing w:after="0" w:line="266" w:lineRule="auto"/>
        <w:rPr>
          <w:sz w:val="20"/>
          <w:szCs w:val="20"/>
          <w:color w:val="auto"/>
        </w:rPr>
      </w:pPr>
      <w:r>
        <w:rPr>
          <w:rFonts w:ascii="Times New Roman" w:cs="Times New Roman" w:eastAsia="Times New Roman" w:hAnsi="Times New Roman"/>
          <w:sz w:val="18"/>
          <w:szCs w:val="18"/>
          <w:color w:val="auto"/>
        </w:rPr>
        <w:t>The following table presents changes in Level 3 liabilities measured at fair value for the three months ended March 31, 2025. Both observable and unobservable inputs were used to determine the fair value of positions that the Company has classified within the Level 3 category.</w:t>
      </w:r>
    </w:p>
    <w:p>
      <w:pPr>
        <w:spacing w:after="0" w:line="142" w:lineRule="exact"/>
        <w:rPr>
          <w:sz w:val="20"/>
          <w:szCs w:val="20"/>
          <w:color w:val="auto"/>
        </w:rPr>
      </w:pPr>
    </w:p>
    <w:p>
      <w:pPr>
        <w:ind w:left="718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6" w:lineRule="exact"/>
        <w:rPr>
          <w:sz w:val="20"/>
          <w:szCs w:val="20"/>
          <w:color w:val="auto"/>
        </w:rPr>
      </w:pPr>
    </w:p>
    <w:p>
      <w:pPr>
        <w:ind w:left="748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-3175</wp:posOffset>
            </wp:positionV>
            <wp:extent cx="134620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346200" cy="8255"/>
                    </a:xfrm>
                    <a:prstGeom prst="rect">
                      <a:avLst/>
                    </a:prstGeom>
                    <a:noFill/>
                  </pic:spPr>
                </pic:pic>
              </a:graphicData>
            </a:graphic>
          </wp:anchor>
        </w:drawing>
      </w:r>
    </w:p>
    <w:p>
      <w:pPr>
        <w:spacing w:after="0" w:line="17"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67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09"/>
        </w:trPr>
        <w:tc>
          <w:tcPr>
            <w:tcW w:w="6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16"/>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Derivative liabilities, Balance - January 1</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1,905</w:t>
            </w:r>
          </w:p>
        </w:tc>
      </w:tr>
      <w:tr>
        <w:trPr>
          <w:trHeight w:val="216"/>
        </w:trPr>
        <w:tc>
          <w:tcPr>
            <w:tcW w:w="6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Addition of derivative liabilities - BTI Warrant (March 2025 Accompanying Warrants)</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2,831</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Addition of derivative liabilities - Option Warrant</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Termination of derivative liabilities - Option Warrant</w:t>
            </w:r>
          </w:p>
        </w:tc>
        <w:tc>
          <w:tcPr>
            <w:tcW w:w="22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(369)</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Change in fair value</w:t>
            </w: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(1,431)</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w:t>
            </w:r>
          </w:p>
        </w:tc>
      </w:tr>
      <w:tr>
        <w:trPr>
          <w:trHeight w:val="210"/>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Derivative liabilities, Balance - March 31</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1,440</w:t>
            </w:r>
          </w:p>
        </w:tc>
        <w:tc>
          <w:tcPr>
            <w:tcW w:w="16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1,817</w:t>
            </w:r>
          </w:p>
        </w:tc>
      </w:tr>
      <w:tr>
        <w:trPr>
          <w:trHeight w:val="20"/>
        </w:trPr>
        <w:tc>
          <w:tcPr>
            <w:tcW w:w="67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0" w:right="679" w:firstLine="324"/>
        <w:spacing w:after="0" w:line="282" w:lineRule="auto"/>
        <w:rPr>
          <w:sz w:val="20"/>
          <w:szCs w:val="20"/>
          <w:color w:val="auto"/>
        </w:rPr>
      </w:pPr>
      <w:r>
        <w:rPr>
          <w:rFonts w:ascii="Times New Roman" w:cs="Times New Roman" w:eastAsia="Times New Roman" w:hAnsi="Times New Roman"/>
          <w:sz w:val="18"/>
          <w:szCs w:val="18"/>
          <w:color w:val="auto"/>
        </w:rPr>
        <w:t>The change in fair value of the derivative liabilities was reported in the Condensed Consolidated Statements of Operations as Other (income) expense, net, for the three months ended March 31, 2025.</w:t>
      </w:r>
    </w:p>
    <w:p>
      <w:pPr>
        <w:spacing w:after="0" w:line="121" w:lineRule="exact"/>
        <w:rPr>
          <w:sz w:val="20"/>
          <w:szCs w:val="20"/>
          <w:color w:val="auto"/>
        </w:rPr>
      </w:pPr>
    </w:p>
    <w:p>
      <w:pPr>
        <w:ind w:left="60" w:right="179" w:firstLine="324"/>
        <w:spacing w:after="0" w:line="261" w:lineRule="auto"/>
        <w:rPr>
          <w:sz w:val="20"/>
          <w:szCs w:val="20"/>
          <w:color w:val="auto"/>
        </w:rPr>
      </w:pPr>
      <w:r>
        <w:rPr>
          <w:rFonts w:ascii="Times New Roman" w:cs="Times New Roman" w:eastAsia="Times New Roman" w:hAnsi="Times New Roman"/>
          <w:sz w:val="18"/>
          <w:szCs w:val="18"/>
          <w:color w:val="auto"/>
        </w:rPr>
        <w:t>In estimating the fair value of the derivative liability related to the OnkosXcel Warrants, inputs included third-party fair value estimates of OnkosXcel limited liability company units along with the volatility of those units (which was set at 115% based on the historical volatility of the Company’s stock, along with a peer group of comparable publicly traded companies), and the timing and probability of the relevant capital transactions occurring.</w:t>
      </w:r>
    </w:p>
    <w:p>
      <w:pPr>
        <w:spacing w:after="0" w:line="153" w:lineRule="exact"/>
        <w:rPr>
          <w:sz w:val="20"/>
          <w:szCs w:val="20"/>
          <w:color w:val="auto"/>
        </w:rPr>
      </w:pPr>
    </w:p>
    <w:p>
      <w:pPr>
        <w:ind w:left="60" w:right="219" w:firstLine="324"/>
        <w:spacing w:after="0" w:line="258" w:lineRule="auto"/>
        <w:rPr>
          <w:sz w:val="20"/>
          <w:szCs w:val="20"/>
          <w:color w:val="auto"/>
        </w:rPr>
      </w:pPr>
      <w:r>
        <w:rPr>
          <w:rFonts w:ascii="Times New Roman" w:cs="Times New Roman" w:eastAsia="Times New Roman" w:hAnsi="Times New Roman"/>
          <w:sz w:val="18"/>
          <w:szCs w:val="18"/>
          <w:color w:val="auto"/>
        </w:rPr>
        <w:t>In estimating the fair value of the derivative liability related to the Option Warrants, the valuation inputs used were a strike price of $3.50, the Company’s stock price of $2.70, volatility of 39.2% (adjusted to set the value of securities in the March 2025 Offering equal to the consideration paid), a term of 0.04 years and a risk-free rate of 4.39%. The Option Warrants expired on March 18, 2025 without being exercised, and the Company recorded a termination gain of $369 in Other (income) expense, net, in the Company’s Condensed Consolidated Statements of Operations.</w:t>
      </w:r>
    </w:p>
    <w:p>
      <w:pPr>
        <w:spacing w:after="0" w:line="143" w:lineRule="exact"/>
        <w:rPr>
          <w:sz w:val="20"/>
          <w:szCs w:val="20"/>
          <w:color w:val="auto"/>
        </w:rPr>
      </w:pPr>
    </w:p>
    <w:p>
      <w:pPr>
        <w:ind w:left="60" w:right="179" w:firstLine="324"/>
        <w:spacing w:after="0" w:line="254" w:lineRule="auto"/>
        <w:rPr>
          <w:sz w:val="20"/>
          <w:szCs w:val="20"/>
          <w:color w:val="auto"/>
        </w:rPr>
      </w:pPr>
      <w:r>
        <w:rPr>
          <w:rFonts w:ascii="Times New Roman" w:cs="Times New Roman" w:eastAsia="Times New Roman" w:hAnsi="Times New Roman"/>
          <w:sz w:val="18"/>
          <w:szCs w:val="18"/>
          <w:color w:val="auto"/>
        </w:rPr>
        <w:t>In estimating the fair value of the derivative liability related to the BTI Warrants – March 2025 Accompanying Warrants, the valuation inputs used were a strike price of $4.20, the Company’s stock price of $2.70, volatility of 39.2% (adjusted to set the value of securities in the March 2025 Offering equal to the consideration paid), a term of 5 years and a risk-free rate of 4.01%. The Company remeasured the fair value at March 31, 2025 of $1,402 and recorded an unrealized gain of $1,429 for the three months ended March 31, 2025 within Other (income) expense, net in the Company’s Condensed Consolidated Statements of Operations. The valuation inputs used as of March 31, 2025 were a strike price of $4.20, the Company’s stock price of $2.03, volatility of 38.5% (adjusted to set the value of securities in the March 2025 Offering equal to the consideration paid), term of 4.9 years and risk-free rate of 3.96%.</w:t>
      </w:r>
    </w:p>
    <w:p>
      <w:pPr>
        <w:spacing w:after="0" w:line="192" w:lineRule="exact"/>
        <w:rPr>
          <w:sz w:val="20"/>
          <w:szCs w:val="20"/>
          <w:color w:val="auto"/>
        </w:rPr>
      </w:pPr>
    </w:p>
    <w:p>
      <w:pPr>
        <w:ind w:left="60" w:right="319" w:firstLine="324"/>
        <w:spacing w:after="0" w:line="266" w:lineRule="auto"/>
        <w:rPr>
          <w:sz w:val="20"/>
          <w:szCs w:val="20"/>
          <w:color w:val="auto"/>
        </w:rPr>
      </w:pPr>
      <w:r>
        <w:rPr>
          <w:rFonts w:ascii="Times New Roman" w:cs="Times New Roman" w:eastAsia="Times New Roman" w:hAnsi="Times New Roman"/>
          <w:sz w:val="18"/>
          <w:szCs w:val="18"/>
          <w:color w:val="auto"/>
        </w:rPr>
        <w:t>The estimated fair value of the Credit Agreement as of March 31, 2025 and December 31, 2024 was $96,403 and $94,204, respectively. Both observable and unobservable inputs were used to determine the fair value of long-term debt, which was classified within the Level 3 category.</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260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06415"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2" w:name="page33"/>
    <w:bookmarkEnd w:id="3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39"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BTI warrants issued by the Company and the corresponding balance sheet classification:</w:t>
      </w:r>
    </w:p>
    <w:p>
      <w:pPr>
        <w:spacing w:after="0" w:line="129"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2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Warrant Recipient</w:t>
            </w:r>
          </w:p>
        </w:tc>
        <w:tc>
          <w:tcPr>
            <w:tcW w:w="2580" w:type="dxa"/>
            <w:vAlign w:val="bottom"/>
            <w:gridSpan w:val="2"/>
            <w:vMerge w:val="restart"/>
          </w:tcPr>
          <w:p>
            <w:pPr>
              <w:ind w:left="800"/>
              <w:spacing w:after="0"/>
              <w:rPr>
                <w:sz w:val="20"/>
                <w:szCs w:val="20"/>
                <w:color w:val="auto"/>
              </w:rPr>
            </w:pPr>
            <w:r>
              <w:rPr>
                <w:rFonts w:ascii="Times New Roman" w:cs="Times New Roman" w:eastAsia="Times New Roman" w:hAnsi="Times New Roman"/>
                <w:sz w:val="14"/>
                <w:szCs w:val="14"/>
                <w:b w:val="1"/>
                <w:bCs w:val="1"/>
                <w:color w:val="auto"/>
              </w:rPr>
              <w:t>Warrant Type</w:t>
            </w:r>
          </w:p>
        </w:tc>
        <w:tc>
          <w:tcPr>
            <w:tcW w:w="102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Issue Date</w:t>
            </w:r>
          </w:p>
        </w:tc>
        <w:tc>
          <w:tcPr>
            <w:tcW w:w="120" w:type="dxa"/>
            <w:vAlign w:val="bottom"/>
          </w:tcPr>
          <w:p>
            <w:pPr>
              <w:spacing w:after="0"/>
              <w:rPr>
                <w:sz w:val="13"/>
                <w:szCs w:val="13"/>
                <w:color w:val="auto"/>
              </w:rPr>
            </w:pPr>
          </w:p>
        </w:tc>
        <w:tc>
          <w:tcPr>
            <w:tcW w:w="8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Exercise</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00" w:type="dxa"/>
            <w:vAlign w:val="bottom"/>
          </w:tcPr>
          <w:p>
            <w:pPr>
              <w:spacing w:after="0"/>
              <w:rPr>
                <w:sz w:val="13"/>
                <w:szCs w:val="13"/>
                <w:color w:val="auto"/>
              </w:rPr>
            </w:pPr>
          </w:p>
        </w:tc>
        <w:tc>
          <w:tcPr>
            <w:tcW w:w="1200" w:type="dxa"/>
            <w:vAlign w:val="bottom"/>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Classification</w:t>
            </w:r>
          </w:p>
        </w:tc>
        <w:tc>
          <w:tcPr>
            <w:tcW w:w="0" w:type="dxa"/>
            <w:vAlign w:val="bottom"/>
          </w:tcPr>
          <w:p>
            <w:pPr>
              <w:spacing w:after="0"/>
              <w:rPr>
                <w:sz w:val="1"/>
                <w:szCs w:val="1"/>
                <w:color w:val="auto"/>
              </w:rPr>
            </w:pPr>
          </w:p>
        </w:tc>
      </w:tr>
      <w:tr>
        <w:trPr>
          <w:trHeight w:val="173"/>
        </w:trPr>
        <w:tc>
          <w:tcPr>
            <w:tcW w:w="2220" w:type="dxa"/>
            <w:vAlign w:val="bottom"/>
            <w:gridSpan w:val="2"/>
            <w:vMerge w:val="continue"/>
          </w:tcPr>
          <w:p>
            <w:pPr>
              <w:spacing w:after="0"/>
              <w:rPr>
                <w:sz w:val="15"/>
                <w:szCs w:val="15"/>
                <w:color w:val="auto"/>
              </w:rPr>
            </w:pPr>
          </w:p>
        </w:tc>
        <w:tc>
          <w:tcPr>
            <w:tcW w:w="2580" w:type="dxa"/>
            <w:vAlign w:val="bottom"/>
            <w:gridSpan w:val="2"/>
            <w:vMerge w:val="continue"/>
          </w:tcPr>
          <w:p>
            <w:pPr>
              <w:spacing w:after="0"/>
              <w:rPr>
                <w:sz w:val="15"/>
                <w:szCs w:val="15"/>
                <w:color w:val="auto"/>
              </w:rPr>
            </w:pPr>
          </w:p>
        </w:tc>
        <w:tc>
          <w:tcPr>
            <w:tcW w:w="102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Price</w:t>
            </w:r>
          </w:p>
        </w:tc>
        <w:tc>
          <w:tcPr>
            <w:tcW w:w="760" w:type="dxa"/>
            <w:vAlign w:val="bottom"/>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Warrants</w:t>
            </w:r>
          </w:p>
        </w:tc>
        <w:tc>
          <w:tcPr>
            <w:tcW w:w="100" w:type="dxa"/>
            <w:vAlign w:val="bottom"/>
          </w:tcPr>
          <w:p>
            <w:pPr>
              <w:spacing w:after="0"/>
              <w:rPr>
                <w:sz w:val="15"/>
                <w:szCs w:val="15"/>
                <w:color w:val="auto"/>
              </w:rPr>
            </w:pPr>
          </w:p>
        </w:tc>
        <w:tc>
          <w:tcPr>
            <w:tcW w:w="12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1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4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220" w:type="dxa"/>
            <w:vAlign w:val="bottom"/>
            <w:gridSpan w:val="2"/>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Lenders and RIFA Purchasers</w:t>
            </w:r>
          </w:p>
        </w:tc>
        <w:tc>
          <w:tcPr>
            <w:tcW w:w="258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Closing Date Warrants</w:t>
            </w:r>
          </w:p>
        </w:tc>
        <w:tc>
          <w:tcPr>
            <w:tcW w:w="9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4/19/2022</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7.68</w:t>
            </w: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17</w:t>
            </w:r>
          </w:p>
        </w:tc>
        <w:tc>
          <w:tcPr>
            <w:tcW w:w="100" w:type="dxa"/>
            <w:vAlign w:val="bottom"/>
            <w:shd w:val="clear" w:color="auto" w:fill="CCEEFF"/>
          </w:tcPr>
          <w:p>
            <w:pPr>
              <w:spacing w:after="0"/>
              <w:rPr>
                <w:sz w:val="12"/>
                <w:szCs w:val="12"/>
                <w:color w:val="auto"/>
              </w:rPr>
            </w:pPr>
          </w:p>
        </w:tc>
        <w:tc>
          <w:tcPr>
            <w:tcW w:w="120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Equity</w:t>
            </w:r>
          </w:p>
        </w:tc>
        <w:tc>
          <w:tcPr>
            <w:tcW w:w="0" w:type="dxa"/>
            <w:vAlign w:val="bottom"/>
          </w:tcPr>
          <w:p>
            <w:pPr>
              <w:spacing w:after="0"/>
              <w:rPr>
                <w:sz w:val="1"/>
                <w:szCs w:val="1"/>
                <w:color w:val="auto"/>
              </w:rPr>
            </w:pPr>
          </w:p>
        </w:tc>
      </w:tr>
      <w:tr>
        <w:trPr>
          <w:trHeight w:val="148"/>
        </w:trPr>
        <w:tc>
          <w:tcPr>
            <w:tcW w:w="222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color w:val="auto"/>
              </w:rPr>
              <w:t>Lenders and RIFA Purchasers</w:t>
            </w:r>
          </w:p>
        </w:tc>
        <w:tc>
          <w:tcPr>
            <w:tcW w:w="258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2023 Warrants</w:t>
            </w:r>
          </w:p>
        </w:tc>
        <w:tc>
          <w:tcPr>
            <w:tcW w:w="9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12/5/2023</w:t>
            </w:r>
          </w:p>
        </w:tc>
        <w:tc>
          <w:tcPr>
            <w:tcW w:w="100" w:type="dxa"/>
            <w:vAlign w:val="bottom"/>
          </w:tcPr>
          <w:p>
            <w:pPr>
              <w:spacing w:after="0"/>
              <w:rPr>
                <w:sz w:val="12"/>
                <w:szCs w:val="12"/>
                <w:color w:val="auto"/>
              </w:rPr>
            </w:pPr>
          </w:p>
        </w:tc>
        <w:tc>
          <w:tcPr>
            <w:tcW w:w="1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7.68</w:t>
            </w:r>
          </w:p>
        </w:tc>
        <w:tc>
          <w:tcPr>
            <w:tcW w:w="12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w:t>
            </w:r>
          </w:p>
        </w:tc>
        <w:tc>
          <w:tcPr>
            <w:tcW w:w="100" w:type="dxa"/>
            <w:vAlign w:val="bottom"/>
          </w:tcPr>
          <w:p>
            <w:pPr>
              <w:spacing w:after="0"/>
              <w:rPr>
                <w:sz w:val="12"/>
                <w:szCs w:val="12"/>
                <w:color w:val="auto"/>
              </w:rPr>
            </w:pPr>
          </w:p>
        </w:tc>
        <w:tc>
          <w:tcPr>
            <w:tcW w:w="120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Equity</w:t>
            </w:r>
          </w:p>
        </w:tc>
        <w:tc>
          <w:tcPr>
            <w:tcW w:w="0" w:type="dxa"/>
            <w:vAlign w:val="bottom"/>
          </w:tcPr>
          <w:p>
            <w:pPr>
              <w:spacing w:after="0"/>
              <w:rPr>
                <w:sz w:val="1"/>
                <w:szCs w:val="1"/>
                <w:color w:val="auto"/>
              </w:rPr>
            </w:pPr>
          </w:p>
        </w:tc>
      </w:tr>
      <w:tr>
        <w:trPr>
          <w:trHeight w:val="148"/>
        </w:trPr>
        <w:tc>
          <w:tcPr>
            <w:tcW w:w="2220" w:type="dxa"/>
            <w:vAlign w:val="bottom"/>
            <w:gridSpan w:val="2"/>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Lenders and RIFA Purchasers</w:t>
            </w:r>
          </w:p>
        </w:tc>
        <w:tc>
          <w:tcPr>
            <w:tcW w:w="258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2024 Warrants</w:t>
            </w:r>
          </w:p>
        </w:tc>
        <w:tc>
          <w:tcPr>
            <w:tcW w:w="9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3/20/2024</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7.68</w:t>
            </w: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w:t>
            </w:r>
          </w:p>
        </w:tc>
        <w:tc>
          <w:tcPr>
            <w:tcW w:w="100" w:type="dxa"/>
            <w:vAlign w:val="bottom"/>
            <w:shd w:val="clear" w:color="auto" w:fill="CCEEFF"/>
          </w:tcPr>
          <w:p>
            <w:pPr>
              <w:spacing w:after="0"/>
              <w:rPr>
                <w:sz w:val="12"/>
                <w:szCs w:val="12"/>
                <w:color w:val="auto"/>
              </w:rPr>
            </w:pPr>
          </w:p>
        </w:tc>
        <w:tc>
          <w:tcPr>
            <w:tcW w:w="120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Equity</w:t>
            </w:r>
          </w:p>
        </w:tc>
        <w:tc>
          <w:tcPr>
            <w:tcW w:w="0" w:type="dxa"/>
            <w:vAlign w:val="bottom"/>
          </w:tcPr>
          <w:p>
            <w:pPr>
              <w:spacing w:after="0"/>
              <w:rPr>
                <w:sz w:val="1"/>
                <w:szCs w:val="1"/>
                <w:color w:val="auto"/>
              </w:rPr>
            </w:pPr>
          </w:p>
        </w:tc>
      </w:tr>
      <w:tr>
        <w:trPr>
          <w:trHeight w:val="149"/>
        </w:trPr>
        <w:tc>
          <w:tcPr>
            <w:tcW w:w="222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color w:val="auto"/>
              </w:rPr>
              <w:t>Lenders and RIFA Purchasers</w:t>
            </w:r>
          </w:p>
        </w:tc>
        <w:tc>
          <w:tcPr>
            <w:tcW w:w="258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New Warrants</w:t>
            </w:r>
          </w:p>
        </w:tc>
        <w:tc>
          <w:tcPr>
            <w:tcW w:w="9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11/25/2024</w:t>
            </w:r>
          </w:p>
        </w:tc>
        <w:tc>
          <w:tcPr>
            <w:tcW w:w="100" w:type="dxa"/>
            <w:vAlign w:val="bottom"/>
          </w:tcPr>
          <w:p>
            <w:pPr>
              <w:spacing w:after="0"/>
              <w:rPr>
                <w:sz w:val="12"/>
                <w:szCs w:val="12"/>
                <w:color w:val="auto"/>
              </w:rPr>
            </w:pPr>
          </w:p>
        </w:tc>
        <w:tc>
          <w:tcPr>
            <w:tcW w:w="1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0.16</w:t>
            </w:r>
          </w:p>
        </w:tc>
        <w:tc>
          <w:tcPr>
            <w:tcW w:w="12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313</w:t>
            </w:r>
          </w:p>
        </w:tc>
        <w:tc>
          <w:tcPr>
            <w:tcW w:w="100" w:type="dxa"/>
            <w:vAlign w:val="bottom"/>
          </w:tcPr>
          <w:p>
            <w:pPr>
              <w:spacing w:after="0"/>
              <w:rPr>
                <w:sz w:val="12"/>
                <w:szCs w:val="12"/>
                <w:color w:val="auto"/>
              </w:rPr>
            </w:pPr>
          </w:p>
        </w:tc>
        <w:tc>
          <w:tcPr>
            <w:tcW w:w="120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Equity</w:t>
            </w:r>
          </w:p>
        </w:tc>
        <w:tc>
          <w:tcPr>
            <w:tcW w:w="0" w:type="dxa"/>
            <w:vAlign w:val="bottom"/>
          </w:tcPr>
          <w:p>
            <w:pPr>
              <w:spacing w:after="0"/>
              <w:rPr>
                <w:sz w:val="1"/>
                <w:szCs w:val="1"/>
                <w:color w:val="auto"/>
              </w:rPr>
            </w:pPr>
          </w:p>
        </w:tc>
      </w:tr>
      <w:tr>
        <w:trPr>
          <w:trHeight w:val="148"/>
        </w:trPr>
        <w:tc>
          <w:tcPr>
            <w:tcW w:w="2220" w:type="dxa"/>
            <w:vAlign w:val="bottom"/>
            <w:gridSpan w:val="2"/>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Armistice Capital Master Fund Ltd.</w:t>
            </w:r>
          </w:p>
        </w:tc>
        <w:tc>
          <w:tcPr>
            <w:tcW w:w="258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Accompanying Warrants</w:t>
            </w:r>
          </w:p>
        </w:tc>
        <w:tc>
          <w:tcPr>
            <w:tcW w:w="9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3/25/2024</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9.136</w:t>
            </w: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534</w:t>
            </w:r>
          </w:p>
        </w:tc>
        <w:tc>
          <w:tcPr>
            <w:tcW w:w="100" w:type="dxa"/>
            <w:vAlign w:val="bottom"/>
            <w:shd w:val="clear" w:color="auto" w:fill="CCEEFF"/>
          </w:tcPr>
          <w:p>
            <w:pPr>
              <w:spacing w:after="0"/>
              <w:rPr>
                <w:sz w:val="12"/>
                <w:szCs w:val="12"/>
                <w:color w:val="auto"/>
              </w:rPr>
            </w:pPr>
          </w:p>
        </w:tc>
        <w:tc>
          <w:tcPr>
            <w:tcW w:w="120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Derivative Liability</w:t>
            </w:r>
          </w:p>
        </w:tc>
        <w:tc>
          <w:tcPr>
            <w:tcW w:w="0" w:type="dxa"/>
            <w:vAlign w:val="bottom"/>
          </w:tcPr>
          <w:p>
            <w:pPr>
              <w:spacing w:after="0"/>
              <w:rPr>
                <w:sz w:val="1"/>
                <w:szCs w:val="1"/>
                <w:color w:val="auto"/>
              </w:rPr>
            </w:pPr>
          </w:p>
        </w:tc>
      </w:tr>
      <w:tr>
        <w:trPr>
          <w:trHeight w:val="148"/>
        </w:trPr>
        <w:tc>
          <w:tcPr>
            <w:tcW w:w="222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color w:val="auto"/>
              </w:rPr>
              <w:t>Armistice Capital Master Fund Ltd.</w:t>
            </w:r>
          </w:p>
        </w:tc>
        <w:tc>
          <w:tcPr>
            <w:tcW w:w="258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Accompanying Warrants</w:t>
            </w:r>
          </w:p>
        </w:tc>
        <w:tc>
          <w:tcPr>
            <w:tcW w:w="9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3/25/2024</w:t>
            </w:r>
          </w:p>
        </w:tc>
        <w:tc>
          <w:tcPr>
            <w:tcW w:w="100" w:type="dxa"/>
            <w:vAlign w:val="bottom"/>
          </w:tcPr>
          <w:p>
            <w:pPr>
              <w:spacing w:after="0"/>
              <w:rPr>
                <w:sz w:val="12"/>
                <w:szCs w:val="12"/>
                <w:color w:val="auto"/>
              </w:rPr>
            </w:pPr>
          </w:p>
        </w:tc>
        <w:tc>
          <w:tcPr>
            <w:tcW w:w="1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51.20</w:t>
            </w:r>
          </w:p>
        </w:tc>
        <w:tc>
          <w:tcPr>
            <w:tcW w:w="12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w:t>
            </w:r>
          </w:p>
        </w:tc>
        <w:tc>
          <w:tcPr>
            <w:tcW w:w="100" w:type="dxa"/>
            <w:vAlign w:val="bottom"/>
          </w:tcPr>
          <w:p>
            <w:pPr>
              <w:spacing w:after="0"/>
              <w:rPr>
                <w:sz w:val="12"/>
                <w:szCs w:val="12"/>
                <w:color w:val="auto"/>
              </w:rPr>
            </w:pPr>
          </w:p>
        </w:tc>
        <w:tc>
          <w:tcPr>
            <w:tcW w:w="120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Derivative Liability</w:t>
            </w:r>
          </w:p>
        </w:tc>
        <w:tc>
          <w:tcPr>
            <w:tcW w:w="0" w:type="dxa"/>
            <w:vAlign w:val="bottom"/>
          </w:tcPr>
          <w:p>
            <w:pPr>
              <w:spacing w:after="0"/>
              <w:rPr>
                <w:sz w:val="1"/>
                <w:szCs w:val="1"/>
                <w:color w:val="auto"/>
              </w:rPr>
            </w:pPr>
          </w:p>
        </w:tc>
      </w:tr>
      <w:tr>
        <w:trPr>
          <w:trHeight w:val="148"/>
        </w:trPr>
        <w:tc>
          <w:tcPr>
            <w:tcW w:w="2220" w:type="dxa"/>
            <w:vAlign w:val="bottom"/>
            <w:gridSpan w:val="2"/>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Armistice Capital Master Fund Ltd.</w:t>
            </w:r>
          </w:p>
        </w:tc>
        <w:tc>
          <w:tcPr>
            <w:tcW w:w="258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November 2024 Accompanying Warrants</w:t>
            </w:r>
          </w:p>
        </w:tc>
        <w:tc>
          <w:tcPr>
            <w:tcW w:w="9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11/25/2024</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7.68</w:t>
            </w: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846</w:t>
            </w:r>
          </w:p>
        </w:tc>
        <w:tc>
          <w:tcPr>
            <w:tcW w:w="100" w:type="dxa"/>
            <w:vAlign w:val="bottom"/>
            <w:shd w:val="clear" w:color="auto" w:fill="CCEEFF"/>
          </w:tcPr>
          <w:p>
            <w:pPr>
              <w:spacing w:after="0"/>
              <w:rPr>
                <w:sz w:val="12"/>
                <w:szCs w:val="12"/>
                <w:color w:val="auto"/>
              </w:rPr>
            </w:pPr>
          </w:p>
        </w:tc>
        <w:tc>
          <w:tcPr>
            <w:tcW w:w="120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Derivative Liability</w:t>
            </w:r>
          </w:p>
        </w:tc>
        <w:tc>
          <w:tcPr>
            <w:tcW w:w="0" w:type="dxa"/>
            <w:vAlign w:val="bottom"/>
          </w:tcPr>
          <w:p>
            <w:pPr>
              <w:spacing w:after="0"/>
              <w:rPr>
                <w:sz w:val="1"/>
                <w:szCs w:val="1"/>
                <w:color w:val="auto"/>
              </w:rPr>
            </w:pPr>
          </w:p>
        </w:tc>
      </w:tr>
      <w:tr>
        <w:trPr>
          <w:trHeight w:val="148"/>
        </w:trPr>
        <w:tc>
          <w:tcPr>
            <w:tcW w:w="222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color w:val="auto"/>
              </w:rPr>
              <w:t>Heights Capital Management</w:t>
            </w:r>
          </w:p>
        </w:tc>
        <w:tc>
          <w:tcPr>
            <w:tcW w:w="258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November 2024 Accompanying Warrants</w:t>
            </w:r>
          </w:p>
        </w:tc>
        <w:tc>
          <w:tcPr>
            <w:tcW w:w="9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11/25/2024</w:t>
            </w:r>
          </w:p>
        </w:tc>
        <w:tc>
          <w:tcPr>
            <w:tcW w:w="100" w:type="dxa"/>
            <w:vAlign w:val="bottom"/>
          </w:tcPr>
          <w:p>
            <w:pPr>
              <w:spacing w:after="0"/>
              <w:rPr>
                <w:sz w:val="12"/>
                <w:szCs w:val="12"/>
                <w:color w:val="auto"/>
              </w:rPr>
            </w:pPr>
          </w:p>
        </w:tc>
        <w:tc>
          <w:tcPr>
            <w:tcW w:w="1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7.68</w:t>
            </w:r>
          </w:p>
        </w:tc>
        <w:tc>
          <w:tcPr>
            <w:tcW w:w="12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27</w:t>
            </w:r>
          </w:p>
        </w:tc>
        <w:tc>
          <w:tcPr>
            <w:tcW w:w="100" w:type="dxa"/>
            <w:vAlign w:val="bottom"/>
          </w:tcPr>
          <w:p>
            <w:pPr>
              <w:spacing w:after="0"/>
              <w:rPr>
                <w:sz w:val="12"/>
                <w:szCs w:val="12"/>
                <w:color w:val="auto"/>
              </w:rPr>
            </w:pPr>
          </w:p>
        </w:tc>
        <w:tc>
          <w:tcPr>
            <w:tcW w:w="120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Derivative Liability</w:t>
            </w:r>
          </w:p>
        </w:tc>
        <w:tc>
          <w:tcPr>
            <w:tcW w:w="0" w:type="dxa"/>
            <w:vAlign w:val="bottom"/>
          </w:tcPr>
          <w:p>
            <w:pPr>
              <w:spacing w:after="0"/>
              <w:rPr>
                <w:sz w:val="1"/>
                <w:szCs w:val="1"/>
                <w:color w:val="auto"/>
              </w:rPr>
            </w:pPr>
          </w:p>
        </w:tc>
      </w:tr>
      <w:tr>
        <w:trPr>
          <w:trHeight w:val="149"/>
        </w:trPr>
        <w:tc>
          <w:tcPr>
            <w:tcW w:w="2220" w:type="dxa"/>
            <w:vAlign w:val="bottom"/>
            <w:gridSpan w:val="2"/>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Hudson Bay Capital Management</w:t>
            </w:r>
          </w:p>
        </w:tc>
        <w:tc>
          <w:tcPr>
            <w:tcW w:w="258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November 2024 Accompanying Warrants</w:t>
            </w:r>
          </w:p>
        </w:tc>
        <w:tc>
          <w:tcPr>
            <w:tcW w:w="9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11/25/2024</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7.68</w:t>
            </w: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27</w:t>
            </w:r>
          </w:p>
        </w:tc>
        <w:tc>
          <w:tcPr>
            <w:tcW w:w="100" w:type="dxa"/>
            <w:vAlign w:val="bottom"/>
            <w:shd w:val="clear" w:color="auto" w:fill="CCEEFF"/>
          </w:tcPr>
          <w:p>
            <w:pPr>
              <w:spacing w:after="0"/>
              <w:rPr>
                <w:sz w:val="12"/>
                <w:szCs w:val="12"/>
                <w:color w:val="auto"/>
              </w:rPr>
            </w:pPr>
          </w:p>
        </w:tc>
        <w:tc>
          <w:tcPr>
            <w:tcW w:w="120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Derivative Liability</w:t>
            </w:r>
          </w:p>
        </w:tc>
        <w:tc>
          <w:tcPr>
            <w:tcW w:w="0" w:type="dxa"/>
            <w:vAlign w:val="bottom"/>
          </w:tcPr>
          <w:p>
            <w:pPr>
              <w:spacing w:after="0"/>
              <w:rPr>
                <w:sz w:val="1"/>
                <w:szCs w:val="1"/>
                <w:color w:val="auto"/>
              </w:rPr>
            </w:pPr>
          </w:p>
        </w:tc>
      </w:tr>
      <w:tr>
        <w:trPr>
          <w:trHeight w:val="148"/>
        </w:trPr>
        <w:tc>
          <w:tcPr>
            <w:tcW w:w="222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color w:val="auto"/>
              </w:rPr>
              <w:t>IntraCoastal Capital, LLC</w:t>
            </w:r>
          </w:p>
        </w:tc>
        <w:tc>
          <w:tcPr>
            <w:tcW w:w="258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November 2024 Accompanying Warrants</w:t>
            </w:r>
          </w:p>
        </w:tc>
        <w:tc>
          <w:tcPr>
            <w:tcW w:w="9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11/25/2024</w:t>
            </w:r>
          </w:p>
        </w:tc>
        <w:tc>
          <w:tcPr>
            <w:tcW w:w="100" w:type="dxa"/>
            <w:vAlign w:val="bottom"/>
          </w:tcPr>
          <w:p>
            <w:pPr>
              <w:spacing w:after="0"/>
              <w:rPr>
                <w:sz w:val="12"/>
                <w:szCs w:val="12"/>
                <w:color w:val="auto"/>
              </w:rPr>
            </w:pPr>
          </w:p>
        </w:tc>
        <w:tc>
          <w:tcPr>
            <w:tcW w:w="1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7.68</w:t>
            </w:r>
          </w:p>
        </w:tc>
        <w:tc>
          <w:tcPr>
            <w:tcW w:w="12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13</w:t>
            </w:r>
          </w:p>
        </w:tc>
        <w:tc>
          <w:tcPr>
            <w:tcW w:w="100" w:type="dxa"/>
            <w:vAlign w:val="bottom"/>
          </w:tcPr>
          <w:p>
            <w:pPr>
              <w:spacing w:after="0"/>
              <w:rPr>
                <w:sz w:val="12"/>
                <w:szCs w:val="12"/>
                <w:color w:val="auto"/>
              </w:rPr>
            </w:pPr>
          </w:p>
        </w:tc>
        <w:tc>
          <w:tcPr>
            <w:tcW w:w="120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Derivative Liability</w:t>
            </w:r>
          </w:p>
        </w:tc>
        <w:tc>
          <w:tcPr>
            <w:tcW w:w="0" w:type="dxa"/>
            <w:vAlign w:val="bottom"/>
          </w:tcPr>
          <w:p>
            <w:pPr>
              <w:spacing w:after="0"/>
              <w:rPr>
                <w:sz w:val="1"/>
                <w:szCs w:val="1"/>
                <w:color w:val="auto"/>
              </w:rPr>
            </w:pPr>
          </w:p>
        </w:tc>
      </w:tr>
      <w:tr>
        <w:trPr>
          <w:trHeight w:val="148"/>
        </w:trPr>
        <w:tc>
          <w:tcPr>
            <w:tcW w:w="2220" w:type="dxa"/>
            <w:vAlign w:val="bottom"/>
            <w:gridSpan w:val="2"/>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Murchison Capital Partners, LP</w:t>
            </w:r>
          </w:p>
        </w:tc>
        <w:tc>
          <w:tcPr>
            <w:tcW w:w="258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March 2025 Accompanying Warrants</w:t>
            </w:r>
          </w:p>
        </w:tc>
        <w:tc>
          <w:tcPr>
            <w:tcW w:w="9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3/4/2025</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4.20</w:t>
            </w:r>
          </w:p>
        </w:tc>
        <w:tc>
          <w:tcPr>
            <w:tcW w:w="120" w:type="dxa"/>
            <w:vAlign w:val="bottom"/>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4,000</w:t>
            </w:r>
          </w:p>
        </w:tc>
        <w:tc>
          <w:tcPr>
            <w:tcW w:w="100" w:type="dxa"/>
            <w:vAlign w:val="bottom"/>
            <w:shd w:val="clear" w:color="auto" w:fill="CCEEFF"/>
          </w:tcPr>
          <w:p>
            <w:pPr>
              <w:spacing w:after="0"/>
              <w:rPr>
                <w:sz w:val="12"/>
                <w:szCs w:val="12"/>
                <w:color w:val="auto"/>
              </w:rPr>
            </w:pPr>
          </w:p>
        </w:tc>
        <w:tc>
          <w:tcPr>
            <w:tcW w:w="120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Derivative Liability</w:t>
            </w:r>
          </w:p>
        </w:tc>
        <w:tc>
          <w:tcPr>
            <w:tcW w:w="0" w:type="dxa"/>
            <w:vAlign w:val="bottom"/>
          </w:tcPr>
          <w:p>
            <w:pPr>
              <w:spacing w:after="0"/>
              <w:rPr>
                <w:sz w:val="1"/>
                <w:szCs w:val="1"/>
                <w:color w:val="auto"/>
              </w:rPr>
            </w:pPr>
          </w:p>
        </w:tc>
      </w:tr>
      <w:tr>
        <w:trPr>
          <w:trHeight w:val="223"/>
        </w:trPr>
        <w:tc>
          <w:tcPr>
            <w:tcW w:w="2220" w:type="dxa"/>
            <w:vAlign w:val="bottom"/>
            <w:tcBorders>
              <w:bottom w:val="single" w:sz="8" w:color="CCEEFF"/>
            </w:tcBorders>
            <w:gridSpan w:val="2"/>
          </w:tcPr>
          <w:p>
            <w:pPr>
              <w:ind w:left="200"/>
              <w:spacing w:after="0"/>
              <w:rPr>
                <w:sz w:val="20"/>
                <w:szCs w:val="20"/>
                <w:color w:val="auto"/>
              </w:rPr>
            </w:pPr>
            <w:r>
              <w:rPr>
                <w:rFonts w:ascii="Times New Roman" w:cs="Times New Roman" w:eastAsia="Times New Roman" w:hAnsi="Times New Roman"/>
                <w:sz w:val="14"/>
                <w:szCs w:val="14"/>
                <w:color w:val="auto"/>
              </w:rPr>
              <w:t>Total warrants issued</w:t>
            </w:r>
          </w:p>
        </w:tc>
        <w:tc>
          <w:tcPr>
            <w:tcW w:w="24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9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7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5,792</w:t>
            </w:r>
          </w:p>
        </w:tc>
        <w:tc>
          <w:tcPr>
            <w:tcW w:w="100" w:type="dxa"/>
            <w:vAlign w:val="bottom"/>
            <w:tcBorders>
              <w:bottom w:val="single" w:sz="8" w:color="CCEEFF"/>
            </w:tcBorders>
          </w:tcPr>
          <w:p>
            <w:pPr>
              <w:spacing w:after="0"/>
              <w:rPr>
                <w:sz w:val="19"/>
                <w:szCs w:val="19"/>
                <w:color w:val="auto"/>
              </w:rPr>
            </w:pPr>
          </w:p>
        </w:tc>
        <w:tc>
          <w:tcPr>
            <w:tcW w:w="12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2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left="60" w:right="159" w:firstLine="324"/>
        <w:spacing w:after="0" w:line="256" w:lineRule="auto"/>
        <w:rPr>
          <w:sz w:val="20"/>
          <w:szCs w:val="20"/>
          <w:color w:val="auto"/>
        </w:rPr>
      </w:pPr>
      <w:r>
        <w:rPr>
          <w:rFonts w:ascii="Times New Roman" w:cs="Times New Roman" w:eastAsia="Times New Roman" w:hAnsi="Times New Roman"/>
          <w:sz w:val="18"/>
          <w:szCs w:val="18"/>
          <w:color w:val="auto"/>
        </w:rPr>
        <w:t>The fair value of the Closing Date Warrants, which was a non-recurring fair value, was determined as of the date of issuance using a Black-Scholes pricing model and the fair value of $3,245 was recorded as a component of stockholders’ equity in Additional-paid-in-capital in the Condensed Consolidated Balance Sheets, with the offset recorded as a discount on the amounts funded under the OFA Facilities. This non-recurring measurement is classified as Level 2. The inputs used were a strike price of $320.64, the Company’s stock price of $238.88, volatility of 95%, term of 7 years and risk-free rate of 2.95%.</w:t>
      </w:r>
    </w:p>
    <w:p>
      <w:pPr>
        <w:spacing w:after="0" w:line="174" w:lineRule="exact"/>
        <w:rPr>
          <w:sz w:val="20"/>
          <w:szCs w:val="20"/>
          <w:color w:val="auto"/>
        </w:rPr>
      </w:pPr>
    </w:p>
    <w:p>
      <w:pPr>
        <w:ind w:left="60" w:right="359" w:firstLine="324"/>
        <w:spacing w:after="0" w:line="266" w:lineRule="auto"/>
        <w:rPr>
          <w:sz w:val="20"/>
          <w:szCs w:val="20"/>
          <w:color w:val="auto"/>
        </w:rPr>
      </w:pPr>
      <w:r>
        <w:rPr>
          <w:rFonts w:ascii="Times New Roman" w:cs="Times New Roman" w:eastAsia="Times New Roman" w:hAnsi="Times New Roman"/>
          <w:sz w:val="18"/>
          <w:szCs w:val="18"/>
          <w:color w:val="auto"/>
        </w:rPr>
        <w:t>As discussed in Note 9, Debt and Credit Facilities, in connection with the closing of the Second Amendment of the Credit Agreement, on the Second Amendment Effective Date, the Company amended and restated the Closing Date Warrants granted to the Lenders to have an exercise price of $58.3232 per share.</w:t>
      </w:r>
    </w:p>
    <w:p>
      <w:pPr>
        <w:spacing w:after="0" w:line="176" w:lineRule="exact"/>
        <w:rPr>
          <w:sz w:val="20"/>
          <w:szCs w:val="20"/>
          <w:color w:val="auto"/>
        </w:rPr>
      </w:pPr>
    </w:p>
    <w:p>
      <w:pPr>
        <w:ind w:left="60" w:right="299" w:firstLine="324"/>
        <w:spacing w:after="0" w:line="277" w:lineRule="auto"/>
        <w:rPr>
          <w:sz w:val="20"/>
          <w:szCs w:val="20"/>
          <w:color w:val="auto"/>
        </w:rPr>
      </w:pPr>
      <w:r>
        <w:rPr>
          <w:rFonts w:ascii="Times New Roman" w:cs="Times New Roman" w:eastAsia="Times New Roman" w:hAnsi="Times New Roman"/>
          <w:sz w:val="17"/>
          <w:szCs w:val="17"/>
          <w:color w:val="auto"/>
        </w:rPr>
        <w:t>Using a Black-Scholes pricing model, the Company determined that the Closing Date Warrants’ fair values at the original strike price of $320.64 and the amended strike price of $58.3232 were $548 and $802, respectively, as of the Second Amendment Effective Date. The Closing Date Warrants’ incremental increase in fair value for the repricing of $254, was recorded as a component of stockholders’ equity in Additional-paid-in-capital in the Condensed Consolidated Balance Sheets, with the offset recorded as a discount on the amounts refinanced under the Credit Agreement.</w:t>
      </w:r>
    </w:p>
    <w:p>
      <w:pPr>
        <w:spacing w:after="0" w:line="168" w:lineRule="exact"/>
        <w:rPr>
          <w:sz w:val="20"/>
          <w:szCs w:val="20"/>
          <w:color w:val="auto"/>
        </w:rPr>
      </w:pPr>
    </w:p>
    <w:p>
      <w:pPr>
        <w:ind w:left="60" w:right="239" w:firstLine="324"/>
        <w:spacing w:after="0" w:line="255" w:lineRule="auto"/>
        <w:rPr>
          <w:sz w:val="20"/>
          <w:szCs w:val="20"/>
          <w:color w:val="auto"/>
        </w:rPr>
      </w:pPr>
      <w:r>
        <w:rPr>
          <w:rFonts w:ascii="Times New Roman" w:cs="Times New Roman" w:eastAsia="Times New Roman" w:hAnsi="Times New Roman"/>
          <w:sz w:val="18"/>
          <w:szCs w:val="18"/>
          <w:color w:val="auto"/>
        </w:rPr>
        <w:t>In connection with the Second Amendment, the Company issued 4 “2023 Warrants” at a strike price of $58.3232 per share. The fair value of the 2023 Warrants, which is a non-recurring fair value, was determined as of the date of issuance using a Black-Scholes pricing model and the fair value of $200 was recorded as a component of stockholders’ equity in Additional-paid-in-capital in the Condensed Consolidated Balance Sheets, with the offset recorded as a discount on the amounts funded under the Credit Agreement. This non-recurring measurement is classified as Level 2. The inputs used were a strike price of $58.3232, the Company’s stock price of $59.36, volatility of 99%, term of 5.4 years and risk-free rate of 4.14%.</w:t>
      </w:r>
    </w:p>
    <w:p>
      <w:pPr>
        <w:spacing w:after="0" w:line="189" w:lineRule="exact"/>
        <w:rPr>
          <w:sz w:val="20"/>
          <w:szCs w:val="20"/>
          <w:color w:val="auto"/>
        </w:rPr>
      </w:pPr>
    </w:p>
    <w:p>
      <w:pPr>
        <w:ind w:left="60" w:right="159" w:firstLine="324"/>
        <w:spacing w:after="0" w:line="255" w:lineRule="auto"/>
        <w:rPr>
          <w:sz w:val="20"/>
          <w:szCs w:val="20"/>
          <w:color w:val="auto"/>
        </w:rPr>
      </w:pPr>
      <w:r>
        <w:rPr>
          <w:rFonts w:ascii="Times New Roman" w:cs="Times New Roman" w:eastAsia="Times New Roman" w:hAnsi="Times New Roman"/>
          <w:sz w:val="18"/>
          <w:szCs w:val="18"/>
          <w:color w:val="auto"/>
        </w:rPr>
        <w:t>In connection with the Fourth Amendment, the Company issued 6 “2024 Warrants” at a strike price of $49.1568 per share. The fair value of the “2024 Warrants”, which was a non-recurring fair value, was determined as of the date of issuance using a Black-Scholes pricing model and the fair value of $224 was recorded as a component of stockholders’ equity in Additional-paid-in-capital in the Condensed Consolidated Balance Sheets, with the offset recorded as a discount on the amounts funded under the OFA Facilities. This non-recurring measurement is classified as Level 2. The inputs used were a strike price of $49.1568, the Company’s stock price of $44.48, volatility of 112.2%, term of 5 years and risk-free rate of 4.25%.</w:t>
      </w:r>
    </w:p>
    <w:p>
      <w:pPr>
        <w:spacing w:after="0" w:line="189" w:lineRule="exact"/>
        <w:rPr>
          <w:sz w:val="20"/>
          <w:szCs w:val="20"/>
          <w:color w:val="auto"/>
        </w:rPr>
      </w:pPr>
    </w:p>
    <w:p>
      <w:pPr>
        <w:jc w:val="both"/>
        <w:ind w:left="60" w:right="459" w:firstLine="324"/>
        <w:spacing w:after="0" w:line="266" w:lineRule="auto"/>
        <w:rPr>
          <w:sz w:val="20"/>
          <w:szCs w:val="20"/>
          <w:color w:val="auto"/>
        </w:rPr>
      </w:pPr>
      <w:r>
        <w:rPr>
          <w:rFonts w:ascii="Times New Roman" w:cs="Times New Roman" w:eastAsia="Times New Roman" w:hAnsi="Times New Roman"/>
          <w:sz w:val="18"/>
          <w:szCs w:val="18"/>
          <w:color w:val="auto"/>
        </w:rPr>
        <w:t>In addition, in connection with the Fifth Amendment of the Credit Agreement, on the Fifth Amendment Effective Date of November 25, 2024, the Company amended and restated the Closing Date Warrants, 2023 Warrants, and 2024 Warrants granted to the Lenders to have an exercise price of $7.68 per share.</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254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06415"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3" w:name="page34"/>
    <w:bookmarkEnd w:id="3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60" w:right="279" w:firstLine="324"/>
        <w:spacing w:after="0" w:line="256" w:lineRule="auto"/>
        <w:rPr>
          <w:sz w:val="20"/>
          <w:szCs w:val="20"/>
          <w:color w:val="auto"/>
        </w:rPr>
      </w:pPr>
      <w:r>
        <w:rPr>
          <w:rFonts w:ascii="Times New Roman" w:cs="Times New Roman" w:eastAsia="Times New Roman" w:hAnsi="Times New Roman"/>
          <w:sz w:val="18"/>
          <w:szCs w:val="18"/>
          <w:color w:val="auto"/>
        </w:rPr>
        <w:t>Using a Black-Scholes pricing model, the Company determined that the Closing Date Warrants, 2023 Warrants, and 2024 Warrants’ fair values at the previously amended strike price of $58.3232 and original strike price of $49.1568 the amended strike price of $7.68 were $105 and $164, respectively, as of the Fifth Amendment Effective Date. The Closing Date Warrants, 2023 Warrants, and 2024 Warrants’ incremental increase in fair value for the repricing of $59, was recorded as a component of stockholders’ equity in Additional-paid-in-capital in the Condensed Consolidated Balance Sheets, with the offset recorded as a discount on the amounts refinanced under the Credit Agreement.</w:t>
      </w:r>
    </w:p>
    <w:p>
      <w:pPr>
        <w:spacing w:after="0" w:line="187" w:lineRule="exact"/>
        <w:rPr>
          <w:sz w:val="20"/>
          <w:szCs w:val="20"/>
          <w:color w:val="auto"/>
        </w:rPr>
      </w:pPr>
    </w:p>
    <w:p>
      <w:pPr>
        <w:ind w:left="60" w:right="159" w:firstLine="324"/>
        <w:spacing w:after="0" w:line="254" w:lineRule="auto"/>
        <w:rPr>
          <w:sz w:val="20"/>
          <w:szCs w:val="20"/>
          <w:color w:val="auto"/>
        </w:rPr>
      </w:pPr>
      <w:r>
        <w:rPr>
          <w:rFonts w:ascii="Times New Roman" w:cs="Times New Roman" w:eastAsia="Times New Roman" w:hAnsi="Times New Roman"/>
          <w:sz w:val="18"/>
          <w:szCs w:val="18"/>
          <w:color w:val="auto"/>
        </w:rPr>
        <w:t>The fair value of the Accompanying Warrants at issuance on March 25, 2024 was determined using a Black-Scholes pricing model and was recorded as a derivative liability with the offset recorded as a component of stockholders’ equity in Additional-paid-in-capital in the Condensed Consolidated Balance Sheets. This fair value measurement is classified as Level 2. On November 25, 2024, 534 of the 539 Accompanying Warrants’ strike price were amended to $9.136. The Company remeasured the Accompanying Warrants’ fair value at March 31, 2025 of $641 and recorded a net gain of $1,679, within Other (income) expense, net in the Company’s Condensed Consolidated Statements of Operations. The valuation inputs used as of March 31, 2025 were strike prices of $9.136 and $51.20 for 534 and 5 Accompanying Warrants, respectively, the Company’s stock price of $2.03, volatility of 120.2%, term of 4.0 years and risk-free rate of 3.93%.</w:t>
      </w:r>
    </w:p>
    <w:p>
      <w:pPr>
        <w:spacing w:after="0" w:line="188" w:lineRule="exact"/>
        <w:rPr>
          <w:sz w:val="20"/>
          <w:szCs w:val="20"/>
          <w:color w:val="auto"/>
        </w:rPr>
      </w:pPr>
    </w:p>
    <w:p>
      <w:pPr>
        <w:ind w:left="60" w:right="219" w:firstLine="324"/>
        <w:spacing w:after="0" w:line="255" w:lineRule="auto"/>
        <w:rPr>
          <w:sz w:val="20"/>
          <w:szCs w:val="20"/>
          <w:color w:val="auto"/>
        </w:rPr>
      </w:pPr>
      <w:r>
        <w:rPr>
          <w:rFonts w:ascii="Times New Roman" w:cs="Times New Roman" w:eastAsia="Times New Roman" w:hAnsi="Times New Roman"/>
          <w:sz w:val="18"/>
          <w:szCs w:val="18"/>
          <w:color w:val="auto"/>
        </w:rPr>
        <w:t>The fair value of the November 2024 Accompanying Warrants at issuance on November 25, 2024 was determined using a Black-Scholes pricing model and was recorded as a derivative liability with the offset recorded as a component of stockholders’ equity in Additional-paid-in-capital in the Condensed Consolidated Balance Sheets. This fair value measurement is classified as Level 2. The Company remeasured the November 2024 Accompanying Warrants’ fair value at March 31, 2025 of $1,193 and recorded a net gain of $3,080, within Other (income) expense, net in the Company’s Condensed Consolidated Statements of Operations. The valuation inputs used as of March 31, 2025 were a strike price of $7.68, the Company’s stock price of $2.03, volatility of 115.3%, term of 4.7 years and risk-free rate of 3.94%.</w:t>
      </w:r>
    </w:p>
    <w:p>
      <w:pPr>
        <w:spacing w:after="0" w:line="200" w:lineRule="exact"/>
        <w:rPr>
          <w:sz w:val="20"/>
          <w:szCs w:val="20"/>
          <w:color w:val="auto"/>
        </w:rPr>
      </w:pPr>
    </w:p>
    <w:p>
      <w:pPr>
        <w:spacing w:after="0" w:line="20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15. Net Loss Per Share</w:t>
      </w:r>
    </w:p>
    <w:p>
      <w:pPr>
        <w:spacing w:after="0" w:line="20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Basic and diluted net loss per share are as follows:</w:t>
      </w:r>
    </w:p>
    <w:p>
      <w:pPr>
        <w:spacing w:after="0" w:line="259"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63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300" w:type="dxa"/>
            <w:vAlign w:val="bottom"/>
            <w:gridSpan w:val="5"/>
          </w:tcPr>
          <w:p>
            <w:pPr>
              <w:ind w:left="3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99"/>
        </w:trPr>
        <w:tc>
          <w:tcPr>
            <w:tcW w:w="63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gridSpan w:val="3"/>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84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3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(numerator)</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(7,254)</w:t>
            </w:r>
          </w:p>
        </w:tc>
        <w:tc>
          <w:tcPr>
            <w:tcW w:w="32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(26,791)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shares (denominator)</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4,834</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and diluted net loss per share</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(1.50)</w:t>
            </w:r>
          </w:p>
        </w:tc>
        <w:tc>
          <w:tcPr>
            <w:tcW w:w="32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Potentially dilutive securities outstanding consists of stock options, RSUs and performance units, and BTI warrants.</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Company had common stock equivalents outstanding are as follows:</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254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06415"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4" w:name="page35"/>
    <w:bookmarkEnd w:id="3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6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40" w:type="dxa"/>
            <w:vAlign w:val="bottom"/>
            <w:gridSpan w:val="4"/>
          </w:tcPr>
          <w:p>
            <w:pPr>
              <w:jc w:val="center"/>
              <w:ind w:left="597"/>
              <w:spacing w:after="0"/>
              <w:rPr>
                <w:sz w:val="20"/>
                <w:szCs w:val="20"/>
                <w:color w:val="auto"/>
              </w:rPr>
            </w:pPr>
            <w:r>
              <w:rPr>
                <w:rFonts w:ascii="Times New Roman" w:cs="Times New Roman" w:eastAsia="Times New Roman" w:hAnsi="Times New Roman"/>
                <w:sz w:val="14"/>
                <w:szCs w:val="14"/>
                <w:b w:val="1"/>
                <w:bCs w:val="1"/>
                <w:color w:val="auto"/>
                <w:w w:val="97"/>
              </w:rPr>
              <w:t>As of</w:t>
            </w:r>
          </w:p>
        </w:tc>
        <w:tc>
          <w:tcPr>
            <w:tcW w:w="840" w:type="dxa"/>
            <w:vAlign w:val="bottom"/>
          </w:tcPr>
          <w:p>
            <w:pPr>
              <w:spacing w:after="0"/>
              <w:rPr>
                <w:sz w:val="16"/>
                <w:szCs w:val="16"/>
                <w:color w:val="auto"/>
              </w:rPr>
            </w:pPr>
          </w:p>
        </w:tc>
      </w:tr>
      <w:tr>
        <w:trPr>
          <w:trHeight w:val="216"/>
        </w:trPr>
        <w:tc>
          <w:tcPr>
            <w:tcW w:w="6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gridSpan w:val="4"/>
          </w:tcPr>
          <w:p>
            <w:pPr>
              <w:jc w:val="center"/>
              <w:ind w:left="557"/>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840" w:type="dxa"/>
            <w:vAlign w:val="bottom"/>
          </w:tcPr>
          <w:p>
            <w:pPr>
              <w:spacing w:after="0"/>
              <w:rPr>
                <w:sz w:val="18"/>
                <w:szCs w:val="18"/>
                <w:color w:val="auto"/>
              </w:rPr>
            </w:pPr>
          </w:p>
        </w:tc>
      </w:tr>
      <w:tr>
        <w:trPr>
          <w:trHeight w:val="199"/>
        </w:trPr>
        <w:tc>
          <w:tcPr>
            <w:tcW w:w="63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37"/>
              <w:spacing w:after="0"/>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09"/>
        </w:trPr>
        <w:tc>
          <w:tcPr>
            <w:tcW w:w="6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6"/>
        </w:trPr>
        <w:tc>
          <w:tcPr>
            <w:tcW w:w="6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options</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w:t>
            </w:r>
          </w:p>
        </w:tc>
      </w:tr>
      <w:tr>
        <w:trPr>
          <w:trHeight w:val="216"/>
        </w:trPr>
        <w:tc>
          <w:tcPr>
            <w:tcW w:w="6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Restricted stock units</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16"/>
        </w:trPr>
        <w:tc>
          <w:tcPr>
            <w:tcW w:w="6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Performance stock units</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16"/>
        </w:trPr>
        <w:tc>
          <w:tcPr>
            <w:tcW w:w="64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BTI Warrants</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5,792</w:t>
            </w:r>
          </w:p>
        </w:tc>
        <w:tc>
          <w:tcPr>
            <w:tcW w:w="24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567</w:t>
            </w:r>
          </w:p>
        </w:tc>
      </w:tr>
      <w:tr>
        <w:trPr>
          <w:trHeight w:val="209"/>
        </w:trPr>
        <w:tc>
          <w:tcPr>
            <w:tcW w:w="646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common stock equivalents</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6,239</w:t>
            </w:r>
          </w:p>
        </w:tc>
        <w:tc>
          <w:tcPr>
            <w:tcW w:w="2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914</w:t>
            </w:r>
          </w:p>
        </w:tc>
      </w:tr>
      <w:tr>
        <w:trPr>
          <w:trHeight w:val="20"/>
        </w:trPr>
        <w:tc>
          <w:tcPr>
            <w:tcW w:w="6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0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16. Commitments and Contingencies</w:t>
      </w:r>
    </w:p>
    <w:p>
      <w:pPr>
        <w:spacing w:after="0" w:line="202" w:lineRule="exact"/>
        <w:rPr>
          <w:sz w:val="20"/>
          <w:szCs w:val="20"/>
          <w:color w:val="auto"/>
        </w:rPr>
      </w:pPr>
    </w:p>
    <w:p>
      <w:pPr>
        <w:ind w:left="60" w:right="199" w:firstLine="324"/>
        <w:spacing w:after="0" w:line="261" w:lineRule="auto"/>
        <w:rPr>
          <w:sz w:val="20"/>
          <w:szCs w:val="20"/>
          <w:color w:val="auto"/>
        </w:rPr>
      </w:pPr>
      <w:r>
        <w:rPr>
          <w:rFonts w:ascii="Times New Roman" w:cs="Times New Roman" w:eastAsia="Times New Roman" w:hAnsi="Times New Roman"/>
          <w:sz w:val="18"/>
          <w:szCs w:val="18"/>
          <w:color w:val="auto"/>
        </w:rPr>
        <w:t>From time to time, in the ordinary course of business, the Company may be subject to litigation and regulatory examinations as well as information gathering requests, inquiries and/or investigations. Other than the items below, the Company is not currently subject to any matters where it believes there is a reasonable possibility that a material loss may be incurred.</w:t>
      </w:r>
    </w:p>
    <w:p>
      <w:pPr>
        <w:spacing w:after="0" w:line="139" w:lineRule="exact"/>
        <w:rPr>
          <w:sz w:val="20"/>
          <w:szCs w:val="20"/>
          <w:color w:val="auto"/>
        </w:rPr>
      </w:pPr>
    </w:p>
    <w:p>
      <w:pPr>
        <w:ind w:left="60" w:right="139" w:firstLine="324"/>
        <w:spacing w:after="0" w:line="252" w:lineRule="auto"/>
        <w:rPr>
          <w:sz w:val="20"/>
          <w:szCs w:val="20"/>
          <w:color w:val="auto"/>
        </w:rPr>
      </w:pPr>
      <w:r>
        <w:rPr>
          <w:rFonts w:ascii="Times New Roman" w:cs="Times New Roman" w:eastAsia="Times New Roman" w:hAnsi="Times New Roman"/>
          <w:sz w:val="18"/>
          <w:szCs w:val="18"/>
          <w:color w:val="auto"/>
        </w:rPr>
        <w:t xml:space="preserve">On July 7, 2023, plaintiff Katelyn Martin filed a class action complaint against the Company and certain executives in the United States District Court for the District of Connecticut, captioned </w:t>
      </w:r>
      <w:r>
        <w:rPr>
          <w:rFonts w:ascii="Times New Roman" w:cs="Times New Roman" w:eastAsia="Times New Roman" w:hAnsi="Times New Roman"/>
          <w:sz w:val="18"/>
          <w:szCs w:val="18"/>
          <w:i w:val="1"/>
          <w:iCs w:val="1"/>
          <w:color w:val="auto"/>
        </w:rPr>
        <w:t>Martin v. BioXcel Therapeutics, et al.</w:t>
      </w:r>
      <w:r>
        <w:rPr>
          <w:rFonts w:ascii="Times New Roman" w:cs="Times New Roman" w:eastAsia="Times New Roman" w:hAnsi="Times New Roman"/>
          <w:sz w:val="18"/>
          <w:szCs w:val="18"/>
          <w:color w:val="auto"/>
        </w:rPr>
        <w:t>, 3:23-cv-00915 (D. Conn). On October 4, 2023, pursuant to the Private Securities Litigation Reform Act, the court appointed two co-Lead Plaintiffs. The co-Lead Plaintiffs filed an amended complaint on December 5, 2023, alleging violations of Sections 10(b) and 20A of the Securities and Exchange Act of 1934 (the “Exchange Act”) and SEC Rule 10b-5 promulgated thereunder. On July 11, 2024, the Court dismissed the amended complaint without prejudice and, on August 1, 2024, co-Lead Plaintiffs filed a second amended complaint. The second amended complaint alleges that defendants made false or misleading statements regarding the TRANQUILITY II trial and the development of BXCL501 for an expanded indication related to the treatment of certain Alzheimer’s-related agitation. The Company moved to dismiss the second amended complaint on September 6, 2024. On February 24, 2025, while the Company’s motion to dismiss remained pending, Plaintiffs moved for leave to further amend their complaint. The Company filed an opposition to the motion on March 17, 2025 and Plaintiffs filed a reply in support of the motion on April 7, 2025. On April 9, 2025, the parties filed a joint motion requesting that the Court stay the action pending the outcome of a private mediation session scheduled for May 12, 2025. The Court granted the motion, staying the action until May 23, 2025, by which date the parties are required to file either a motion to continue the stay or a motion to lift the stay.</w:t>
      </w:r>
    </w:p>
    <w:p>
      <w:pPr>
        <w:spacing w:after="0" w:line="155" w:lineRule="exact"/>
        <w:rPr>
          <w:sz w:val="20"/>
          <w:szCs w:val="20"/>
          <w:color w:val="auto"/>
        </w:rPr>
      </w:pPr>
    </w:p>
    <w:p>
      <w:pPr>
        <w:ind w:left="60" w:right="219" w:firstLine="324"/>
        <w:spacing w:after="0" w:line="254" w:lineRule="auto"/>
        <w:rPr>
          <w:sz w:val="20"/>
          <w:szCs w:val="20"/>
          <w:color w:val="auto"/>
        </w:rPr>
      </w:pPr>
      <w:r>
        <w:rPr>
          <w:rFonts w:ascii="Times New Roman" w:cs="Times New Roman" w:eastAsia="Times New Roman" w:hAnsi="Times New Roman"/>
          <w:sz w:val="18"/>
          <w:szCs w:val="18"/>
          <w:color w:val="auto"/>
        </w:rPr>
        <w:t xml:space="preserve">On November 28, 2023, Plaintiffs Pratheesan Panancherry and Jeffrey Bastress filed a stockholder derivative complaint in the United States District Court for the District of Connecticut purportedly on behalf of the Company and against Vimal Mehta, Richard I. Steinhart, Peter Mueller, June Bray, Sandeep Laumas, Michael Miller, Michal Votruba, and Krishnan Nandabalan as Defendants, and the Company as Nominal Defendant under the caption </w:t>
      </w:r>
      <w:r>
        <w:rPr>
          <w:rFonts w:ascii="Times New Roman" w:cs="Times New Roman" w:eastAsia="Times New Roman" w:hAnsi="Times New Roman"/>
          <w:sz w:val="18"/>
          <w:szCs w:val="18"/>
          <w:i w:val="1"/>
          <w:iCs w:val="1"/>
          <w:color w:val="auto"/>
        </w:rPr>
        <w:t>Panancherry et al v.</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Mehta et al</w:t>
      </w:r>
      <w:r>
        <w:rPr>
          <w:rFonts w:ascii="Times New Roman" w:cs="Times New Roman" w:eastAsia="Times New Roman" w:hAnsi="Times New Roman"/>
          <w:sz w:val="18"/>
          <w:szCs w:val="18"/>
          <w:color w:val="auto"/>
        </w:rPr>
        <w:t xml:space="preserve">, 3:23-cv-1554. Following the initial action, Plaintiffs Maria Vomvolakis (3:24-cv-3) and Kelly Fowler (3:24-cv-203) each filed separate stockholder derivative complaints in the District of Connecticut raising similar claims as Panancherry and Bastress, including business torts and violations of the Securities Exchange Act of 1934. The cases have been consolidated under the caption </w:t>
      </w:r>
      <w:r>
        <w:rPr>
          <w:rFonts w:ascii="Times New Roman" w:cs="Times New Roman" w:eastAsia="Times New Roman" w:hAnsi="Times New Roman"/>
          <w:sz w:val="18"/>
          <w:szCs w:val="18"/>
          <w:i w:val="1"/>
          <w:iCs w:val="1"/>
          <w:color w:val="auto"/>
        </w:rPr>
        <w:t>In re BioXcel Therapeutics, Inc. Stockholder Derivative Litigation</w:t>
      </w:r>
      <w:r>
        <w:rPr>
          <w:rFonts w:ascii="Times New Roman" w:cs="Times New Roman" w:eastAsia="Times New Roman" w:hAnsi="Times New Roman"/>
          <w:sz w:val="18"/>
          <w:szCs w:val="18"/>
          <w:color w:val="auto"/>
        </w:rPr>
        <w:t>, 3:23-cv-1554 (D. Conn.). The consolidated action is currently stayed.</w:t>
      </w:r>
    </w:p>
    <w:p>
      <w:pPr>
        <w:spacing w:after="0" w:line="161" w:lineRule="exact"/>
        <w:rPr>
          <w:sz w:val="20"/>
          <w:szCs w:val="20"/>
          <w:color w:val="auto"/>
        </w:rPr>
      </w:pPr>
    </w:p>
    <w:p>
      <w:pPr>
        <w:ind w:left="60" w:right="179" w:firstLine="324"/>
        <w:spacing w:after="0" w:line="254" w:lineRule="auto"/>
        <w:rPr>
          <w:sz w:val="20"/>
          <w:szCs w:val="20"/>
          <w:color w:val="auto"/>
        </w:rPr>
      </w:pPr>
      <w:r>
        <w:rPr>
          <w:rFonts w:ascii="Times New Roman" w:cs="Times New Roman" w:eastAsia="Times New Roman" w:hAnsi="Times New Roman"/>
          <w:sz w:val="18"/>
          <w:szCs w:val="18"/>
          <w:color w:val="auto"/>
        </w:rPr>
        <w:t xml:space="preserve">On January 11, 2024, Plaintiff Jeremy Smith filed a stockholder derivative complaint in the United States District Court for the District of Delaware purportedly on behalf of the Company and against Vimal Mehta, Peter Mueller, June Bray, Sandeep Laumas, Michael Miller, Michal Votruba, Richard I. Steinhart, Robert Risinger, and Krishnan Nandabalan as Defendants, and the Company as Nominal Defendant under the caption </w:t>
      </w:r>
      <w:r>
        <w:rPr>
          <w:rFonts w:ascii="Times New Roman" w:cs="Times New Roman" w:eastAsia="Times New Roman" w:hAnsi="Times New Roman"/>
          <w:sz w:val="18"/>
          <w:szCs w:val="18"/>
          <w:i w:val="1"/>
          <w:iCs w:val="1"/>
          <w:color w:val="auto"/>
        </w:rPr>
        <w:t>Smith v. Mehta et al,</w:t>
      </w:r>
      <w:r>
        <w:rPr>
          <w:rFonts w:ascii="Times New Roman" w:cs="Times New Roman" w:eastAsia="Times New Roman" w:hAnsi="Times New Roman"/>
          <w:sz w:val="18"/>
          <w:szCs w:val="18"/>
          <w:color w:val="auto"/>
        </w:rPr>
        <w:t xml:space="preserve"> 1:24-cv-00041. Following the initial action, Plaintiff Janice Korff filed a stockholder derivative complaint in the District of Delaware raising similar claims as Smith (1:24-cv-130), including business torts and violations of the Securities Exchange Act of 1934. The cases have been consolidated under the caption </w:t>
      </w:r>
      <w:r>
        <w:rPr>
          <w:rFonts w:ascii="Times New Roman" w:cs="Times New Roman" w:eastAsia="Times New Roman" w:hAnsi="Times New Roman"/>
          <w:sz w:val="18"/>
          <w:szCs w:val="18"/>
          <w:i w:val="1"/>
          <w:iCs w:val="1"/>
          <w:color w:val="auto"/>
        </w:rPr>
        <w:t>In re BioXcel Therapeutics, Inc. Derivative Litigation</w:t>
      </w:r>
      <w:r>
        <w:rPr>
          <w:rFonts w:ascii="Times New Roman" w:cs="Times New Roman" w:eastAsia="Times New Roman" w:hAnsi="Times New Roman"/>
          <w:sz w:val="18"/>
          <w:szCs w:val="18"/>
          <w:color w:val="auto"/>
        </w:rPr>
        <w:t>, 1:24-cv-00041 (D. Del.). The consolidated action is currently stayed.</w:t>
      </w:r>
    </w:p>
    <w:p>
      <w:pPr>
        <w:spacing w:after="0" w:line="200" w:lineRule="exact"/>
        <w:rPr>
          <w:sz w:val="20"/>
          <w:szCs w:val="20"/>
          <w:color w:val="auto"/>
        </w:rPr>
      </w:pPr>
    </w:p>
    <w:p>
      <w:pPr>
        <w:spacing w:after="0" w:line="20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606415"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5" w:name="page36"/>
    <w:bookmarkEnd w:id="3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99" w:firstLine="324"/>
        <w:spacing w:after="0" w:line="256" w:lineRule="auto"/>
        <w:rPr>
          <w:sz w:val="20"/>
          <w:szCs w:val="20"/>
          <w:color w:val="auto"/>
        </w:rPr>
      </w:pPr>
      <w:r>
        <w:rPr>
          <w:rFonts w:ascii="Times New Roman" w:cs="Times New Roman" w:eastAsia="Times New Roman" w:hAnsi="Times New Roman"/>
          <w:sz w:val="18"/>
          <w:szCs w:val="18"/>
          <w:color w:val="auto"/>
        </w:rPr>
        <w:t xml:space="preserve">On May 7, 2025, Plaintiff Yaakov Portnoy filed a stockholder derivative complaint in the Court of Chancery of the State of Delaware purportedly on behalf of the Company and against Vimal Mehta, Peter Mueller, June Bray, Sandeep “Steve” Laumas, Michael P. Miller, Michal Votruba, Richard I. Steinhart, Robert Risinger, and Krishnan Nandabalan, and the Company as Nominal Defendant under the caption </w:t>
      </w:r>
      <w:r>
        <w:rPr>
          <w:rFonts w:ascii="Times New Roman" w:cs="Times New Roman" w:eastAsia="Times New Roman" w:hAnsi="Times New Roman"/>
          <w:sz w:val="18"/>
          <w:szCs w:val="18"/>
          <w:i w:val="1"/>
          <w:iCs w:val="1"/>
          <w:color w:val="auto"/>
        </w:rPr>
        <w:t>Yaakov Portnoy, derivatively on behalf of BioXcel Therapeutics,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Inc. v. Vimal Mehta, et al</w:t>
      </w:r>
      <w:r>
        <w:rPr>
          <w:rFonts w:ascii="Times New Roman" w:cs="Times New Roman" w:eastAsia="Times New Roman" w:hAnsi="Times New Roman"/>
          <w:sz w:val="18"/>
          <w:szCs w:val="18"/>
          <w:color w:val="auto"/>
        </w:rPr>
        <w:t>, 2025-0508-BWD (Del. Ch.). The complaint alleges similar claims to those raised in</w:t>
      </w:r>
      <w:r>
        <w:rPr>
          <w:rFonts w:ascii="Times New Roman" w:cs="Times New Roman" w:eastAsia="Times New Roman" w:hAnsi="Times New Roman"/>
          <w:sz w:val="18"/>
          <w:szCs w:val="18"/>
          <w:i w:val="1"/>
          <w:iCs w:val="1"/>
          <w:color w:val="auto"/>
        </w:rPr>
        <w:t xml:space="preserve"> In re BioXcel Therapeutics, Inc. Derivative Litigation</w:t>
      </w:r>
      <w:r>
        <w:rPr>
          <w:rFonts w:ascii="Times New Roman" w:cs="Times New Roman" w:eastAsia="Times New Roman" w:hAnsi="Times New Roman"/>
          <w:sz w:val="18"/>
          <w:szCs w:val="18"/>
          <w:color w:val="auto"/>
        </w:rPr>
        <w:t>, 1:24-cv-00041 (D. Del.), including business torts.</w:t>
      </w:r>
    </w:p>
    <w:p>
      <w:pPr>
        <w:spacing w:after="0" w:line="160" w:lineRule="exact"/>
        <w:rPr>
          <w:sz w:val="20"/>
          <w:szCs w:val="20"/>
          <w:color w:val="auto"/>
        </w:rPr>
      </w:pPr>
    </w:p>
    <w:p>
      <w:pPr>
        <w:ind w:left="60" w:right="419" w:firstLine="324"/>
        <w:spacing w:after="0" w:line="312" w:lineRule="auto"/>
        <w:rPr>
          <w:sz w:val="20"/>
          <w:szCs w:val="20"/>
          <w:color w:val="auto"/>
        </w:rPr>
      </w:pPr>
      <w:r>
        <w:rPr>
          <w:rFonts w:ascii="Times New Roman" w:cs="Times New Roman" w:eastAsia="Times New Roman" w:hAnsi="Times New Roman"/>
          <w:sz w:val="17"/>
          <w:szCs w:val="17"/>
          <w:color w:val="auto"/>
        </w:rPr>
        <w:t>At this time, the Company does not believe the claims in the above-captioned matters have merit, and intends to vigorously defend against them; however, the potential costs and liabilities associated with this litigation are uncertain.</w:t>
      </w:r>
    </w:p>
    <w:p>
      <w:pPr>
        <w:spacing w:after="0" w:line="99" w:lineRule="exact"/>
        <w:rPr>
          <w:sz w:val="20"/>
          <w:szCs w:val="20"/>
          <w:color w:val="auto"/>
        </w:rPr>
      </w:pPr>
    </w:p>
    <w:p>
      <w:pPr>
        <w:ind w:left="60" w:right="179" w:firstLine="324"/>
        <w:spacing w:after="0" w:line="253" w:lineRule="auto"/>
        <w:rPr>
          <w:sz w:val="20"/>
          <w:szCs w:val="20"/>
          <w:color w:val="auto"/>
        </w:rPr>
      </w:pPr>
      <w:r>
        <w:rPr>
          <w:rFonts w:ascii="Times New Roman" w:cs="Times New Roman" w:eastAsia="Times New Roman" w:hAnsi="Times New Roman"/>
          <w:sz w:val="18"/>
          <w:szCs w:val="18"/>
          <w:color w:val="auto"/>
        </w:rPr>
        <w:t>In April 2022, the Company signed a commercial supply agreement that requires minimum annual payments for the first three years of the agreement that in aggregate total $10,000 for the three-year period, of which $5,000 was originally due in year ended 2024. On July 11, 2024, the Company entered into an amendment to the commercial supply agreement (the “Product Supply Agreement Amendment”) that reduces the specified minimum annual payment over the next three years starting in the year ended 2024 and, thereafter, for a specified interval, provides for minimum annual payments to the extent that the Company receives approval of a supplemental new drug application (sNDA) or a new drug application (NDA) from the FDA for enumerated indications. The Company’s renegotiated agreement reduced the minimum commitment for 2024 to $1,000 and thereafter for the term of the agreement in annual amounts ranging from $2,000 to $5,000 subject, in certain instances, to the extent that the Company receives approval of an sNDA or NDA from the FDA for enumerated indications. In accordance with the Product Supply Agreement Amendment, the minimum commitments were reduced to $1,000, $2,000 and $2,000 in the years 2024, 2025, and 2026. In addition, the Company agreed to make a reconciliation payment of $1,200 in the third quarter of 2024 for full settlement for amounts due prior to the July 11, 2024 amendment.</w:t>
      </w:r>
    </w:p>
    <w:p>
      <w:pPr>
        <w:spacing w:after="0" w:line="14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17. Segment Information</w:t>
      </w:r>
    </w:p>
    <w:p>
      <w:pPr>
        <w:spacing w:after="0" w:line="202" w:lineRule="exact"/>
        <w:rPr>
          <w:sz w:val="20"/>
          <w:szCs w:val="20"/>
          <w:color w:val="auto"/>
        </w:rPr>
      </w:pPr>
    </w:p>
    <w:p>
      <w:pPr>
        <w:ind w:left="60" w:right="179" w:firstLine="324"/>
        <w:spacing w:after="0" w:line="258" w:lineRule="auto"/>
        <w:rPr>
          <w:sz w:val="20"/>
          <w:szCs w:val="20"/>
          <w:color w:val="auto"/>
        </w:rPr>
      </w:pPr>
      <w:r>
        <w:rPr>
          <w:rFonts w:ascii="Times New Roman" w:cs="Times New Roman" w:eastAsia="Times New Roman" w:hAnsi="Times New Roman"/>
          <w:sz w:val="18"/>
          <w:szCs w:val="18"/>
          <w:color w:val="auto"/>
        </w:rPr>
        <w:t>The Company views its operations and manages its business as one operating and reportable segment, utilizing artificial intelligence (“AI”) to develop transformative medicines in neuroscience and immuno-oncology. The Company is focused on utilizing cutting-edge technology and innovative research to develop high-value therapeutics aimed at transforming patients’ lives. The Company employs various AI platforms to reduce therapeutic development costs and potentially accelerate development timelines.</w:t>
      </w:r>
    </w:p>
    <w:p>
      <w:pPr>
        <w:spacing w:after="0" w:line="143" w:lineRule="exact"/>
        <w:rPr>
          <w:sz w:val="20"/>
          <w:szCs w:val="20"/>
          <w:color w:val="auto"/>
        </w:rPr>
      </w:pPr>
    </w:p>
    <w:p>
      <w:pPr>
        <w:ind w:left="60" w:right="239" w:firstLine="324"/>
        <w:spacing w:after="0" w:line="255" w:lineRule="auto"/>
        <w:rPr>
          <w:sz w:val="20"/>
          <w:szCs w:val="20"/>
          <w:color w:val="auto"/>
        </w:rPr>
      </w:pPr>
      <w:r>
        <w:rPr>
          <w:rFonts w:ascii="Times New Roman" w:cs="Times New Roman" w:eastAsia="Times New Roman" w:hAnsi="Times New Roman"/>
          <w:sz w:val="18"/>
          <w:szCs w:val="18"/>
          <w:color w:val="auto"/>
        </w:rPr>
        <w:t>Consistent with the operational structure, the Chief Executive Officer, as the chief operating decision maker (“CODM”), reviews weekly cash usage and allocates resources based on consolidated net loss that also is reported on the consolidated statements of operations. The measure of segment assets is reported on the balance sheet as total consolidated assets. The CODM utilizes consolidated net loss by comparing actual results against budgeted amounts on a quarterly basis. As part of this process, consolidated net loss is a critical performance measure used to evaluate the Company’s operating performance and guide strategic decisions and resource allocations, including additional investments in research and development and commercialization activities.</w:t>
      </w:r>
    </w:p>
    <w:p>
      <w:pPr>
        <w:spacing w:after="0" w:line="200" w:lineRule="exact"/>
        <w:rPr>
          <w:sz w:val="20"/>
          <w:szCs w:val="20"/>
          <w:color w:val="auto"/>
        </w:rPr>
      </w:pPr>
    </w:p>
    <w:p>
      <w:pPr>
        <w:spacing w:after="0" w:line="38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254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606415"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6" w:name="page37"/>
    <w:bookmarkEnd w:id="3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556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960" w:type="dxa"/>
            <w:vAlign w:val="bottom"/>
            <w:tcBorders>
              <w:bottom w:val="single" w:sz="8" w:color="auto"/>
            </w:tcBorders>
          </w:tcPr>
          <w:p>
            <w:pPr>
              <w:spacing w:after="0"/>
              <w:rPr>
                <w:sz w:val="15"/>
                <w:szCs w:val="15"/>
                <w:color w:val="auto"/>
              </w:rPr>
            </w:pPr>
          </w:p>
        </w:tc>
      </w:tr>
      <w:tr>
        <w:trPr>
          <w:trHeight w:val="142"/>
        </w:trPr>
        <w:tc>
          <w:tcPr>
            <w:tcW w:w="5560" w:type="dxa"/>
            <w:vAlign w:val="bottom"/>
          </w:tcPr>
          <w:p>
            <w:pPr>
              <w:spacing w:after="0"/>
              <w:rPr>
                <w:sz w:val="12"/>
                <w:szCs w:val="12"/>
                <w:color w:val="auto"/>
              </w:rPr>
            </w:pPr>
          </w:p>
        </w:tc>
        <w:tc>
          <w:tcPr>
            <w:tcW w:w="900" w:type="dxa"/>
            <w:vAlign w:val="bottom"/>
            <w:tcBorders>
              <w:bottom w:val="single" w:sz="8" w:color="auto"/>
            </w:tcBorders>
            <w:gridSpan w:val="2"/>
          </w:tcPr>
          <w:p>
            <w:pPr>
              <w:jc w:val="right"/>
              <w:ind w:right="20"/>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580" w:type="dxa"/>
            <w:vAlign w:val="bottom"/>
            <w:tcBorders>
              <w:bottom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53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r>
      <w:tr>
        <w:trPr>
          <w:trHeight w:val="209"/>
        </w:trPr>
        <w:tc>
          <w:tcPr>
            <w:tcW w:w="5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6"/>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Product revenue, net</w:t>
            </w:r>
          </w:p>
        </w:tc>
        <w:tc>
          <w:tcPr>
            <w:tcW w:w="22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28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39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582</w:t>
            </w:r>
          </w:p>
        </w:tc>
      </w:tr>
      <w:tr>
        <w:trPr>
          <w:trHeight w:val="216"/>
        </w:trPr>
        <w:tc>
          <w:tcPr>
            <w:tcW w:w="55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Less:</w:t>
            </w: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6"/>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goods sold</w:t>
            </w:r>
          </w:p>
        </w:tc>
        <w:tc>
          <w:tcPr>
            <w:tcW w:w="22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8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39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r>
      <w:tr>
        <w:trPr>
          <w:trHeight w:val="216"/>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 costs:</w:t>
            </w: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6"/>
        </w:trPr>
        <w:tc>
          <w:tcPr>
            <w:tcW w:w="55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Personnel and related costs</w:t>
            </w:r>
          </w:p>
        </w:tc>
        <w:tc>
          <w:tcPr>
            <w:tcW w:w="22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1,682</w:t>
            </w:r>
          </w:p>
        </w:tc>
        <w:tc>
          <w:tcPr>
            <w:tcW w:w="28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39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3,630</w:t>
            </w:r>
          </w:p>
        </w:tc>
      </w:tr>
      <w:tr>
        <w:trPr>
          <w:trHeight w:val="216"/>
        </w:trPr>
        <w:tc>
          <w:tcPr>
            <w:tcW w:w="5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Non-cash stock-based compensation</w:t>
            </w: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(514)</w:t>
            </w:r>
          </w:p>
        </w:tc>
        <w:tc>
          <w:tcPr>
            <w:tcW w:w="5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1,281</w:t>
            </w:r>
          </w:p>
        </w:tc>
      </w:tr>
      <w:tr>
        <w:trPr>
          <w:trHeight w:val="216"/>
        </w:trPr>
        <w:tc>
          <w:tcPr>
            <w:tcW w:w="55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Professional fees</w:t>
            </w: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779</w:t>
            </w:r>
          </w:p>
        </w:tc>
        <w:tc>
          <w:tcPr>
            <w:tcW w:w="2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1,307</w:t>
            </w:r>
          </w:p>
        </w:tc>
      </w:tr>
      <w:tr>
        <w:trPr>
          <w:trHeight w:val="216"/>
        </w:trPr>
        <w:tc>
          <w:tcPr>
            <w:tcW w:w="5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Clinical trials expense</w:t>
            </w: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2,018</w:t>
            </w:r>
          </w:p>
        </w:tc>
        <w:tc>
          <w:tcPr>
            <w:tcW w:w="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4,068</w:t>
            </w:r>
          </w:p>
        </w:tc>
      </w:tr>
      <w:tr>
        <w:trPr>
          <w:trHeight w:val="216"/>
        </w:trPr>
        <w:tc>
          <w:tcPr>
            <w:tcW w:w="55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Chemical, manufacturing and controls cost</w:t>
            </w: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2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549</w:t>
            </w:r>
          </w:p>
        </w:tc>
      </w:tr>
      <w:tr>
        <w:trPr>
          <w:trHeight w:val="216"/>
        </w:trPr>
        <w:tc>
          <w:tcPr>
            <w:tcW w:w="55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Other expenses</w:t>
            </w:r>
          </w:p>
        </w:tc>
        <w:tc>
          <w:tcPr>
            <w:tcW w:w="2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414</w:t>
            </w:r>
          </w:p>
        </w:tc>
        <w:tc>
          <w:tcPr>
            <w:tcW w:w="280" w:type="dxa"/>
            <w:vAlign w:val="bottom"/>
            <w:tcBorders>
              <w:bottom w:val="single" w:sz="8" w:color="CCEEFF"/>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566</w:t>
            </w:r>
          </w:p>
        </w:tc>
      </w:tr>
      <w:tr>
        <w:trPr>
          <w:trHeight w:val="209"/>
        </w:trPr>
        <w:tc>
          <w:tcPr>
            <w:tcW w:w="55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 research and development costs</w:t>
            </w:r>
          </w:p>
        </w:tc>
        <w:tc>
          <w:tcPr>
            <w:tcW w:w="22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4,554</w:t>
            </w:r>
          </w:p>
        </w:tc>
        <w:tc>
          <w:tcPr>
            <w:tcW w:w="28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39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11,401</w:t>
            </w:r>
          </w:p>
        </w:tc>
      </w:tr>
      <w:tr>
        <w:trPr>
          <w:trHeight w:val="216"/>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Commercial costs:</w:t>
            </w: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6"/>
        </w:trPr>
        <w:tc>
          <w:tcPr>
            <w:tcW w:w="55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Personnel and related costs</w:t>
            </w: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2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1,149</w:t>
            </w:r>
          </w:p>
        </w:tc>
      </w:tr>
      <w:tr>
        <w:trPr>
          <w:trHeight w:val="216"/>
        </w:trPr>
        <w:tc>
          <w:tcPr>
            <w:tcW w:w="5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Non-cash stock-based compensation</w:t>
            </w: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w:t>
            </w:r>
          </w:p>
        </w:tc>
      </w:tr>
      <w:tr>
        <w:trPr>
          <w:trHeight w:val="216"/>
        </w:trPr>
        <w:tc>
          <w:tcPr>
            <w:tcW w:w="55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Professional fees</w:t>
            </w: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2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r>
      <w:tr>
        <w:trPr>
          <w:trHeight w:val="216"/>
        </w:trPr>
        <w:tc>
          <w:tcPr>
            <w:tcW w:w="5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Commercial and marketing</w:t>
            </w: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1,347</w:t>
            </w:r>
          </w:p>
        </w:tc>
      </w:tr>
      <w:tr>
        <w:trPr>
          <w:trHeight w:val="216"/>
        </w:trPr>
        <w:tc>
          <w:tcPr>
            <w:tcW w:w="55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Travel related expenses</w:t>
            </w: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w:t>
            </w:r>
          </w:p>
        </w:tc>
      </w:tr>
      <w:tr>
        <w:trPr>
          <w:trHeight w:val="216"/>
        </w:trPr>
        <w:tc>
          <w:tcPr>
            <w:tcW w:w="5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Other expenses</w:t>
            </w: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(88)</w:t>
            </w:r>
          </w:p>
        </w:tc>
        <w:tc>
          <w:tcPr>
            <w:tcW w:w="5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w:t>
            </w:r>
          </w:p>
        </w:tc>
      </w:tr>
      <w:tr>
        <w:trPr>
          <w:trHeight w:val="210"/>
        </w:trPr>
        <w:tc>
          <w:tcPr>
            <w:tcW w:w="5560" w:type="dxa"/>
            <w:vAlign w:val="bottom"/>
            <w:tcBorders>
              <w:top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Total commercial costs</w:t>
            </w:r>
          </w:p>
        </w:tc>
        <w:tc>
          <w:tcPr>
            <w:tcW w:w="220" w:type="dxa"/>
            <w:vAlign w:val="bottom"/>
            <w:tcBorders>
              <w:top w:val="single" w:sz="8" w:color="CCEEFF"/>
            </w:tcBorders>
            <w:shd w:val="clear" w:color="auto" w:fill="CCEEFF"/>
          </w:tcPr>
          <w:p>
            <w:pPr>
              <w:jc w:val="right"/>
              <w:ind w:right="57"/>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28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ind w:right="39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3,148</w:t>
            </w:r>
          </w:p>
        </w:tc>
      </w:tr>
      <w:tr>
        <w:trPr>
          <w:trHeight w:val="216"/>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costs:</w:t>
            </w: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6"/>
        </w:trPr>
        <w:tc>
          <w:tcPr>
            <w:tcW w:w="55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Personnel and related costs</w:t>
            </w:r>
          </w:p>
        </w:tc>
        <w:tc>
          <w:tcPr>
            <w:tcW w:w="22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993</w:t>
            </w:r>
          </w:p>
        </w:tc>
        <w:tc>
          <w:tcPr>
            <w:tcW w:w="28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39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2,037</w:t>
            </w:r>
          </w:p>
        </w:tc>
      </w:tr>
      <w:tr>
        <w:trPr>
          <w:trHeight w:val="216"/>
        </w:trPr>
        <w:tc>
          <w:tcPr>
            <w:tcW w:w="5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Non-cash stock-based compensation</w:t>
            </w: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694</w:t>
            </w:r>
          </w:p>
        </w:tc>
        <w:tc>
          <w:tcPr>
            <w:tcW w:w="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1,884</w:t>
            </w:r>
          </w:p>
        </w:tc>
      </w:tr>
      <w:tr>
        <w:trPr>
          <w:trHeight w:val="216"/>
        </w:trPr>
        <w:tc>
          <w:tcPr>
            <w:tcW w:w="55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Professional fees</w:t>
            </w: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2,834</w:t>
            </w:r>
          </w:p>
        </w:tc>
        <w:tc>
          <w:tcPr>
            <w:tcW w:w="2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5,240</w:t>
            </w:r>
          </w:p>
        </w:tc>
      </w:tr>
      <w:tr>
        <w:trPr>
          <w:trHeight w:val="216"/>
        </w:trPr>
        <w:tc>
          <w:tcPr>
            <w:tcW w:w="5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Travel related expenses</w:t>
            </w: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w:t>
            </w:r>
          </w:p>
        </w:tc>
      </w:tr>
      <w:tr>
        <w:trPr>
          <w:trHeight w:val="216"/>
        </w:trPr>
        <w:tc>
          <w:tcPr>
            <w:tcW w:w="55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expenses</w:t>
            </w:r>
          </w:p>
        </w:tc>
        <w:tc>
          <w:tcPr>
            <w:tcW w:w="2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855</w:t>
            </w:r>
          </w:p>
        </w:tc>
        <w:tc>
          <w:tcPr>
            <w:tcW w:w="28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708</w:t>
            </w:r>
          </w:p>
        </w:tc>
      </w:tr>
      <w:tr>
        <w:trPr>
          <w:trHeight w:val="210"/>
        </w:trPr>
        <w:tc>
          <w:tcPr>
            <w:tcW w:w="5560" w:type="dxa"/>
            <w:vAlign w:val="bottom"/>
            <w:tcBorders>
              <w:bottom w:val="single" w:sz="8" w:color="CCEEFF"/>
            </w:tcBorders>
          </w:tcPr>
          <w:p>
            <w:pPr>
              <w:ind w:left="400"/>
              <w:spacing w:after="0"/>
              <w:rPr>
                <w:sz w:val="20"/>
                <w:szCs w:val="20"/>
                <w:color w:val="auto"/>
              </w:rPr>
            </w:pPr>
            <w:r>
              <w:rPr>
                <w:rFonts w:ascii="Times New Roman" w:cs="Times New Roman" w:eastAsia="Times New Roman" w:hAnsi="Times New Roman"/>
                <w:sz w:val="18"/>
                <w:szCs w:val="18"/>
                <w:color w:val="auto"/>
              </w:rPr>
              <w:t>Total selling, general and administrative costs</w:t>
            </w:r>
          </w:p>
        </w:tc>
        <w:tc>
          <w:tcPr>
            <w:tcW w:w="22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5,492</w:t>
            </w:r>
          </w:p>
        </w:tc>
        <w:tc>
          <w:tcPr>
            <w:tcW w:w="280" w:type="dxa"/>
            <w:vAlign w:val="bottom"/>
            <w:tcBorders>
              <w:bottom w:val="single" w:sz="8" w:color="CCEEFF"/>
            </w:tcBorders>
          </w:tcPr>
          <w:p>
            <w:pPr>
              <w:spacing w:after="0"/>
              <w:rPr>
                <w:sz w:val="18"/>
                <w:szCs w:val="18"/>
                <w:color w:val="auto"/>
              </w:rPr>
            </w:pPr>
          </w:p>
        </w:tc>
        <w:tc>
          <w:tcPr>
            <w:tcW w:w="560" w:type="dxa"/>
            <w:vAlign w:val="bottom"/>
            <w:tcBorders>
              <w:bottom w:val="single" w:sz="8" w:color="auto"/>
            </w:tcBorders>
          </w:tcPr>
          <w:p>
            <w:pPr>
              <w:jc w:val="right"/>
              <w:ind w:right="39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10,116</w:t>
            </w:r>
          </w:p>
        </w:tc>
      </w:tr>
      <w:tr>
        <w:trPr>
          <w:trHeight w:val="209"/>
        </w:trPr>
        <w:tc>
          <w:tcPr>
            <w:tcW w:w="55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20" w:type="dxa"/>
            <w:vAlign w:val="bottom"/>
            <w:tcBorders>
              <w:bottom w:val="single" w:sz="8" w:color="auto"/>
            </w:tcBorders>
            <w:shd w:val="clear" w:color="auto" w:fill="CCEEFF"/>
          </w:tcPr>
          <w:p>
            <w:pPr>
              <w:jc w:val="right"/>
              <w:ind w:right="57"/>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10,267</w:t>
            </w:r>
          </w:p>
        </w:tc>
        <w:tc>
          <w:tcPr>
            <w:tcW w:w="28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ind w:right="39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24,745</w:t>
            </w:r>
          </w:p>
        </w:tc>
      </w:tr>
      <w:tr>
        <w:trPr>
          <w:trHeight w:val="210"/>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expense</w:t>
            </w: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6"/>
        </w:trPr>
        <w:tc>
          <w:tcPr>
            <w:tcW w:w="55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Interest expense</w:t>
            </w: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3,993</w:t>
            </w:r>
          </w:p>
        </w:tc>
        <w:tc>
          <w:tcPr>
            <w:tcW w:w="2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3,607</w:t>
            </w:r>
          </w:p>
        </w:tc>
      </w:tr>
      <w:tr>
        <w:trPr>
          <w:trHeight w:val="216"/>
        </w:trPr>
        <w:tc>
          <w:tcPr>
            <w:tcW w:w="5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Interest income</w:t>
            </w: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(279)</w:t>
            </w:r>
          </w:p>
        </w:tc>
        <w:tc>
          <w:tcPr>
            <w:tcW w:w="5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(947)</w:t>
            </w:r>
          </w:p>
        </w:tc>
      </w:tr>
      <w:tr>
        <w:trPr>
          <w:trHeight w:val="216"/>
        </w:trPr>
        <w:tc>
          <w:tcPr>
            <w:tcW w:w="55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2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(6,559)</w:t>
            </w:r>
          </w:p>
        </w:tc>
        <w:tc>
          <w:tcPr>
            <w:tcW w:w="5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10"/>
        </w:trPr>
        <w:tc>
          <w:tcPr>
            <w:tcW w:w="5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Segment net loss</w:t>
            </w:r>
          </w:p>
        </w:tc>
        <w:tc>
          <w:tcPr>
            <w:tcW w:w="22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(7,254)</w:t>
            </w:r>
          </w:p>
        </w:tc>
        <w:tc>
          <w:tcPr>
            <w:tcW w:w="560" w:type="dxa"/>
            <w:vAlign w:val="bottom"/>
            <w:tcBorders>
              <w:bottom w:val="single" w:sz="8" w:color="auto"/>
            </w:tcBorders>
          </w:tcPr>
          <w:p>
            <w:pPr>
              <w:jc w:val="right"/>
              <w:ind w:right="39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(26,791)</w:t>
            </w:r>
          </w:p>
        </w:tc>
      </w:tr>
      <w:tr>
        <w:trPr>
          <w:trHeight w:val="210"/>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Adjustments and reconciling items</w:t>
            </w:r>
          </w:p>
        </w:tc>
        <w:tc>
          <w:tcPr>
            <w:tcW w:w="2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Consolidated Net Loss</w:t>
            </w:r>
          </w:p>
        </w:tc>
        <w:tc>
          <w:tcPr>
            <w:tcW w:w="22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(7,254)</w:t>
            </w:r>
          </w:p>
        </w:tc>
        <w:tc>
          <w:tcPr>
            <w:tcW w:w="560" w:type="dxa"/>
            <w:vAlign w:val="bottom"/>
            <w:tcBorders>
              <w:bottom w:val="single" w:sz="8" w:color="auto"/>
            </w:tcBorders>
          </w:tcPr>
          <w:p>
            <w:pPr>
              <w:jc w:val="right"/>
              <w:ind w:right="39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(26,791)</w:t>
            </w:r>
          </w:p>
        </w:tc>
      </w:tr>
      <w:tr>
        <w:trPr>
          <w:trHeight w:val="20"/>
        </w:trPr>
        <w:tc>
          <w:tcPr>
            <w:tcW w:w="55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18. Subsequent Events</w:t>
      </w:r>
    </w:p>
    <w:p>
      <w:pPr>
        <w:spacing w:after="0" w:line="200" w:lineRule="exact"/>
        <w:rPr>
          <w:sz w:val="20"/>
          <w:szCs w:val="20"/>
          <w:color w:val="auto"/>
        </w:rPr>
      </w:pPr>
    </w:p>
    <w:p>
      <w:pPr>
        <w:ind w:left="60" w:right="159" w:firstLine="324"/>
        <w:spacing w:after="0" w:line="258" w:lineRule="auto"/>
        <w:rPr>
          <w:sz w:val="20"/>
          <w:szCs w:val="20"/>
          <w:color w:val="auto"/>
        </w:rPr>
      </w:pPr>
      <w:r>
        <w:rPr>
          <w:rFonts w:ascii="Times New Roman" w:cs="Times New Roman" w:eastAsia="Times New Roman" w:hAnsi="Times New Roman"/>
          <w:sz w:val="18"/>
          <w:szCs w:val="18"/>
          <w:color w:val="auto"/>
        </w:rPr>
        <w:t xml:space="preserve">As discussed in Note 11, </w:t>
      </w:r>
      <w:r>
        <w:rPr>
          <w:rFonts w:ascii="Times New Roman" w:cs="Times New Roman" w:eastAsia="Times New Roman" w:hAnsi="Times New Roman"/>
          <w:sz w:val="18"/>
          <w:szCs w:val="18"/>
          <w:i w:val="1"/>
          <w:iCs w:val="1"/>
          <w:color w:val="auto"/>
        </w:rPr>
        <w:t>Common Stock Financing Activities</w:t>
      </w:r>
      <w:r>
        <w:rPr>
          <w:rFonts w:ascii="Times New Roman" w:cs="Times New Roman" w:eastAsia="Times New Roman" w:hAnsi="Times New Roman"/>
          <w:sz w:val="18"/>
          <w:szCs w:val="18"/>
          <w:color w:val="auto"/>
        </w:rPr>
        <w:t>, in connection with the March 2025 issuance and sale in a public offering of (i) 188 shares of the Company’s common stock, (ii) pre-funded warrants to purchase 3,812 shares of Common Stock, and (iii) accompanying warrants to purchase 4,000 shares of Common Stock, after March 31, 2025 but before financial statement issuance, certain investors exercised 300 pre-funded warrants to purchase 300 shares of Common Stock.</w:t>
      </w:r>
    </w:p>
    <w:p>
      <w:pPr>
        <w:spacing w:after="0" w:line="210" w:lineRule="exact"/>
        <w:rPr>
          <w:sz w:val="20"/>
          <w:szCs w:val="20"/>
          <w:color w:val="auto"/>
        </w:rPr>
      </w:pPr>
    </w:p>
    <w:p>
      <w:pPr>
        <w:ind w:left="60" w:right="179" w:firstLine="324"/>
        <w:spacing w:after="0" w:line="261" w:lineRule="auto"/>
        <w:rPr>
          <w:sz w:val="20"/>
          <w:szCs w:val="20"/>
          <w:color w:val="auto"/>
        </w:rPr>
      </w:pPr>
      <w:r>
        <w:rPr>
          <w:rFonts w:ascii="Times New Roman" w:cs="Times New Roman" w:eastAsia="Times New Roman" w:hAnsi="Times New Roman"/>
          <w:sz w:val="18"/>
          <w:szCs w:val="18"/>
          <w:color w:val="auto"/>
        </w:rPr>
        <w:t xml:space="preserve">As discussed in Note 9, </w:t>
      </w:r>
      <w:r>
        <w:rPr>
          <w:rFonts w:ascii="Times New Roman" w:cs="Times New Roman" w:eastAsia="Times New Roman" w:hAnsi="Times New Roman"/>
          <w:sz w:val="18"/>
          <w:szCs w:val="18"/>
          <w:i w:val="1"/>
          <w:iCs w:val="1"/>
          <w:color w:val="auto"/>
        </w:rPr>
        <w:t>Debt and Credit Facilities</w:t>
      </w:r>
      <w:r>
        <w:rPr>
          <w:rFonts w:ascii="Times New Roman" w:cs="Times New Roman" w:eastAsia="Times New Roman" w:hAnsi="Times New Roman"/>
          <w:sz w:val="18"/>
          <w:szCs w:val="18"/>
          <w:color w:val="auto"/>
        </w:rPr>
        <w:t>, in connection with the Fifth Amendment of the Credit Agreement and issuance of new warrants to the Lenders to purchase an aggregate of 313 shares of common stock, after March 31, 2025 but before financial statement issuance, the Company issued 284 shares of Common Stock in connection with the cashless exercises of 313 warrants.</w:t>
      </w:r>
    </w:p>
    <w:p>
      <w:pPr>
        <w:spacing w:after="0" w:line="39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606415"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7" w:name="page38"/>
    <w:bookmarkEnd w:id="3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99" w:firstLine="324"/>
        <w:spacing w:after="0" w:line="261" w:lineRule="auto"/>
        <w:rPr>
          <w:sz w:val="20"/>
          <w:szCs w:val="20"/>
          <w:color w:val="auto"/>
        </w:rPr>
      </w:pPr>
      <w:r>
        <w:rPr>
          <w:rFonts w:ascii="Times New Roman" w:cs="Times New Roman" w:eastAsia="Times New Roman" w:hAnsi="Times New Roman"/>
          <w:sz w:val="18"/>
          <w:szCs w:val="18"/>
          <w:color w:val="auto"/>
        </w:rPr>
        <w:t>On April 3, 2025, the Company entered into an Equity Distribution Agreement (the “Equity Distribution Agreement”) with Canaccord Genuity LLC (“Canaccord”) to sell shares of the Company’s common stock, par value $0.001 per share, with aggregate gross sales proceeds of up to $8,135, from time to time, through an “at the market” equity offering program under which Canaccord will act as sales agent.</w:t>
      </w:r>
    </w:p>
    <w:p>
      <w:pPr>
        <w:spacing w:after="0" w:line="180" w:lineRule="exact"/>
        <w:rPr>
          <w:sz w:val="20"/>
          <w:szCs w:val="20"/>
          <w:color w:val="auto"/>
        </w:rPr>
      </w:pPr>
    </w:p>
    <w:p>
      <w:pPr>
        <w:ind w:left="60" w:right="239" w:firstLine="324"/>
        <w:spacing w:after="0" w:line="256" w:lineRule="auto"/>
        <w:rPr>
          <w:sz w:val="20"/>
          <w:szCs w:val="20"/>
          <w:color w:val="auto"/>
        </w:rPr>
      </w:pPr>
      <w:r>
        <w:rPr>
          <w:rFonts w:ascii="Times New Roman" w:cs="Times New Roman" w:eastAsia="Times New Roman" w:hAnsi="Times New Roman"/>
          <w:sz w:val="18"/>
          <w:szCs w:val="18"/>
          <w:color w:val="auto"/>
        </w:rPr>
        <w:t>On April 8, 2025, the Board unanimously approved (i) the payment of a retention bonus to all non-executive employees in the total aggregate amount of $1,545, to be paid in two equal installments and (ii) the issuance of 66 RSUs which fully vest on the one-year anniversary of the grant date. The first installment of the retention bonus was paid on April 30, 2025 and the second installment shall be paid upon successful completion of the Serenity Trial data readout and securing additional financing. Each such installment payment is subject to the applicable employee’s continued employment through December 31,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260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606415"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8" w:name="page39"/>
    <w:bookmarkEnd w:id="3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00" w:lineRule="exact"/>
        <w:rPr>
          <w:sz w:val="20"/>
          <w:szCs w:val="20"/>
          <w:color w:val="auto"/>
        </w:rPr>
      </w:pPr>
    </w:p>
    <w:p>
      <w:pPr>
        <w:ind w:left="60" w:right="139" w:firstLine="324"/>
        <w:spacing w:after="0" w:line="253" w:lineRule="auto"/>
        <w:rPr>
          <w:sz w:val="20"/>
          <w:szCs w:val="20"/>
          <w:color w:val="auto"/>
        </w:rPr>
      </w:pPr>
      <w:r>
        <w:rPr>
          <w:rFonts w:ascii="Times New Roman" w:cs="Times New Roman" w:eastAsia="Times New Roman" w:hAnsi="Times New Roman"/>
          <w:sz w:val="18"/>
          <w:szCs w:val="18"/>
          <w:i w:val="1"/>
          <w:iCs w:val="1"/>
          <w:color w:val="auto"/>
        </w:rPr>
        <w:t>You should read the following discussion and analysis of our financial condition and results of operations together with our unaudited interim condensed consolidated financial statements and related notes appearing elsewhere in this report and the audited financial statements and related notes contained in our Annual Report on Form 10-K for the year ended December 31, 2024. In addition to historical information, this discussion and analysis contains forward-looking statements that involve risks, uncertainties and assumptions. Our actual results may differ materially from those discussed below and in the forward-looking statements. Factors that could cause or contribute to these differences include, without limitation, those discussed in this Management’s Discussion and Analysis of Financial Condition and Results of Operations, those listed under “Summary Risk Factors,” and those discussed in the section titled “Risk Factors” included in Part II, Item 1A. of this report. All dollar amounts in the below Management’s Discussion and Analysis of Financial Condition and Results of Operations are presented in U.S. dollars, and all dollar and share amounts are presented in thousands, unless otherwise noted or the context otherwise provides.</w:t>
      </w:r>
    </w:p>
    <w:p>
      <w:pPr>
        <w:spacing w:after="0" w:line="14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89" w:lineRule="exact"/>
        <w:rPr>
          <w:sz w:val="20"/>
          <w:szCs w:val="20"/>
          <w:color w:val="auto"/>
        </w:rPr>
      </w:pPr>
    </w:p>
    <w:p>
      <w:pPr>
        <w:ind w:left="60" w:right="139" w:firstLine="324"/>
        <w:spacing w:after="0" w:line="254" w:lineRule="auto"/>
        <w:rPr>
          <w:sz w:val="20"/>
          <w:szCs w:val="20"/>
          <w:color w:val="auto"/>
        </w:rPr>
      </w:pPr>
      <w:r>
        <w:rPr>
          <w:rFonts w:ascii="Times New Roman" w:cs="Times New Roman" w:eastAsia="Times New Roman" w:hAnsi="Times New Roman"/>
          <w:sz w:val="18"/>
          <w:szCs w:val="18"/>
          <w:color w:val="auto"/>
        </w:rPr>
        <w:t>BioXcel Therapeutics, Inc. (Nasdaq: BTAI, “the Company”) is a biopharmaceutical company utilizing artificial intelligence (“AI”) to develop transformative medicines in neuroscience. Our wholly owned subsidiary, OnkosXcel Therapeutics, is focused on the development of medicines in immuno-oncology. We utilize cutting-edge technology and innovative research to develop high-value therapeutics aimed at transforming patients’ lives. We employ our proprietary AI platform to reduce therapeutic development costs and potentially accelerate development timelines. Our approach leverages existing approved drugs and/or clinically evaluated product candidates together with big data and proprietary machine learning algorithms to identify new therapeutic indications. We believe this differentiated approach has proven its potential to reduce the expense and time associated with drug development in diseases with substantial unmet medical needs.</w:t>
      </w:r>
    </w:p>
    <w:p>
      <w:pPr>
        <w:spacing w:after="0" w:line="15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Nasdaq Notice</w:t>
      </w:r>
    </w:p>
    <w:p>
      <w:pPr>
        <w:spacing w:after="0" w:line="189" w:lineRule="exact"/>
        <w:rPr>
          <w:sz w:val="20"/>
          <w:szCs w:val="20"/>
          <w:color w:val="auto"/>
        </w:rPr>
      </w:pPr>
    </w:p>
    <w:p>
      <w:pPr>
        <w:ind w:left="60" w:right="179" w:firstLine="324"/>
        <w:spacing w:after="0" w:line="258" w:lineRule="auto"/>
        <w:rPr>
          <w:sz w:val="20"/>
          <w:szCs w:val="20"/>
          <w:color w:val="auto"/>
        </w:rPr>
      </w:pPr>
      <w:r>
        <w:rPr>
          <w:rFonts w:ascii="Times New Roman" w:cs="Times New Roman" w:eastAsia="Times New Roman" w:hAnsi="Times New Roman"/>
          <w:sz w:val="18"/>
          <w:szCs w:val="18"/>
          <w:color w:val="auto"/>
        </w:rPr>
        <w:t>On September 20, 2024, we received a letter from Nasdaq Staff notifying us that for the 30 consecutive business days prior to the date of the letter, the Company’s market value of listed securities (“MVLS”) closed below the minimum $35 million requirement for continued listing on The Nasdaq Capital Market under Nasdaq Listing Rule 5550(b)(2). In accordance with Nasdaq Listing Rule 5810(c)(3)(C), the Company was granted a period of 180 calendar days, or until March 19, 2025, to regain compliance.</w:t>
      </w:r>
    </w:p>
    <w:p>
      <w:pPr>
        <w:spacing w:after="0" w:line="183" w:lineRule="exact"/>
        <w:rPr>
          <w:sz w:val="20"/>
          <w:szCs w:val="20"/>
          <w:color w:val="auto"/>
        </w:rPr>
      </w:pPr>
    </w:p>
    <w:p>
      <w:pPr>
        <w:ind w:left="60" w:right="139" w:firstLine="324"/>
        <w:spacing w:after="0" w:line="254" w:lineRule="auto"/>
        <w:rPr>
          <w:sz w:val="20"/>
          <w:szCs w:val="20"/>
          <w:color w:val="auto"/>
        </w:rPr>
      </w:pPr>
      <w:r>
        <w:rPr>
          <w:rFonts w:ascii="Times New Roman" w:cs="Times New Roman" w:eastAsia="Times New Roman" w:hAnsi="Times New Roman"/>
          <w:sz w:val="18"/>
          <w:szCs w:val="18"/>
          <w:color w:val="auto"/>
        </w:rPr>
        <w:t>As anticipated, on March 20, 2025, we received another letter from the Staff stating that, as a result of the Company’s continued non-compliance with the MVLS requirement, its securities would be delisted from Nasdaq unless the Company appealed the Staff’s delisting determination by requesting a hearing before the Nasdaq Panel. The Company made a timely request for a hearing before the Panel to appeal the Staff’s determination. The hearing was held on May 1, 2025. At the hearing, we presented our plan for regaining compliance with the MVLS requirement and requested a further extension so that we may complete the execution of our plan. No assurance can be provided that Nasdaq will ultimately accept our plan or that we will ultimately regain compliance with the MVLS requirement. As of the date of this report, we have not received a determination from the hearings panel. Our common stock will remain listed and eligible for trading on Nasdaq pending the ultimate conclusion of the hearing process.</w:t>
      </w:r>
    </w:p>
    <w:p>
      <w:pPr>
        <w:spacing w:after="0" w:line="18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Our Business</w:t>
      </w:r>
    </w:p>
    <w:p>
      <w:pPr>
        <w:spacing w:after="0" w:line="189" w:lineRule="exact"/>
        <w:rPr>
          <w:sz w:val="20"/>
          <w:szCs w:val="20"/>
          <w:color w:val="auto"/>
        </w:rPr>
      </w:pPr>
    </w:p>
    <w:p>
      <w:pPr>
        <w:ind w:left="60" w:right="299" w:firstLine="324"/>
        <w:spacing w:after="0" w:line="236" w:lineRule="auto"/>
        <w:rPr>
          <w:sz w:val="20"/>
          <w:szCs w:val="20"/>
          <w:color w:val="auto"/>
        </w:rPr>
      </w:pPr>
      <w:r>
        <w:rPr>
          <w:rFonts w:ascii="Times New Roman" w:cs="Times New Roman" w:eastAsia="Times New Roman" w:hAnsi="Times New Roman"/>
          <w:sz w:val="18"/>
          <w:szCs w:val="18"/>
          <w:color w:val="auto"/>
        </w:rPr>
        <w:t>Our most advanced neuroscience candidate is BXCL501. In indications other than those approved by the U.S. Food and Drug Administration (FDA) as IGALMI</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BXCL501 is an investigational, proprietary, orally dissolving sublingual film formulation of dexmedetomidine in development for the treatment of agitation associated with psychiatric and neurological disorders. Our most advanced immuno-oncology asset, BXCL701, is an investigational oral innate immune activator from OnkosXcel Therapeutics as a potential therapy for the treatment of aggressive forms of prostate cancer, pancreatic cancer, and other solid and liquid tumors.</w:t>
      </w:r>
    </w:p>
    <w:p>
      <w:pPr>
        <w:spacing w:after="0" w:line="192" w:lineRule="exact"/>
        <w:rPr>
          <w:sz w:val="20"/>
          <w:szCs w:val="20"/>
          <w:color w:val="auto"/>
        </w:rPr>
      </w:pPr>
    </w:p>
    <w:p>
      <w:pPr>
        <w:ind w:left="60" w:right="259" w:firstLine="324"/>
        <w:spacing w:after="0" w:line="229" w:lineRule="auto"/>
        <w:rPr>
          <w:sz w:val="20"/>
          <w:szCs w:val="20"/>
          <w:color w:val="auto"/>
        </w:rPr>
      </w:pPr>
      <w:r>
        <w:rPr>
          <w:rFonts w:ascii="Times New Roman" w:cs="Times New Roman" w:eastAsia="Times New Roman" w:hAnsi="Times New Roman"/>
          <w:sz w:val="18"/>
          <w:szCs w:val="18"/>
          <w:color w:val="auto"/>
        </w:rPr>
        <w:t>On April 6, 2022, we announced that the FDA approved IGALMI</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(dexmedetomidine) sublingual film for the acute treatment of agitation associated with schizophrenia or bipolar I or II disorder in adults. IGALMI</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is approved to</w:t>
      </w:r>
    </w:p>
    <w:p>
      <w:pPr>
        <w:sectPr>
          <w:pgSz w:w="11900" w:h="16838" w:orient="portrait"/>
          <w:cols w:equalWidth="0" w:num="1">
            <w:col w:w="9019"/>
          </w:cols>
          <w:pgMar w:left="1440" w:top="513" w:right="1440" w:bottom="1440" w:gutter="0" w:footer="0" w:header="0"/>
        </w:sectPr>
      </w:pPr>
    </w:p>
    <w:p>
      <w:pPr>
        <w:spacing w:after="0" w:line="30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260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606415"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9" w:name="page40"/>
    <w:bookmarkEnd w:id="3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59"/>
        <w:spacing w:after="0" w:line="285" w:lineRule="auto"/>
        <w:rPr>
          <w:sz w:val="20"/>
          <w:szCs w:val="20"/>
          <w:color w:val="auto"/>
        </w:rPr>
      </w:pPr>
      <w:r>
        <w:rPr>
          <w:rFonts w:ascii="Times New Roman" w:cs="Times New Roman" w:eastAsia="Times New Roman" w:hAnsi="Times New Roman"/>
          <w:sz w:val="18"/>
          <w:szCs w:val="18"/>
          <w:color w:val="auto"/>
        </w:rPr>
        <w:t>be self-administrated by patients under the supervision of a health care provider. On July 6, 2022, we announced that IGALMI</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was commercially available in doses of 120 and 180 micrograms (“mcg”).</w:t>
      </w:r>
    </w:p>
    <w:p>
      <w:pPr>
        <w:spacing w:after="0" w:line="47" w:lineRule="exact"/>
        <w:rPr>
          <w:sz w:val="20"/>
          <w:szCs w:val="20"/>
          <w:color w:val="auto"/>
        </w:rPr>
      </w:pPr>
    </w:p>
    <w:p>
      <w:pPr>
        <w:ind w:left="60" w:right="159" w:firstLine="324"/>
        <w:spacing w:after="0" w:line="247" w:lineRule="auto"/>
        <w:rPr>
          <w:sz w:val="20"/>
          <w:szCs w:val="20"/>
          <w:color w:val="auto"/>
        </w:rPr>
      </w:pPr>
      <w:r>
        <w:rPr>
          <w:rFonts w:ascii="Times New Roman" w:cs="Times New Roman" w:eastAsia="Times New Roman" w:hAnsi="Times New Roman"/>
          <w:sz w:val="17"/>
          <w:szCs w:val="17"/>
          <w:color w:val="auto"/>
        </w:rPr>
        <w:t>We are currently conducting our SERENITY At-Home pivotal Phase 3 safety trial intended to support a supplemental new drug application (“sNDA”) submission to potentially expand the label of IGALMI</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7"/>
          <w:szCs w:val="17"/>
          <w:color w:val="auto"/>
        </w:rPr>
        <w:t xml:space="preserve"> into the at-home setting. On September 5, 2024, we announced the initiation of the trial, a double-blind, placebo-controlled study to evaluate the safety of a 120 mcg dose of BXCL501 in 200 patients for acute treatment of agitation associated with bipolar disorders or schizophrenia in the at-home setting. On November 12, 2024, we announced that the first patient had been randomized.</w:t>
      </w:r>
    </w:p>
    <w:p>
      <w:pPr>
        <w:spacing w:after="0" w:line="168" w:lineRule="exact"/>
        <w:rPr>
          <w:sz w:val="20"/>
          <w:szCs w:val="20"/>
          <w:color w:val="auto"/>
        </w:rPr>
      </w:pPr>
    </w:p>
    <w:p>
      <w:pPr>
        <w:ind w:left="60" w:right="159" w:firstLine="324"/>
        <w:spacing w:after="0" w:line="282" w:lineRule="auto"/>
        <w:rPr>
          <w:sz w:val="20"/>
          <w:szCs w:val="20"/>
          <w:color w:val="auto"/>
        </w:rPr>
      </w:pPr>
      <w:r>
        <w:rPr>
          <w:rFonts w:ascii="Times New Roman" w:cs="Times New Roman" w:eastAsia="Times New Roman" w:hAnsi="Times New Roman"/>
          <w:sz w:val="18"/>
          <w:szCs w:val="18"/>
          <w:color w:val="auto"/>
        </w:rPr>
        <w:t>On May 12, 2025, we announced the trial was fully enrolled, and that more than 165 patients had been dosed. Topline data results from the trial are expected in the second half of 2025.</w:t>
      </w:r>
    </w:p>
    <w:p>
      <w:pPr>
        <w:spacing w:after="0" w:line="121" w:lineRule="exact"/>
        <w:rPr>
          <w:sz w:val="20"/>
          <w:szCs w:val="20"/>
          <w:color w:val="auto"/>
        </w:rPr>
      </w:pPr>
    </w:p>
    <w:p>
      <w:pPr>
        <w:ind w:left="60" w:right="279" w:firstLine="324"/>
        <w:spacing w:after="0" w:line="256" w:lineRule="auto"/>
        <w:rPr>
          <w:sz w:val="20"/>
          <w:szCs w:val="20"/>
          <w:color w:val="auto"/>
        </w:rPr>
      </w:pPr>
      <w:r>
        <w:rPr>
          <w:rFonts w:ascii="Times New Roman" w:cs="Times New Roman" w:eastAsia="Times New Roman" w:hAnsi="Times New Roman"/>
          <w:sz w:val="18"/>
          <w:szCs w:val="18"/>
          <w:color w:val="auto"/>
        </w:rPr>
        <w:t xml:space="preserve">Our TRANQUILITY program is designed to evaluate BXCL501 for the potential acute treatment of agitation with Alzheimer’s dementia in the at-home setting and in-care facilities. We have had several FDA meetings to discuss the development program, and the FDA has commented on the proposed protocol for our TRANQUILITY In-Care Phase 3 trial, which is designed to evaluate the efficacy and safety of a 60 mcg dose of BXCL501 for agitation associated with Alzheimer’s dementia. The Company is advancing plans for initiation of the trial upon funding. See further discussion in </w:t>
      </w:r>
      <w:r>
        <w:rPr>
          <w:rFonts w:ascii="Times New Roman" w:cs="Times New Roman" w:eastAsia="Times New Roman" w:hAnsi="Times New Roman"/>
          <w:sz w:val="18"/>
          <w:szCs w:val="18"/>
          <w:i w:val="1"/>
          <w:iCs w:val="1"/>
          <w:color w:val="auto"/>
        </w:rPr>
        <w:t xml:space="preserve">“Our Neuroscience Clinical Programs” </w:t>
      </w:r>
      <w:r>
        <w:rPr>
          <w:rFonts w:ascii="Times New Roman" w:cs="Times New Roman" w:eastAsia="Times New Roman" w:hAnsi="Times New Roman"/>
          <w:sz w:val="18"/>
          <w:szCs w:val="18"/>
          <w:color w:val="auto"/>
        </w:rPr>
        <w:t>below.</w:t>
      </w:r>
    </w:p>
    <w:p>
      <w:pPr>
        <w:spacing w:after="0" w:line="187" w:lineRule="exact"/>
        <w:rPr>
          <w:sz w:val="20"/>
          <w:szCs w:val="20"/>
          <w:color w:val="auto"/>
        </w:rPr>
      </w:pPr>
    </w:p>
    <w:p>
      <w:pPr>
        <w:ind w:left="60" w:right="919" w:firstLine="324"/>
        <w:spacing w:after="0" w:line="282" w:lineRule="auto"/>
        <w:rPr>
          <w:sz w:val="20"/>
          <w:szCs w:val="20"/>
          <w:color w:val="auto"/>
        </w:rPr>
      </w:pPr>
      <w:r>
        <w:rPr>
          <w:rFonts w:ascii="Times New Roman" w:cs="Times New Roman" w:eastAsia="Times New Roman" w:hAnsi="Times New Roman"/>
          <w:sz w:val="18"/>
          <w:szCs w:val="18"/>
          <w:color w:val="auto"/>
        </w:rPr>
        <w:t>As described further below, we have deprioritized the development of BXCL501 for certain other proposed indications.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1905635</wp:posOffset>
            </wp:positionH>
            <wp:positionV relativeFrom="paragraph">
              <wp:posOffset>-236855</wp:posOffset>
            </wp:positionV>
            <wp:extent cx="2857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142" w:lineRule="exact"/>
        <w:rPr>
          <w:sz w:val="20"/>
          <w:szCs w:val="20"/>
          <w:color w:val="auto"/>
        </w:rPr>
      </w:pPr>
    </w:p>
    <w:p>
      <w:pPr>
        <w:ind w:left="60" w:right="199" w:firstLine="324"/>
        <w:spacing w:after="0" w:line="261" w:lineRule="auto"/>
        <w:rPr>
          <w:sz w:val="20"/>
          <w:szCs w:val="20"/>
          <w:color w:val="auto"/>
        </w:rPr>
      </w:pPr>
      <w:r>
        <w:rPr>
          <w:rFonts w:ascii="Times New Roman" w:cs="Times New Roman" w:eastAsia="Times New Roman" w:hAnsi="Times New Roman"/>
          <w:sz w:val="18"/>
          <w:szCs w:val="18"/>
          <w:color w:val="auto"/>
        </w:rPr>
        <w:t>Our most advanced immuno-oncology candidate, BXCL701, is an investigational oral innate immune activator from OnkosXcel Therapeutics as a potential therapy for the treatment of aggressive forms of prostate cancer, pancreatic cancer, and other solid and liquid tumors. As described further below, we have deprioritized the development of our BXCL701 programs, except as noted under “Immuno-Oncology”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3270885</wp:posOffset>
            </wp:positionH>
            <wp:positionV relativeFrom="paragraph">
              <wp:posOffset>-225425</wp:posOffset>
            </wp:positionV>
            <wp:extent cx="2857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pacing w:after="0" w:line="15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2024 Clinical Prioritization</w:t>
      </w:r>
    </w:p>
    <w:p>
      <w:pPr>
        <w:spacing w:after="0" w:line="229" w:lineRule="exact"/>
        <w:rPr>
          <w:sz w:val="20"/>
          <w:szCs w:val="20"/>
          <w:color w:val="auto"/>
        </w:rPr>
      </w:pPr>
    </w:p>
    <w:p>
      <w:pPr>
        <w:ind w:left="60" w:right="299" w:firstLine="324"/>
        <w:spacing w:after="0" w:line="266" w:lineRule="auto"/>
        <w:rPr>
          <w:sz w:val="20"/>
          <w:szCs w:val="20"/>
          <w:color w:val="auto"/>
        </w:rPr>
      </w:pPr>
      <w:r>
        <w:rPr>
          <w:rFonts w:ascii="Times New Roman" w:cs="Times New Roman" w:eastAsia="Times New Roman" w:hAnsi="Times New Roman"/>
          <w:sz w:val="18"/>
          <w:szCs w:val="18"/>
          <w:color w:val="auto"/>
        </w:rPr>
        <w:t>On May 8, 2024 the Company took actions as part of its continued efforts to preserve cash and prioritize investment in its core clinical programs. The Company reduced its workforce by approximately 15% and notified impacted employees on May 8, 2024. All related restructuring costs were paid in the second quarter of 2024.</w:t>
      </w:r>
    </w:p>
    <w:p>
      <w:pPr>
        <w:spacing w:after="0" w:line="176" w:lineRule="exact"/>
        <w:rPr>
          <w:sz w:val="20"/>
          <w:szCs w:val="20"/>
          <w:color w:val="auto"/>
        </w:rPr>
      </w:pPr>
    </w:p>
    <w:p>
      <w:pPr>
        <w:ind w:left="60" w:right="319" w:firstLine="324"/>
        <w:spacing w:after="0" w:line="258" w:lineRule="auto"/>
        <w:rPr>
          <w:sz w:val="20"/>
          <w:szCs w:val="20"/>
          <w:color w:val="auto"/>
        </w:rPr>
      </w:pPr>
      <w:r>
        <w:rPr>
          <w:rFonts w:ascii="Times New Roman" w:cs="Times New Roman" w:eastAsia="Times New Roman" w:hAnsi="Times New Roman"/>
          <w:sz w:val="18"/>
          <w:szCs w:val="18"/>
          <w:color w:val="auto"/>
        </w:rPr>
        <w:t>On September 17, 2024, the Company reduced its workforce by an additional 28% to extend its cash runway and prioritize clinical development of BXCL501. The Company completed the Clinical Prioritization in October 2024, paid $475 of the related costs during the first quarter of 2025, and expects to pay approximately $128, the remaining costs, in the second quarter of 2025, which are included in Accrued Expenses on the Condensed Consolidated Balance at March 31, 2025.</w:t>
      </w:r>
    </w:p>
    <w:p>
      <w:pPr>
        <w:spacing w:after="0" w:line="17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IGALMI</w:t>
      </w:r>
      <w:r>
        <w:rPr>
          <w:rFonts w:ascii="Times New Roman" w:cs="Times New Roman" w:eastAsia="Times New Roman" w:hAnsi="Times New Roman"/>
          <w:sz w:val="16"/>
          <w:szCs w:val="16"/>
          <w:color w:val="auto"/>
        </w:rPr>
        <w:t>®</w:t>
      </w:r>
      <w:r>
        <w:rPr>
          <w:rFonts w:ascii="Times New Roman" w:cs="Times New Roman" w:eastAsia="Times New Roman" w:hAnsi="Times New Roman"/>
          <w:sz w:val="18"/>
          <w:szCs w:val="18"/>
          <w:b w:val="1"/>
          <w:bCs w:val="1"/>
          <w:color w:val="auto"/>
        </w:rPr>
        <w:t xml:space="preserve"> Commercialization Strategy</w:t>
      </w:r>
    </w:p>
    <w:p>
      <w:pPr>
        <w:spacing w:after="0" w:line="226" w:lineRule="exact"/>
        <w:rPr>
          <w:sz w:val="20"/>
          <w:szCs w:val="20"/>
          <w:color w:val="auto"/>
        </w:rPr>
      </w:pPr>
    </w:p>
    <w:p>
      <w:pPr>
        <w:ind w:left="60" w:right="159" w:firstLine="324"/>
        <w:spacing w:after="0" w:line="217" w:lineRule="auto"/>
        <w:rPr>
          <w:sz w:val="20"/>
          <w:szCs w:val="20"/>
          <w:color w:val="auto"/>
        </w:rPr>
      </w:pPr>
      <w:r>
        <w:rPr>
          <w:rFonts w:ascii="Times New Roman" w:cs="Times New Roman" w:eastAsia="Times New Roman" w:hAnsi="Times New Roman"/>
          <w:sz w:val="18"/>
          <w:szCs w:val="18"/>
          <w:color w:val="auto"/>
        </w:rPr>
        <w:t>We are continuing to supply IGALMI</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through existing distribution channels. At the same time, while seeking potential commercial partners, we are maintaining IGALMI’s market presence with minimal commercial resources following our Clinical Prioritization in 2024. Our commercialization efforts are designed to build the foundation to launch additional potential follow-on indications. If IGALMI</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would be approved outside the U.S., we would consider launching the product through collaborations with third parties.</w:t>
      </w:r>
    </w:p>
    <w:p>
      <w:pPr>
        <w:spacing w:after="0" w:line="200" w:lineRule="exact"/>
        <w:rPr>
          <w:sz w:val="20"/>
          <w:szCs w:val="20"/>
          <w:color w:val="auto"/>
        </w:rPr>
      </w:pPr>
    </w:p>
    <w:p>
      <w:pPr>
        <w:spacing w:after="0" w:line="39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260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606415"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0" w:name="page41"/>
    <w:bookmarkEnd w:id="4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Our Neuroscience Clinical Programs and Investigator-Sponsored Trials</w:t>
      </w:r>
    </w:p>
    <w:p>
      <w:pPr>
        <w:spacing w:after="0" w:line="229" w:lineRule="exact"/>
        <w:rPr>
          <w:sz w:val="20"/>
          <w:szCs w:val="20"/>
          <w:color w:val="auto"/>
        </w:rPr>
      </w:pPr>
    </w:p>
    <w:p>
      <w:pPr>
        <w:ind w:left="60" w:right="239" w:firstLine="324"/>
        <w:spacing w:after="0" w:line="282" w:lineRule="auto"/>
        <w:rPr>
          <w:sz w:val="20"/>
          <w:szCs w:val="20"/>
          <w:color w:val="auto"/>
        </w:rPr>
      </w:pPr>
      <w:r>
        <w:rPr>
          <w:rFonts w:ascii="Times New Roman" w:cs="Times New Roman" w:eastAsia="Times New Roman" w:hAnsi="Times New Roman"/>
          <w:sz w:val="18"/>
          <w:szCs w:val="18"/>
          <w:color w:val="auto"/>
        </w:rPr>
        <w:t>The following is a summary of the status of our major neuroscience clinical development programs and investigator-sponsored trials as of the date of this Quarterly Report on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114300</wp:posOffset>
            </wp:positionV>
            <wp:extent cx="5503545" cy="283781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503545" cy="28378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About BXCL501</w:t>
      </w:r>
    </w:p>
    <w:p>
      <w:pPr>
        <w:spacing w:after="0" w:line="189" w:lineRule="exact"/>
        <w:rPr>
          <w:sz w:val="20"/>
          <w:szCs w:val="20"/>
          <w:color w:val="auto"/>
        </w:rPr>
      </w:pPr>
    </w:p>
    <w:p>
      <w:pPr>
        <w:ind w:left="60" w:right="159" w:firstLine="324"/>
        <w:spacing w:after="0" w:line="233" w:lineRule="auto"/>
        <w:rPr>
          <w:sz w:val="20"/>
          <w:szCs w:val="20"/>
          <w:color w:val="auto"/>
        </w:rPr>
      </w:pPr>
      <w:r>
        <w:rPr>
          <w:rFonts w:ascii="Times New Roman" w:cs="Times New Roman" w:eastAsia="Times New Roman" w:hAnsi="Times New Roman"/>
          <w:sz w:val="18"/>
          <w:szCs w:val="18"/>
          <w:color w:val="auto"/>
        </w:rPr>
        <w:t>BXCL501 is our most advanced neuroscience clinical candidate. In indications other than those approved by the FDA as IGALMI</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BXCL501 is an investigational, proprietary, orally dissolving sublingual film formulation of dexmedetomidine, a selective alpha-2 receptor agonist, targeting symptoms from stress-related behaviors such as agitation. BXCL501 is currently being evaluated for the acute treatment of agitation related to bipolar disorders or schizophrenia in the at-home setting.</w:t>
      </w:r>
    </w:p>
    <w:p>
      <w:pPr>
        <w:spacing w:after="0" w:line="175" w:lineRule="exact"/>
        <w:rPr>
          <w:sz w:val="20"/>
          <w:szCs w:val="20"/>
          <w:color w:val="auto"/>
        </w:rPr>
      </w:pPr>
    </w:p>
    <w:p>
      <w:pPr>
        <w:ind w:left="60" w:right="159" w:firstLine="324"/>
        <w:spacing w:after="0" w:line="253" w:lineRule="auto"/>
        <w:rPr>
          <w:sz w:val="20"/>
          <w:szCs w:val="20"/>
          <w:color w:val="auto"/>
        </w:rPr>
      </w:pPr>
      <w:r>
        <w:rPr>
          <w:rFonts w:ascii="Times New Roman" w:cs="Times New Roman" w:eastAsia="Times New Roman" w:hAnsi="Times New Roman"/>
          <w:sz w:val="18"/>
          <w:szCs w:val="18"/>
          <w:color w:val="auto"/>
        </w:rPr>
        <w:t>As a selective adrenergic agent with a sublingual or buccal route of administration, BXCL501 is designed to be easily administered and has shown a relatively rapid onset of action in multiple clinical trials, including those studying patients with bipolar disorders, schizophrenia, and Alzheimer’s disease. We believe results from these studies suggest that BXCL501 has the potential to reduce agitation without producing excessive sedation. We also believe BXCL501 is highly differentiated from antipsychotics, which are currently used as first-line standard-of-care treatment for agitation despite often producing unwanted side effects such as excessive sedation or extra pyramidal motor effects. Managing patient agitation in neuropsychiatric and neurodegenerative disorders represents a significant challenge for physicians and caregivers. We believe BXCL501 has the potential to address these challenges and, if approved for the respective indications, has the potential to become the standard of care for the acute treatment of agitation associated with these disorders.</w:t>
      </w:r>
    </w:p>
    <w:p>
      <w:pPr>
        <w:spacing w:after="0" w:line="154" w:lineRule="exact"/>
        <w:rPr>
          <w:sz w:val="20"/>
          <w:szCs w:val="20"/>
          <w:color w:val="auto"/>
        </w:rPr>
      </w:pPr>
    </w:p>
    <w:p>
      <w:pPr>
        <w:ind w:left="60" w:right="379" w:firstLine="324"/>
        <w:spacing w:after="0" w:line="258" w:lineRule="auto"/>
        <w:rPr>
          <w:sz w:val="20"/>
          <w:szCs w:val="20"/>
          <w:color w:val="auto"/>
        </w:rPr>
      </w:pPr>
      <w:r>
        <w:rPr>
          <w:rFonts w:ascii="Times New Roman" w:cs="Times New Roman" w:eastAsia="Times New Roman" w:hAnsi="Times New Roman"/>
          <w:sz w:val="18"/>
          <w:szCs w:val="18"/>
          <w:color w:val="auto"/>
        </w:rPr>
        <w:t>In addition, based on its potential mechanism of action, we believe BXCL501 has the potential to address some symptoms of several additional diseases or conditions, including opioid use disorder (“OUD”), acute stress disorder (“ASD”) and post-traumatic stress disorder (“PTSD”). BXCL501 is currently being evaluated for treatment of patients with those conditions in clinical trials sponsored by leading academic research institutions. See Government-Supported Investigator-Sponsored Trials (“ISTs”) below.</w:t>
      </w:r>
    </w:p>
    <w:p>
      <w:pPr>
        <w:spacing w:after="0" w:line="39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260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606415"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1" w:name="page42"/>
    <w:bookmarkEnd w:id="4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BXCL501 Late-Stage Clinical Programs</w:t>
      </w:r>
    </w:p>
    <w:p>
      <w:pPr>
        <w:spacing w:after="0" w:line="19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7"/>
          <w:szCs w:val="17"/>
          <w:b w:val="1"/>
          <w:bCs w:val="1"/>
          <w:color w:val="auto"/>
        </w:rPr>
        <w:t>SERENITY Program: Acute Treatment of Agitation Associated with Bipolar I or II Disorder or Schizophrenia</w:t>
      </w:r>
    </w:p>
    <w:p>
      <w:pPr>
        <w:spacing w:after="0" w:line="200" w:lineRule="exact"/>
        <w:rPr>
          <w:sz w:val="20"/>
          <w:szCs w:val="20"/>
          <w:color w:val="auto"/>
        </w:rPr>
      </w:pPr>
    </w:p>
    <w:p>
      <w:pPr>
        <w:ind w:left="60" w:right="179" w:firstLine="324"/>
        <w:spacing w:after="0" w:line="239" w:lineRule="auto"/>
        <w:rPr>
          <w:sz w:val="20"/>
          <w:szCs w:val="20"/>
          <w:color w:val="auto"/>
        </w:rPr>
      </w:pPr>
      <w:r>
        <w:rPr>
          <w:rFonts w:ascii="Times New Roman" w:cs="Times New Roman" w:eastAsia="Times New Roman" w:hAnsi="Times New Roman"/>
          <w:sz w:val="18"/>
          <w:szCs w:val="18"/>
          <w:color w:val="auto"/>
        </w:rPr>
        <w:t>Under our SERENITY program, we are focused on the continued development of BXCL501 (currently marketed and commercialized as IGALMI</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as a potential treatment option for agitation associated with bipolar I or II disorder or schizophrenia in the at-home setting. The Company is currently advancing its SERENITY At-Home pivotal Phase 3 trial, which is designed as a double-blind, placebo-controlled study to evaluate the safety of a 120 mcg dose of BXCL501 in 200 patients for acute treatment of agitation associated with bipolar disorders or schizophrenia in the at-home setting. We also plan to initiate a clinical study designed to enroll approximately 30 patient-informant dyads to evaluate the correlation between patient-and informant-reported efficacy measurement and the Positive and Negative Syndrome Scale-Excitatory Component (“PEC”) scale, conducted by trained raters as recommended by the FDA.</w:t>
      </w:r>
    </w:p>
    <w:p>
      <w:pPr>
        <w:spacing w:after="0" w:line="163" w:lineRule="exact"/>
        <w:rPr>
          <w:sz w:val="20"/>
          <w:szCs w:val="20"/>
          <w:color w:val="auto"/>
        </w:rPr>
      </w:pPr>
    </w:p>
    <w:p>
      <w:pPr>
        <w:ind w:left="60" w:right="139" w:firstLine="324"/>
        <w:spacing w:after="0" w:line="236" w:lineRule="auto"/>
        <w:rPr>
          <w:sz w:val="20"/>
          <w:szCs w:val="20"/>
          <w:color w:val="auto"/>
        </w:rPr>
      </w:pPr>
      <w:r>
        <w:rPr>
          <w:rFonts w:ascii="Times New Roman" w:cs="Times New Roman" w:eastAsia="Times New Roman" w:hAnsi="Times New Roman"/>
          <w:sz w:val="18"/>
          <w:szCs w:val="18"/>
          <w:color w:val="auto"/>
        </w:rPr>
        <w:t>Following engagement with and feedback from FDA, on September 5, 2024, we announced the initiation of the SERENITY At-Home trial, followed by our announcement on November 12, 2024 that the first patient had been randomized. On May 12, 2025, we announced the trial was fully enrolled, and that more than 165 patients had been dosed. Topline data results, which are expected in the second half of 2025, are intended to support a supplemental new drug application (“sNDA”) submission to potentially expand the label of IGALMI</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into the at-home setting, beyond its current indication for use under healthcare provider supervision.</w:t>
      </w:r>
    </w:p>
    <w:p>
      <w:pPr>
        <w:spacing w:after="0" w:line="169" w:lineRule="exact"/>
        <w:rPr>
          <w:sz w:val="20"/>
          <w:szCs w:val="20"/>
          <w:color w:val="auto"/>
        </w:rPr>
      </w:pPr>
    </w:p>
    <w:p>
      <w:pPr>
        <w:ind w:left="60" w:right="959" w:firstLine="324"/>
        <w:spacing w:after="0" w:line="286" w:lineRule="auto"/>
        <w:rPr>
          <w:sz w:val="20"/>
          <w:szCs w:val="20"/>
          <w:color w:val="auto"/>
        </w:rPr>
      </w:pPr>
      <w:r>
        <w:rPr>
          <w:rFonts w:ascii="Times New Roman" w:cs="Times New Roman" w:eastAsia="Times New Roman" w:hAnsi="Times New Roman"/>
          <w:sz w:val="18"/>
          <w:szCs w:val="18"/>
          <w:b w:val="1"/>
          <w:bCs w:val="1"/>
          <w:color w:val="auto"/>
        </w:rPr>
        <w:t>TRANQUILITY Program: Acute Treatment of Agitation Associated with Dementia due to Probable Alzheimer’s Disease (“AAD”)</w:t>
      </w:r>
    </w:p>
    <w:p>
      <w:pPr>
        <w:spacing w:after="0" w:line="118" w:lineRule="exact"/>
        <w:rPr>
          <w:sz w:val="20"/>
          <w:szCs w:val="20"/>
          <w:color w:val="auto"/>
        </w:rPr>
      </w:pPr>
    </w:p>
    <w:p>
      <w:pPr>
        <w:ind w:left="60" w:right="179" w:firstLine="324"/>
        <w:spacing w:after="0" w:line="256" w:lineRule="auto"/>
        <w:rPr>
          <w:sz w:val="20"/>
          <w:szCs w:val="20"/>
          <w:color w:val="auto"/>
        </w:rPr>
      </w:pPr>
      <w:r>
        <w:rPr>
          <w:rFonts w:ascii="Times New Roman" w:cs="Times New Roman" w:eastAsia="Times New Roman" w:hAnsi="Times New Roman"/>
          <w:sz w:val="18"/>
          <w:szCs w:val="18"/>
          <w:color w:val="auto"/>
        </w:rPr>
        <w:t>Under our TRANQUILITY program, we are evaluating BXCL501 as a potential treatment option for the acute treatment of agitation associated with Alzheimer’s dementia (“AAD”). On June 29, 2023, we announced positive topline results from our TRANQUILITY II Phase 3 trial. The randomized, double-blind, placebo-controlled, parallel group trial evaluated the safety and efficacy of BXCL501 for the acute treatment of AAD in adults 65 years and older with mild to moderate dementia in assisted living facilities and residential care settings who required minimal assistance with activities of daily living.</w:t>
      </w:r>
    </w:p>
    <w:p>
      <w:pPr>
        <w:spacing w:after="0" w:line="147" w:lineRule="exact"/>
        <w:rPr>
          <w:sz w:val="20"/>
          <w:szCs w:val="20"/>
          <w:color w:val="auto"/>
        </w:rPr>
      </w:pPr>
    </w:p>
    <w:p>
      <w:pPr>
        <w:ind w:left="60" w:right="259" w:firstLine="324"/>
        <w:spacing w:after="0" w:line="254" w:lineRule="auto"/>
        <w:rPr>
          <w:sz w:val="20"/>
          <w:szCs w:val="20"/>
          <w:color w:val="auto"/>
        </w:rPr>
      </w:pPr>
      <w:r>
        <w:rPr>
          <w:rFonts w:ascii="Times New Roman" w:cs="Times New Roman" w:eastAsia="Times New Roman" w:hAnsi="Times New Roman"/>
          <w:sz w:val="18"/>
          <w:szCs w:val="18"/>
          <w:color w:val="auto"/>
        </w:rPr>
        <w:t>On June 29, 2023, we also announced that we had learned that an investigator in the TRANQUILITY II study engaged in misconduct. Since that time, we have taken steps to further investigate and evaluate the conduct of the trial at the investigator’s clinical site. On October 25, 2023, we announced that an independent third-party audit of data integrity at the trial site did not identify any findings that they believed impacted the data reliability or integrity, nor did they find any evidence of additional misconduct or fraud. On March 3, 2025, we announced that the FDA concluded that the inspection of the single site in the trial was closed under 21 C.F.R.20.64(d)(3) and released the Establishment Inspection Report, designating “Voluntary Action Indicated” for the site. Based on these steps to date, we believe that there have been no further instances of misconduct or fraud or other findings that adversely impact the data integrity or reliability of the eligibility, safety, and efficacy data obtained at the clinical trial site in question.</w:t>
      </w:r>
    </w:p>
    <w:p>
      <w:pPr>
        <w:spacing w:after="0" w:line="161" w:lineRule="exact"/>
        <w:rPr>
          <w:sz w:val="20"/>
          <w:szCs w:val="20"/>
          <w:color w:val="auto"/>
        </w:rPr>
      </w:pPr>
    </w:p>
    <w:p>
      <w:pPr>
        <w:ind w:left="60" w:right="219" w:firstLine="324"/>
        <w:spacing w:after="0" w:line="255" w:lineRule="auto"/>
        <w:rPr>
          <w:sz w:val="20"/>
          <w:szCs w:val="20"/>
          <w:color w:val="auto"/>
        </w:rPr>
      </w:pPr>
      <w:r>
        <w:rPr>
          <w:rFonts w:ascii="Times New Roman" w:cs="Times New Roman" w:eastAsia="Times New Roman" w:hAnsi="Times New Roman"/>
          <w:sz w:val="18"/>
          <w:szCs w:val="18"/>
          <w:color w:val="auto"/>
        </w:rPr>
        <w:t>Based on subsequent meetings with and feedback from the FDA, we plan to generate additional Phase 3 efficacy and safety data, in relevant care-facility settings and across severity of dementia, in our TRANQUILITY In-Care trial. On September 5, 2024, we submitted to the FDA the proposed protocol for the trial, a double-blind, placebo-controlled study to evaluate the efficacy and safety of a 60 mcg dose of BXCL501 for acute treatment of AAD in the care setting. On November 12, 2024, we announced that we had received FDA feedback on the proposed protocol. The Company is advancing plans for initiation of the trial upon funding. At a future meeting with the FDA, we plan to further discuss our trial design and the details of the requirement for long-term safety data.</w:t>
      </w:r>
    </w:p>
    <w:p>
      <w:pPr>
        <w:spacing w:after="0" w:line="14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Pediatric Study</w:t>
      </w:r>
    </w:p>
    <w:p>
      <w:pPr>
        <w:spacing w:after="0" w:line="189" w:lineRule="exact"/>
        <w:rPr>
          <w:sz w:val="20"/>
          <w:szCs w:val="20"/>
          <w:color w:val="auto"/>
        </w:rPr>
      </w:pPr>
    </w:p>
    <w:p>
      <w:pPr>
        <w:ind w:left="60" w:right="339" w:firstLine="324"/>
        <w:spacing w:after="0" w:line="243" w:lineRule="auto"/>
        <w:rPr>
          <w:sz w:val="20"/>
          <w:szCs w:val="20"/>
          <w:color w:val="auto"/>
        </w:rPr>
      </w:pPr>
      <w:r>
        <w:rPr>
          <w:rFonts w:ascii="Times New Roman" w:cs="Times New Roman" w:eastAsia="Times New Roman" w:hAnsi="Times New Roman"/>
          <w:sz w:val="17"/>
          <w:szCs w:val="17"/>
          <w:color w:val="auto"/>
        </w:rPr>
        <w:t>In June 2021, we initiated a clinical trial designed to evaluate the safety and efficacy of BXCL501 in the acute treatment of agitation associated with schizophrenia or bipolar disorders to fulfill pediatric study requirements agreed to with the FDA in connection with the approval of IGALMI</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7"/>
          <w:szCs w:val="17"/>
          <w:color w:val="auto"/>
        </w:rPr>
        <w:t>. The trial protocol has been reviewed and agreed to by the FDA, to fulfill the commitment to study BXCL501 in pediatric patients ages 13 to 17 with schizophrenia and ages 10 to</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1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260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606415"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2" w:name="page43"/>
    <w:bookmarkEnd w:id="4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99"/>
        <w:spacing w:after="0" w:line="258" w:lineRule="auto"/>
        <w:rPr>
          <w:sz w:val="20"/>
          <w:szCs w:val="20"/>
          <w:color w:val="auto"/>
        </w:rPr>
      </w:pPr>
      <w:r>
        <w:rPr>
          <w:rFonts w:ascii="Times New Roman" w:cs="Times New Roman" w:eastAsia="Times New Roman" w:hAnsi="Times New Roman"/>
          <w:sz w:val="18"/>
          <w:szCs w:val="18"/>
          <w:color w:val="auto"/>
        </w:rPr>
        <w:t>17 with bipolar disorders. Enrollment of patients with schizophrenia, schizoaffective disorder, bipolar I, and bipolar II disorder is ongoing in this multi-site, double-blind, placebo-controlled parallel group trial. Approximately 63% of the 150 total subjects have been enrolled in the U.S. and 95 of such subjects have completed the clinical trial. Similar to our registration trials in schizophrenia and bipolar disorder (SERENITY I and II), the primary endpoint is the change from baseline PEC total score at two hours.</w:t>
      </w:r>
    </w:p>
    <w:p>
      <w:pPr>
        <w:spacing w:after="0" w:line="183" w:lineRule="exact"/>
        <w:rPr>
          <w:sz w:val="20"/>
          <w:szCs w:val="20"/>
          <w:color w:val="auto"/>
        </w:rPr>
      </w:pPr>
    </w:p>
    <w:p>
      <w:pPr>
        <w:ind w:left="60" w:right="199" w:firstLine="324"/>
        <w:spacing w:after="0" w:line="266" w:lineRule="auto"/>
        <w:rPr>
          <w:sz w:val="20"/>
          <w:szCs w:val="20"/>
          <w:color w:val="auto"/>
        </w:rPr>
      </w:pPr>
      <w:r>
        <w:rPr>
          <w:rFonts w:ascii="Times New Roman" w:cs="Times New Roman" w:eastAsia="Times New Roman" w:hAnsi="Times New Roman"/>
          <w:sz w:val="18"/>
          <w:szCs w:val="18"/>
          <w:color w:val="auto"/>
        </w:rPr>
        <w:t>In October 2024, we submitted a request to the FDA for a deferral extension to complete enrollment requirements for pediatric patients with schizophrenia or schizoaffective disorder. The FDA granted a 3-year extension to complete the study.</w:t>
      </w:r>
    </w:p>
    <w:p>
      <w:pPr>
        <w:spacing w:after="0" w:line="16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IGALMI</w:t>
      </w:r>
      <w:r>
        <w:rPr>
          <w:rFonts w:ascii="Times New Roman" w:cs="Times New Roman" w:eastAsia="Times New Roman" w:hAnsi="Times New Roman"/>
          <w:sz w:val="26"/>
          <w:szCs w:val="26"/>
          <w:b w:val="1"/>
          <w:bCs w:val="1"/>
          <w:color w:val="auto"/>
          <w:vertAlign w:val="superscript"/>
        </w:rPr>
        <w:t>®</w:t>
      </w:r>
      <w:r>
        <w:rPr>
          <w:rFonts w:ascii="Times New Roman" w:cs="Times New Roman" w:eastAsia="Times New Roman" w:hAnsi="Times New Roman"/>
          <w:sz w:val="18"/>
          <w:szCs w:val="18"/>
          <w:b w:val="1"/>
          <w:bCs w:val="1"/>
          <w:color w:val="auto"/>
        </w:rPr>
        <w:t xml:space="preserve"> Post-Marketing Requirement Study</w:t>
      </w:r>
    </w:p>
    <w:p>
      <w:pPr>
        <w:spacing w:after="0" w:line="118" w:lineRule="exact"/>
        <w:rPr>
          <w:sz w:val="20"/>
          <w:szCs w:val="20"/>
          <w:color w:val="auto"/>
        </w:rPr>
      </w:pPr>
    </w:p>
    <w:p>
      <w:pPr>
        <w:ind w:left="60" w:right="399" w:firstLine="324"/>
        <w:spacing w:after="0" w:line="221" w:lineRule="auto"/>
        <w:rPr>
          <w:sz w:val="20"/>
          <w:szCs w:val="20"/>
          <w:color w:val="auto"/>
        </w:rPr>
      </w:pPr>
      <w:r>
        <w:rPr>
          <w:rFonts w:ascii="Times New Roman" w:cs="Times New Roman" w:eastAsia="Times New Roman" w:hAnsi="Times New Roman"/>
          <w:sz w:val="18"/>
          <w:szCs w:val="18"/>
          <w:color w:val="auto"/>
        </w:rPr>
        <w:t>On June 25, 2024, we announced topline results from our post-marketing requirement study evaluating whether tolerance, tachyphylaxis, or withdrawal occur following repeat dosing of IGALMI</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During the single-arm, open-label study, 28 inpatient adults with frequent episodes of agitation associated with bipolar disorders or schizophrenia self-administered 180 mcg dose of IGALMI</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as needed over seven days. A total of 83 episodes were treated. There was no evidence of tachyphylaxis, tolerance, or withdrawal, and IGALMI</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was generally well tolerated.</w:t>
      </w:r>
    </w:p>
    <w:p>
      <w:pPr>
        <w:spacing w:after="0" w:line="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Additional Neuroscience Opportunities</w:t>
      </w:r>
    </w:p>
    <w:p>
      <w:pPr>
        <w:spacing w:after="0" w:line="18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BXCL501 Pipeline Opportunities for Franchise Expansion</w:t>
      </w:r>
    </w:p>
    <w:p>
      <w:pPr>
        <w:spacing w:after="0" w:line="189" w:lineRule="exact"/>
        <w:rPr>
          <w:sz w:val="20"/>
          <w:szCs w:val="20"/>
          <w:color w:val="auto"/>
        </w:rPr>
      </w:pPr>
    </w:p>
    <w:p>
      <w:pPr>
        <w:ind w:left="60" w:right="519" w:firstLine="324"/>
        <w:spacing w:after="0" w:line="282" w:lineRule="auto"/>
        <w:rPr>
          <w:sz w:val="20"/>
          <w:szCs w:val="20"/>
          <w:color w:val="auto"/>
        </w:rPr>
      </w:pPr>
      <w:r>
        <w:rPr>
          <w:rFonts w:ascii="Times New Roman" w:cs="Times New Roman" w:eastAsia="Times New Roman" w:hAnsi="Times New Roman"/>
          <w:sz w:val="18"/>
          <w:szCs w:val="18"/>
          <w:color w:val="auto"/>
        </w:rPr>
        <w:t>Based on its potential mechanism of action, we believe BXCL501 has the potential for broad applicability across several indications where agitation is a symptom of a condition or underlying disease.</w:t>
      </w:r>
    </w:p>
    <w:p>
      <w:pPr>
        <w:spacing w:after="0" w:line="13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Government-Supported Investigator-Sponsored Trials (“ISTs”)</w:t>
      </w:r>
    </w:p>
    <w:p>
      <w:pPr>
        <w:spacing w:after="0" w:line="229" w:lineRule="exact"/>
        <w:rPr>
          <w:sz w:val="20"/>
          <w:szCs w:val="20"/>
          <w:color w:val="auto"/>
        </w:rPr>
      </w:pPr>
    </w:p>
    <w:p>
      <w:pPr>
        <w:ind w:left="60" w:right="219" w:firstLine="324"/>
        <w:spacing w:after="0" w:line="254" w:lineRule="auto"/>
        <w:rPr>
          <w:sz w:val="20"/>
          <w:szCs w:val="20"/>
          <w:color w:val="auto"/>
        </w:rPr>
      </w:pPr>
      <w:r>
        <w:rPr>
          <w:rFonts w:ascii="Times New Roman" w:cs="Times New Roman" w:eastAsia="Times New Roman" w:hAnsi="Times New Roman"/>
          <w:sz w:val="18"/>
          <w:szCs w:val="18"/>
          <w:color w:val="auto"/>
        </w:rPr>
        <w:t>Our research partners have been awarded grants for the development of BXCL501 in alcohol use disorder (“AUD”) with comorbid post-traumatic stress disorder (“PTSD”), opioid use disorder (“OUD”), and acute stress disorder (“ASD”). The Company is providing regulatory and operational support and supplying investigational product for these development opportunities, which are being funded through Cooperative Agreements with the U.S. Department of Defense Congressionally Directed Medical Research Program and National Institute on Drug Abuse (“NIDA”). Clinical and regulatory responsibilities are led by clinical researchers and regulatory staff at the Veterans Affairs Connecticut Healthcare System, Yale University Medical School, RTI International, Columbia University New York State Psychiatric Institute, and University of North Carolina at Chapel Hill.</w:t>
      </w:r>
    </w:p>
    <w:p>
      <w:pPr>
        <w:spacing w:after="0" w:line="1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Opioid Use Disorder (“OUD”)</w:t>
      </w:r>
    </w:p>
    <w:p>
      <w:pPr>
        <w:spacing w:after="0" w:line="229" w:lineRule="exact"/>
        <w:rPr>
          <w:sz w:val="20"/>
          <w:szCs w:val="20"/>
          <w:color w:val="auto"/>
        </w:rPr>
      </w:pPr>
    </w:p>
    <w:p>
      <w:pPr>
        <w:ind w:left="60" w:right="179" w:firstLine="405"/>
        <w:spacing w:after="0" w:line="253" w:lineRule="auto"/>
        <w:rPr>
          <w:sz w:val="20"/>
          <w:szCs w:val="20"/>
          <w:color w:val="auto"/>
        </w:rPr>
      </w:pPr>
      <w:r>
        <w:rPr>
          <w:rFonts w:ascii="Times New Roman" w:cs="Times New Roman" w:eastAsia="Times New Roman" w:hAnsi="Times New Roman"/>
          <w:sz w:val="18"/>
          <w:szCs w:val="18"/>
          <w:color w:val="auto"/>
        </w:rPr>
        <w:t xml:space="preserve">As the Company previously announced, NIDA awarded a grant to Columbia University to fund clinical testing of BXCL501 as a potential treatment for opioid withdrawal symptoms in patients diagnosed with OUD. The original 160-patient, three-site, four-arm </w:t>
      </w:r>
      <w:r>
        <w:rPr>
          <w:rFonts w:ascii="Times New Roman" w:cs="Times New Roman" w:eastAsia="Times New Roman" w:hAnsi="Times New Roman"/>
          <w:sz w:val="18"/>
          <w:szCs w:val="18"/>
          <w:color w:val="212121"/>
        </w:rPr>
        <w:t>study is a randomized, double-blind, double-dummy inpatient study comparing BXCL501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12121"/>
        </w:rPr>
        <w:t xml:space="preserve">(180 mcg and 240 mcg BID), lofexidine (as a positive control), and placebo. The study’s goal is to evaluate the safety and efficacy of BXCL501 relative to lofexidine and placebo in subjects with OUD. A majority of OUD patients participating in the study are anticipated to be exposed to </w:t>
      </w:r>
      <w:r>
        <w:rPr>
          <w:rFonts w:ascii="Times New Roman" w:cs="Times New Roman" w:eastAsia="Times New Roman" w:hAnsi="Times New Roman"/>
          <w:sz w:val="18"/>
          <w:szCs w:val="18"/>
          <w:color w:val="000000"/>
        </w:rPr>
        <w:t>fentanyl adulterated or associated with xylazine</w:t>
      </w:r>
      <w:r>
        <w:rPr>
          <w:rFonts w:ascii="Times New Roman" w:cs="Times New Roman" w:eastAsia="Times New Roman" w:hAnsi="Times New Roman"/>
          <w:sz w:val="18"/>
          <w:szCs w:val="18"/>
          <w:color w:val="212121"/>
        </w:rPr>
        <w:t>. To date, a</w:t>
      </w:r>
      <w:r>
        <w:rPr>
          <w:rFonts w:ascii="Times New Roman" w:cs="Times New Roman" w:eastAsia="Times New Roman" w:hAnsi="Times New Roman"/>
          <w:sz w:val="18"/>
          <w:szCs w:val="18"/>
          <w:color w:val="000000"/>
        </w:rPr>
        <w:t>ll three initial sites</w:t>
      </w:r>
      <w:r>
        <w:rPr>
          <w:rFonts w:ascii="Times New Roman" w:cs="Times New Roman" w:eastAsia="Times New Roman" w:hAnsi="Times New Roman"/>
          <w:sz w:val="18"/>
          <w:szCs w:val="18"/>
          <w:color w:val="212121"/>
        </w:rPr>
        <w:t xml:space="preserve"> </w:t>
      </w:r>
      <w:r>
        <w:rPr>
          <w:rFonts w:ascii="Times New Roman" w:cs="Times New Roman" w:eastAsia="Times New Roman" w:hAnsi="Times New Roman"/>
          <w:sz w:val="18"/>
          <w:szCs w:val="18"/>
          <w:color w:val="000000"/>
        </w:rPr>
        <w:t>have recruited, enrolled, and dosed patients diagnosed with OUD who are physically dependent on opioids, including prescription opioids. The Company is supplying BXCL501 for the study, which is sponsored by Columbia University</w:t>
      </w:r>
      <w:r>
        <w:rPr>
          <w:rFonts w:ascii="Times New Roman" w:cs="Times New Roman" w:eastAsia="Times New Roman" w:hAnsi="Times New Roman"/>
          <w:sz w:val="18"/>
          <w:szCs w:val="18"/>
          <w:color w:val="212121"/>
        </w:rPr>
        <w:t>. We</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212121"/>
        </w:rPr>
        <w:t xml:space="preserve">expect that the results from current study will be used to select a recommended dose of BXCL501 to compare to placebo in a later outpatient Phase 3 study sponsored by </w:t>
      </w:r>
      <w:r>
        <w:rPr>
          <w:rFonts w:ascii="Times New Roman" w:cs="Times New Roman" w:eastAsia="Times New Roman" w:hAnsi="Times New Roman"/>
          <w:sz w:val="18"/>
          <w:szCs w:val="18"/>
          <w:color w:val="000000"/>
        </w:rPr>
        <w:t>NIDA.</w:t>
      </w:r>
    </w:p>
    <w:p>
      <w:pPr>
        <w:spacing w:after="0" w:line="19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Alcohol Use Disorder (“AUD”) with Comorbid Post-traumatic Stress Disorder (“PTSD”)</w:t>
      </w:r>
    </w:p>
    <w:p>
      <w:pPr>
        <w:spacing w:after="0" w:line="229" w:lineRule="exact"/>
        <w:rPr>
          <w:sz w:val="20"/>
          <w:szCs w:val="20"/>
          <w:color w:val="auto"/>
        </w:rPr>
      </w:pPr>
    </w:p>
    <w:p>
      <w:pPr>
        <w:ind w:left="60" w:right="319" w:firstLine="324"/>
        <w:spacing w:after="0" w:line="281" w:lineRule="auto"/>
        <w:rPr>
          <w:sz w:val="20"/>
          <w:szCs w:val="20"/>
          <w:color w:val="auto"/>
        </w:rPr>
      </w:pPr>
      <w:r>
        <w:rPr>
          <w:rFonts w:ascii="Times New Roman" w:cs="Times New Roman" w:eastAsia="Times New Roman" w:hAnsi="Times New Roman"/>
          <w:sz w:val="17"/>
          <w:szCs w:val="17"/>
          <w:color w:val="auto"/>
        </w:rPr>
        <w:t>In December 2020, the Veterans Affairs Connecticut Healthcare System and Yale University Medical School were awarded a grant by the U.S. Department of Defense’s Congressionally Directed Medical Research Program with the overall objective to evaluate BXCL501 in patients who suffer from AUD with comorbid PTSD. The Company provided BXCL501 for the inpatient Alcohol Interaction Study, which has been completed. We understand Yale is currently</w:t>
      </w:r>
    </w:p>
    <w:p>
      <w:pPr>
        <w:sectPr>
          <w:pgSz w:w="11900" w:h="16838" w:orient="portrait"/>
          <w:cols w:equalWidth="0" w:num="1">
            <w:col w:w="9019"/>
          </w:cols>
          <w:pgMar w:left="1440" w:top="513" w:right="1440" w:bottom="1440" w:gutter="0" w:footer="0" w:header="0"/>
        </w:sectPr>
      </w:pPr>
    </w:p>
    <w:p>
      <w:pPr>
        <w:spacing w:after="0" w:line="38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606415"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3" w:name="page44"/>
    <w:bookmarkEnd w:id="4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99"/>
        <w:spacing w:after="0" w:line="254" w:lineRule="auto"/>
        <w:rPr>
          <w:sz w:val="20"/>
          <w:szCs w:val="20"/>
          <w:color w:val="auto"/>
        </w:rPr>
      </w:pPr>
      <w:r>
        <w:rPr>
          <w:rFonts w:ascii="Times New Roman" w:cs="Times New Roman" w:eastAsia="Times New Roman" w:hAnsi="Times New Roman"/>
          <w:sz w:val="18"/>
          <w:szCs w:val="18"/>
          <w:color w:val="auto"/>
        </w:rPr>
        <w:t>seeking approval from its Institutional Review Board (“IRB”) and allowance from the FDA to proceed with a trial evaluating the effects of up to 80 mcg BID of BXCL501 per day for 28 days on alcohol consumption, PTSD symptoms, cognitive function, memory, sleep, and mood in patients diagnosed with mild, moderate, or severe AUD and who meet Criterion A for comorbid PTSD. The outpatient study has received funding approval from the Pharmacotherapies for Alcohol and Substance Use Disorders Alliance (funded through a Cooperative Agreement between the U.S. Department of Defense Congressionally Directed Medical Research Program and RTI International). Patient screening and enrollment is expected to begin in 2025. We believe study results may be used to inform a Phase 3 study intended to commence with support by the alliance.</w:t>
      </w:r>
    </w:p>
    <w:p>
      <w:pPr>
        <w:spacing w:after="0" w:line="18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Acute Stress Disorder (“ASD”)</w:t>
      </w:r>
    </w:p>
    <w:p>
      <w:pPr>
        <w:spacing w:after="0" w:line="229" w:lineRule="exact"/>
        <w:rPr>
          <w:sz w:val="20"/>
          <w:szCs w:val="20"/>
          <w:color w:val="auto"/>
        </w:rPr>
      </w:pPr>
    </w:p>
    <w:p>
      <w:pPr>
        <w:ind w:left="60" w:right="139" w:firstLine="324"/>
        <w:spacing w:after="0" w:line="256" w:lineRule="auto"/>
        <w:rPr>
          <w:sz w:val="20"/>
          <w:szCs w:val="20"/>
          <w:color w:val="auto"/>
        </w:rPr>
      </w:pPr>
      <w:r>
        <w:rPr>
          <w:rFonts w:ascii="Times New Roman" w:cs="Times New Roman" w:eastAsia="Times New Roman" w:hAnsi="Times New Roman"/>
          <w:sz w:val="18"/>
          <w:szCs w:val="18"/>
          <w:color w:val="auto"/>
        </w:rPr>
        <w:t>On October 15, 2024, we announced a U.S. Department of Defense grant to the University of North Carolina at Chapel Hill (“UNC”) to fund a study of BXCL501 for treating ASD. The award provides $2,800 to the UNC Institute for Trauma Recovery from September 15, 2024 through September 14, 2026 to evaluate the potential efficacy of BXCL501 to reduce ASD symptom severity and/or posttraumatic neuropsychiatric symptoms. The double-blind, placebo-controlled trial is expected to enroll 100 patients experiencing ASD resulting from motor vehicle collisions in 2025, with BXCL501 supplied by the Company.</w:t>
      </w:r>
    </w:p>
    <w:p>
      <w:pPr>
        <w:spacing w:after="0" w:line="15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BXCL502</w:t>
      </w:r>
    </w:p>
    <w:p>
      <w:pPr>
        <w:spacing w:after="0" w:line="189" w:lineRule="exact"/>
        <w:rPr>
          <w:sz w:val="20"/>
          <w:szCs w:val="20"/>
          <w:color w:val="auto"/>
        </w:rPr>
      </w:pPr>
    </w:p>
    <w:p>
      <w:pPr>
        <w:ind w:left="60" w:right="159" w:firstLine="324"/>
        <w:spacing w:after="0" w:line="254" w:lineRule="auto"/>
        <w:rPr>
          <w:sz w:val="20"/>
          <w:szCs w:val="20"/>
          <w:color w:val="auto"/>
        </w:rPr>
      </w:pPr>
      <w:r>
        <w:rPr>
          <w:rFonts w:ascii="Times New Roman" w:cs="Times New Roman" w:eastAsia="Times New Roman" w:hAnsi="Times New Roman"/>
          <w:sz w:val="18"/>
          <w:szCs w:val="18"/>
          <w:color w:val="auto"/>
        </w:rPr>
        <w:t>We identified a second neuropsychiatric drug candidate, BXCL502 − Latrepirdine (Dimebon) − through our AI-based platform. We had planned to evaluate BXCL502 initially as a monotherapy and possibly in combination with BXCL501 for the chronic treatment of agitation in patients with dementia and acute stress disorder. The active pharmaceutical ingredient (“API”) underlying BXCL502 affects serotonergic signaling in the brain. Our preclinical data suggests BXCL502 has the potential to treat stress-related neuropsychiatric symptoms in dementia and other stress-related disorders. In previously published third-party clinical trial data, daily administration of the API of BXCL502 demonstrated improvement in behaviors using a well-established, clinically validated symptom scale. Formulation and further clinical development planning for BXCL502 was paused as part of the Reprioritization.</w:t>
      </w:r>
    </w:p>
    <w:p>
      <w:pPr>
        <w:spacing w:after="0" w:line="14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Additional Product Candidates Identified Leveraging our AI Platform</w:t>
      </w:r>
    </w:p>
    <w:p>
      <w:pPr>
        <w:spacing w:after="0" w:line="202" w:lineRule="exact"/>
        <w:rPr>
          <w:sz w:val="20"/>
          <w:szCs w:val="20"/>
          <w:color w:val="auto"/>
        </w:rPr>
      </w:pPr>
    </w:p>
    <w:p>
      <w:pPr>
        <w:ind w:left="60" w:right="199" w:firstLine="324"/>
        <w:spacing w:after="0" w:line="254" w:lineRule="auto"/>
        <w:rPr>
          <w:sz w:val="20"/>
          <w:szCs w:val="20"/>
          <w:color w:val="auto"/>
        </w:rPr>
      </w:pPr>
      <w:r>
        <w:rPr>
          <w:rFonts w:ascii="Times New Roman" w:cs="Times New Roman" w:eastAsia="Times New Roman" w:hAnsi="Times New Roman"/>
          <w:sz w:val="18"/>
          <w:szCs w:val="18"/>
          <w:color w:val="auto"/>
        </w:rPr>
        <w:t>Our AI platform is comprised of a series of customized and specific AI applications aimed at identifying, predicting efficacy and testing of late-stage assets with known mechanisms of action and associated pharmacology and safety data. We target neuropsychiatric and neurological rare disorders, where the compounds are either disease-modifying or symptom-mitigating. Compounds are tested in relevant models of disease and rank-ordered based on the potential to enter the clinic and ease of development. Disease areas of interest are stress-related such as agitation, or neuropsychiatric symptoms associated with dementia and responsible for increased levels of healthcare burden. For example, our pipeline concepts BXCL503 and BXCL504 putatively have the potential to address apathy and aggression in dementia, respectively. Further development of these concepts is currently paused.</w:t>
      </w:r>
    </w:p>
    <w:p>
      <w:pPr>
        <w:spacing w:after="0" w:line="14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Neuroscience Intellectual Property</w:t>
      </w:r>
    </w:p>
    <w:p>
      <w:pPr>
        <w:spacing w:after="0" w:line="189" w:lineRule="exact"/>
        <w:rPr>
          <w:sz w:val="20"/>
          <w:szCs w:val="20"/>
          <w:color w:val="auto"/>
        </w:rPr>
      </w:pPr>
    </w:p>
    <w:p>
      <w:pPr>
        <w:ind w:left="60" w:right="179" w:firstLine="324"/>
        <w:spacing w:after="0" w:line="255" w:lineRule="auto"/>
        <w:rPr>
          <w:sz w:val="20"/>
          <w:szCs w:val="20"/>
          <w:color w:val="auto"/>
        </w:rPr>
      </w:pPr>
      <w:r>
        <w:rPr>
          <w:rFonts w:ascii="Times New Roman" w:cs="Times New Roman" w:eastAsia="Times New Roman" w:hAnsi="Times New Roman"/>
          <w:sz w:val="18"/>
          <w:szCs w:val="18"/>
          <w:color w:val="auto"/>
        </w:rPr>
        <w:t>Our policy is to protect and enhance the proprietary technologies, inventions, and improvements that are commercially important to our business by filing patent applications in the U.S. and other jurisdictions related to our proprietary technology, inventions, improvements, and product candidates. We also rely on trademarks, trade secrets, and know-how relating to our proprietary technologies and product candidates, continuing innovation, and in-licensing technology and products. This reliance is expected to develop, maintain, and strengthen our proprietary position for novel therapeutics and novel formulations of existing therapeutics across multiple therapeutic areas. We also plan to rely on data exclusivity, market exclusivity, and patent term extensions when available.</w:t>
      </w:r>
    </w:p>
    <w:p>
      <w:pPr>
        <w:spacing w:after="0" w:line="189" w:lineRule="exact"/>
        <w:rPr>
          <w:sz w:val="20"/>
          <w:szCs w:val="20"/>
          <w:color w:val="auto"/>
        </w:rPr>
      </w:pPr>
    </w:p>
    <w:p>
      <w:pPr>
        <w:jc w:val="both"/>
        <w:ind w:left="60" w:right="199" w:firstLine="324"/>
        <w:spacing w:after="0" w:line="258" w:lineRule="auto"/>
        <w:rPr>
          <w:sz w:val="20"/>
          <w:szCs w:val="20"/>
          <w:color w:val="auto"/>
        </w:rPr>
      </w:pPr>
      <w:r>
        <w:rPr>
          <w:rFonts w:ascii="Times New Roman" w:cs="Times New Roman" w:eastAsia="Times New Roman" w:hAnsi="Times New Roman"/>
          <w:sz w:val="18"/>
          <w:szCs w:val="18"/>
          <w:color w:val="auto"/>
        </w:rPr>
        <w:t>We have multiple patent families filed to protect our neuroscience program, including BXCL501. As of May 1, 2025, our neuroscience patent portfolio included five Patent Cooperation Treaty (“PCT”) applications not yet in national phase, 14 U.S. utility applications, 16 issued U.S. utility patents, 62 pending non-U.S. utility applications, 26 allowed or granted non-U.S. patents (including four in Japan), one pending U.S. design patent application, and two registered design patents in Japan. Thirteen U.S. utility patents, directed to our proprietary sublingual film formulation</w:t>
      </w:r>
    </w:p>
    <w:p>
      <w:pPr>
        <w:sectPr>
          <w:pgSz w:w="11900" w:h="16838" w:orient="portrait"/>
          <w:cols w:equalWidth="0" w:num="1">
            <w:col w:w="9019"/>
          </w:cols>
          <w:pgMar w:left="1440" w:top="513" w:right="1440" w:bottom="1440" w:gutter="0" w:footer="0" w:header="0"/>
        </w:sectPr>
      </w:pPr>
    </w:p>
    <w:p>
      <w:pPr>
        <w:spacing w:after="0" w:line="39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254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606415"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4" w:name="page45"/>
    <w:bookmarkEnd w:id="4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39"/>
        <w:spacing w:after="0" w:line="242" w:lineRule="auto"/>
        <w:rPr>
          <w:sz w:val="20"/>
          <w:szCs w:val="20"/>
          <w:color w:val="auto"/>
        </w:rPr>
      </w:pPr>
      <w:r>
        <w:rPr>
          <w:rFonts w:ascii="Times New Roman" w:cs="Times New Roman" w:eastAsia="Times New Roman" w:hAnsi="Times New Roman"/>
          <w:sz w:val="18"/>
          <w:szCs w:val="18"/>
          <w:color w:val="auto"/>
        </w:rPr>
        <w:t>of dexmedetomidine and methods of treating agitation, are listed in the FDA’s Approved Drug Products with Therapeutic Equivalence Evaluations (commonly known as the “Orange Book”) for IGALMI</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with expiration dates between 2037 and 2043. In the formulation family, we have granted or allowed patents in China, Europe, Eurasia, Japan, Mexico, and the U.S., and pending applications in the U.S., China, and other major markets. We expect that patents issued in this family will expire no earlier than 2039. We have also filed applications in additional patent families that are relevant to BXCL501. We have one granted European patent and applications pending in the U.S. and Japan directed to methods of treating insomnia using sublingual dexmedetomidine. We expect that patents issued from these applications will expire no earlier than 2035. We also have granted patents and pending applications filed in major markets, including the U.S., Europe, Japan, and China, directed to methods of treating agitation. We expect that patents issued from these applications will expire between 2039 and 2043. We also have four PCT applications directed to treating mania, depression, stress, and agitation. If patents are issued from those cases, we expect them to expire in 2043 or 2044.</w:t>
      </w:r>
    </w:p>
    <w:p>
      <w:pPr>
        <w:spacing w:after="0" w:line="203" w:lineRule="exact"/>
        <w:rPr>
          <w:sz w:val="20"/>
          <w:szCs w:val="20"/>
          <w:color w:val="auto"/>
        </w:rPr>
      </w:pPr>
    </w:p>
    <w:p>
      <w:pPr>
        <w:ind w:left="60" w:right="179" w:firstLine="324"/>
        <w:spacing w:after="0" w:line="252" w:lineRule="auto"/>
        <w:rPr>
          <w:sz w:val="20"/>
          <w:szCs w:val="20"/>
          <w:color w:val="auto"/>
        </w:rPr>
      </w:pPr>
      <w:r>
        <w:rPr>
          <w:rFonts w:ascii="Times New Roman" w:cs="Times New Roman" w:eastAsia="Times New Roman" w:hAnsi="Times New Roman"/>
          <w:sz w:val="18"/>
          <w:szCs w:val="18"/>
          <w:color w:val="auto"/>
        </w:rPr>
        <w:t>The term of individual patents depends upon the legal term for patents in the countries in which they are obtained. In most countries, including the U.S., the patent term is 20 years from the earliest filing date of a non-provisional patent application. Depending upon the timing, duration, and specifics of FDA approval of our product candidates, a U.S. patent that we own or license may be eligible for limited patent term extension under the Drug Price Competition and Patent Term Restoration Act of 1984 (a.k.a., the “Hatch-Waxman Act”). The act permits a patent restoration term of up to five years as compensation for patent term lost during product development and the drug approval regulatory review process. However, patent term restoration cannot extend the remaining term of a patent beyond a total of 14 years from the product’s approval date. The patent term restoration period is generally one-half the time between the effective date of an IND, and the submission date of a new drug application (“NDA”), plus the time between the submission date of an NDA and the approval of that application. Only one patent applicable to an approved drug is eligible for the extension, and the application for extension must be made prior to patent expiration. The USPTO, in consultation with the FDA, reviews and approves the application for any patent term extension or restoration. In the future, we intend to apply for restorations of patent term for some of our currently owned or licensed patents to add patent life beyond their current expiration date, depending on the expected length of clinical trials and other factors involved in the submission of the relevant NDA.</w:t>
      </w:r>
    </w:p>
    <w:p>
      <w:pPr>
        <w:spacing w:after="0" w:line="197" w:lineRule="exact"/>
        <w:rPr>
          <w:sz w:val="20"/>
          <w:szCs w:val="20"/>
          <w:color w:val="auto"/>
        </w:rPr>
      </w:pPr>
    </w:p>
    <w:p>
      <w:pPr>
        <w:ind w:left="60" w:right="179" w:firstLine="324"/>
        <w:spacing w:after="0" w:line="254" w:lineRule="auto"/>
        <w:rPr>
          <w:sz w:val="20"/>
          <w:szCs w:val="20"/>
          <w:color w:val="auto"/>
        </w:rPr>
      </w:pPr>
      <w:r>
        <w:rPr>
          <w:rFonts w:ascii="Times New Roman" w:cs="Times New Roman" w:eastAsia="Times New Roman" w:hAnsi="Times New Roman"/>
          <w:sz w:val="18"/>
          <w:szCs w:val="18"/>
          <w:color w:val="auto"/>
        </w:rPr>
        <w:t>The term of a patent can also be extended by PTA established in 35 U.S.C. 154(b). The intention of the PTA is to accommodate for delays caused by the USPTO during the prosecution of a U.S. utility or plant patent application. Under PTA, the USPTO delay is divided into three types: type A (delays after 14 months from the filing date of the application until the USPTO issues a first Office Action and delays after four months from the filing of certain actions by the applicant until the USPTO responds to such actions); type B (delays after three years from the earliest effective filing date until a patent is granted); and type C (delays due to interferences, secrecy orders, and successful appeals). The total amount of PTA is calculated by adding the types A, B, and C delays, and then subtracting any delay that is overlapped among three types or that is attributable to the applicant.</w:t>
      </w:r>
    </w:p>
    <w:p>
      <w:pPr>
        <w:spacing w:after="0" w:line="192" w:lineRule="exact"/>
        <w:rPr>
          <w:sz w:val="20"/>
          <w:szCs w:val="20"/>
          <w:color w:val="auto"/>
        </w:rPr>
      </w:pPr>
    </w:p>
    <w:p>
      <w:pPr>
        <w:ind w:left="60" w:right="219" w:firstLine="324"/>
        <w:spacing w:after="0" w:line="261" w:lineRule="auto"/>
        <w:rPr>
          <w:sz w:val="20"/>
          <w:szCs w:val="20"/>
          <w:color w:val="auto"/>
        </w:rPr>
      </w:pPr>
      <w:r>
        <w:rPr>
          <w:rFonts w:ascii="Times New Roman" w:cs="Times New Roman" w:eastAsia="Times New Roman" w:hAnsi="Times New Roman"/>
          <w:sz w:val="18"/>
          <w:szCs w:val="18"/>
          <w:color w:val="auto"/>
        </w:rPr>
        <w:t>The term of a patent can also be shortened by a terminal disclaimer. A terminal disclaimer is a statement filed by a patent owner in which the owner disclaims or dedicates to the public the terminal part of the term of a patent. Often, the terminal disclaimer is filed in cases where at least one claim of a pending application would have been obvious in light of at least one claim in an earlier-filed patent, (or non-statutory obviousness-type double patenting rejection).</w:t>
      </w:r>
    </w:p>
    <w:p>
      <w:pPr>
        <w:spacing w:after="0" w:line="180" w:lineRule="exact"/>
        <w:rPr>
          <w:sz w:val="20"/>
          <w:szCs w:val="20"/>
          <w:color w:val="auto"/>
        </w:rPr>
      </w:pPr>
    </w:p>
    <w:p>
      <w:pPr>
        <w:ind w:left="60" w:right="159" w:firstLine="324"/>
        <w:spacing w:after="0" w:line="253" w:lineRule="auto"/>
        <w:rPr>
          <w:sz w:val="20"/>
          <w:szCs w:val="20"/>
          <w:color w:val="auto"/>
        </w:rPr>
      </w:pPr>
      <w:r>
        <w:rPr>
          <w:rFonts w:ascii="Times New Roman" w:cs="Times New Roman" w:eastAsia="Times New Roman" w:hAnsi="Times New Roman"/>
          <w:sz w:val="18"/>
          <w:szCs w:val="18"/>
          <w:color w:val="auto"/>
        </w:rPr>
        <w:t>The patent positions of companies such as ours are generally uncertain and involve complex legal and factual questions. No consistent policy regarding the scope of claims allowable in patents in the field of method of use patents or reformulation patents has emerged in the U.S. patent laws and their interpretation outside of the U.S. are also uncertain. Changes in either the patent laws or their interpretation in the U.S. and other countries may diminish our ability to protect our technology or product candidates and enforce the patent rights that we license and also could affect the value of such intellectual property. In particular, our ability to stop third parties from making, using, selling, offering to sell, or importing products that infringe our intellectual property will depend in part on our success in obtaining and enforcing patent claims that cover our technology, inventions, and improvements. With respect to both licensed and company owned intellectual property, we cannot guarantee that patents will be granted with respect to any of our pending patent applications or with respect to any patent applications we may file in the future, nor can we be sure that any patents that may be granted to us in the future will be commercially useful in protecting our products, the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254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606415"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5" w:name="page46"/>
    <w:bookmarkEnd w:id="4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59"/>
        <w:spacing w:after="0" w:line="252" w:lineRule="auto"/>
        <w:rPr>
          <w:sz w:val="20"/>
          <w:szCs w:val="20"/>
          <w:color w:val="auto"/>
        </w:rPr>
      </w:pPr>
      <w:r>
        <w:rPr>
          <w:rFonts w:ascii="Times New Roman" w:cs="Times New Roman" w:eastAsia="Times New Roman" w:hAnsi="Times New Roman"/>
          <w:sz w:val="18"/>
          <w:szCs w:val="18"/>
          <w:color w:val="auto"/>
        </w:rPr>
        <w:t>methods of use, or the manufacture of those products. In addition, if a pending patent application is granted, it is possible that only a subset of the claims that are currently contained in the pending patent application will be issued. Further, the coverage claimed in a patent application can be significantly reduced before the patent is issued, and its scope can be reinterpreted after issuance. Patent and other intellectual property rights in the pharmaceutical and biotechnology space are evolving and involve many risks and uncertainties. For example, third parties may have blocking patents that could be used to prevent us from commercializing our product candidates and practicing our proprietary technology, and the issued patents that we in-license and those that may issue in the future may be challenged, invalidated, or circumvented, which could limit our ability to stop competitors from marketing related products or could limit the term of patent protection that otherwise may exist for our product candidates. In addition, the scope of the rights granted under any issued patents may not provide us with protection or competitive advantages against competitors with similar technology. Furthermore, our competitors may independently develop similar technologies outside the scope of the rights granted under any issued patents that we own or exclusively in license. For these reasons, we may face competition with respect to our product candidates. Moreover, because of the extensive time required for development, testing, and regulatory review of a potential product, it is possible that, before any particular product candidate can be commercialized, any patent protection for such product may expire or remain in force for only a short period following commercialization, thereby reducing the commercial advantage the patent provides. For additional information regarding intellectual property regulations and risks, see below under “Immuno-Oncology Intellectual Property” and Part II, Item 1A, “Risk Factors - Risks Related to Our Intellectual Property” elsewhere in this Quarterly Report on Form 10-Q.</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Immuno-Oncology</w:t>
      </w:r>
    </w:p>
    <w:p>
      <w:pPr>
        <w:spacing w:after="0" w:line="202" w:lineRule="exact"/>
        <w:rPr>
          <w:sz w:val="20"/>
          <w:szCs w:val="20"/>
          <w:color w:val="auto"/>
        </w:rPr>
      </w:pPr>
    </w:p>
    <w:p>
      <w:pPr>
        <w:ind w:left="60" w:right="319" w:firstLine="324"/>
        <w:spacing w:after="0" w:line="258" w:lineRule="auto"/>
        <w:rPr>
          <w:sz w:val="20"/>
          <w:szCs w:val="20"/>
          <w:color w:val="auto"/>
        </w:rPr>
      </w:pPr>
      <w:r>
        <w:rPr>
          <w:rFonts w:ascii="Times New Roman" w:cs="Times New Roman" w:eastAsia="Times New Roman" w:hAnsi="Times New Roman"/>
          <w:sz w:val="18"/>
          <w:szCs w:val="18"/>
          <w:color w:val="auto"/>
        </w:rPr>
        <w:t>On April 19, 2022, we announced the formation of a wholly owned subsidiary, OnkosXcel Therapeutics (“OnkosXcel”) to develop potentially transformative medicines in oncology. OnkosXcel uses proprietary AI capabilities to drive the capital-efficient development of innovative anti-cancer therapeutics. The Company is continuing to evaluate strategic options for OnkosXcel and further work on the immuno-oncology programs described below has been paused, except as noted.</w:t>
      </w:r>
    </w:p>
    <w:p>
      <w:pPr>
        <w:spacing w:after="0" w:line="143" w:lineRule="exact"/>
        <w:rPr>
          <w:sz w:val="20"/>
          <w:szCs w:val="20"/>
          <w:color w:val="auto"/>
        </w:rPr>
      </w:pPr>
    </w:p>
    <w:p>
      <w:pPr>
        <w:ind w:left="60" w:right="239" w:firstLine="324"/>
        <w:spacing w:after="0" w:line="242" w:lineRule="auto"/>
        <w:rPr>
          <w:sz w:val="20"/>
          <w:szCs w:val="20"/>
          <w:color w:val="auto"/>
        </w:rPr>
      </w:pPr>
      <w:r>
        <w:rPr>
          <w:rFonts w:ascii="Times New Roman" w:cs="Times New Roman" w:eastAsia="Times New Roman" w:hAnsi="Times New Roman"/>
          <w:sz w:val="18"/>
          <w:szCs w:val="18"/>
          <w:color w:val="auto"/>
        </w:rPr>
        <w:t>Our approach to drug discovery leverages the application and methodology of our proprietary AI-based research and development platform, utilized in the successful development of IGALMI</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with the aim of efficiently identifying and developing immuno-oncology product candidates. We believe that BXCL701 reflects the potential of this discovery approach in immuno-oncology. BXCL701 is an investigational, oral innate immune activator which demonstrated a 25% composite response rate in a Phase 2a clinical trial to treat patients with small cell neuroendocrine carcinoma (“SCNC”) phenotype metastatic castration-resistant prostate cancer (“mCRPC”). On February 12, 2024, the Company announced that the FDA designated as a Fast Track development program the investigation of BXCL701 in combination with a checkpoint inhibitor for the treatment of patients with metastatic SCNC with progression on chemotherapy and no evidence of microsatellite instability. We have finalized a potential registrational trial design in mCRPC patients with SCNC phenotype. However due to our Clinical Prioritization, further planning on the trial has been paused.</w:t>
      </w:r>
    </w:p>
    <w:p>
      <w:pPr>
        <w:spacing w:after="0" w:line="156" w:lineRule="exact"/>
        <w:rPr>
          <w:sz w:val="20"/>
          <w:szCs w:val="20"/>
          <w:color w:val="auto"/>
        </w:rPr>
      </w:pPr>
    </w:p>
    <w:p>
      <w:pPr>
        <w:ind w:left="60" w:right="179" w:firstLine="324"/>
        <w:spacing w:after="0" w:line="252" w:lineRule="auto"/>
        <w:rPr>
          <w:sz w:val="20"/>
          <w:szCs w:val="20"/>
          <w:color w:val="auto"/>
        </w:rPr>
      </w:pPr>
      <w:r>
        <w:rPr>
          <w:rFonts w:ascii="Times New Roman" w:cs="Times New Roman" w:eastAsia="Times New Roman" w:hAnsi="Times New Roman"/>
          <w:sz w:val="18"/>
          <w:szCs w:val="18"/>
          <w:color w:val="auto"/>
        </w:rPr>
        <w:t>mCRPC is often characterized as a “cold” tumor, which is a tumor with an immunosuppressive tumor microenvironment (“TME”) and poor immune cell infiltration. Currently approved checkpoint inhibitors (“CPIs”) that target programmed cell death 1 (“PD-1”) or cytotoxic T-lymphocyte-associated protein 4 (“CTLA-4") have failed to demonstrate meaningful single-agent activity against such difficult-to-treat tumor types, including mCRPC. BXCL701 is designed to promote an immune-induced inflammatory response in the TME primarily via inhibition of dipeptidyl peptidases (“DPP”) 8 and 9, which we believe can provide enhanced CPI therapeutic utility. We believe BXCL701 can potentially provide significant benefits for the approximately 20% of the estimated 299,010 men diagnosed with prostate cancer in the U.S. in 2024 and who we are expected to progress to the more aggressive mCRPC form of the disease, including approximately 20%, or 11,960, of those patients expected to develop the SCNC phenotype, for which there are currently limited treatment options. Immune checkpoints represent a myriad of inhibitory pathways that act to regulate the duration and intensity of an antigen-induced immune response and factor prominently in mediating immune tolerance. They function as critical gatekeepers that prevent the indiscriminate attack of normal host cells by components of the immune system. Certain cancers co-opt these pathways and overexpress immune checkpoint molecules to camouflage themselves to avoid detection and destruction. CPIs, designed to harness the intrinsic power resident in the immune system, work by disabling the suppressive function of immune checkpoints, allowing the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1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260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606415"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6" w:name="page47"/>
    <w:bookmarkEnd w:id="4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79"/>
        <w:spacing w:after="0" w:line="258" w:lineRule="auto"/>
        <w:rPr>
          <w:sz w:val="20"/>
          <w:szCs w:val="20"/>
          <w:color w:val="auto"/>
        </w:rPr>
      </w:pPr>
      <w:r>
        <w:rPr>
          <w:rFonts w:ascii="Times New Roman" w:cs="Times New Roman" w:eastAsia="Times New Roman" w:hAnsi="Times New Roman"/>
          <w:sz w:val="18"/>
          <w:szCs w:val="18"/>
          <w:color w:val="auto"/>
        </w:rPr>
        <w:t>immune system to bypass such cancers’ shield of immune tolerance. CPIs are expected to generate sales of more than $50 billion worldwide by 2025, up from sales of approximately $29 billion in 2020. While CPIs have proven to be a significant advancement in cancer therapy, those currently approved by the FDA do not produce meaningful results in a majority of patients, as the clinical benefit is generally viewed to be limited to between 13% and 30% of cancer patients, and the duration of response is relatively short.</w:t>
      </w:r>
    </w:p>
    <w:p>
      <w:pPr>
        <w:spacing w:after="0" w:line="156" w:lineRule="exact"/>
        <w:rPr>
          <w:sz w:val="20"/>
          <w:szCs w:val="20"/>
          <w:color w:val="auto"/>
        </w:rPr>
      </w:pPr>
    </w:p>
    <w:p>
      <w:pPr>
        <w:ind w:left="60" w:right="279" w:firstLine="324"/>
        <w:spacing w:after="0" w:line="256" w:lineRule="auto"/>
        <w:rPr>
          <w:sz w:val="20"/>
          <w:szCs w:val="20"/>
          <w:color w:val="auto"/>
        </w:rPr>
      </w:pPr>
      <w:r>
        <w:rPr>
          <w:rFonts w:ascii="Times New Roman" w:cs="Times New Roman" w:eastAsia="Times New Roman" w:hAnsi="Times New Roman"/>
          <w:sz w:val="18"/>
          <w:szCs w:val="18"/>
          <w:color w:val="auto"/>
        </w:rPr>
        <w:t>We believe the limited efficacy of approved CPIs results primarily from their intervention at later stages of the immune response. As a result, other targets and pathways can be exploited by the tumor to create a TME that can evade the enhanced immunological response enabled by approved CPIs. While numerous agents designed to target the earlier stages of an immune response are in development for use in combination with CPIs, their activity is restricted to a single component of the immune response. In contrast, we have developed BXCL701 to simultaneously address multiple components of the immune response, including:</w:t>
      </w:r>
    </w:p>
    <w:p>
      <w:pPr>
        <w:spacing w:after="0" w:line="145" w:lineRule="exact"/>
        <w:rPr>
          <w:sz w:val="20"/>
          <w:szCs w:val="20"/>
          <w:color w:val="auto"/>
        </w:rPr>
      </w:pPr>
    </w:p>
    <w:p>
      <w:pPr>
        <w:ind w:left="720" w:right="259" w:hanging="319"/>
        <w:spacing w:after="0" w:line="284" w:lineRule="auto"/>
        <w:tabs>
          <w:tab w:leader="none" w:pos="7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Cancer antigen presentation by dendritic cells</w:t>
      </w:r>
      <w:r>
        <w:rPr>
          <w:rFonts w:ascii="Times New Roman" w:cs="Times New Roman" w:eastAsia="Times New Roman" w:hAnsi="Times New Roman"/>
          <w:sz w:val="18"/>
          <w:szCs w:val="18"/>
          <w:color w:val="auto"/>
        </w:rPr>
        <w:t>: stimulation of dendritic cell trafficking to tumor draining lymph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nodes.</w:t>
      </w:r>
    </w:p>
    <w:p>
      <w:pPr>
        <w:spacing w:after="0" w:line="117" w:lineRule="exact"/>
        <w:rPr>
          <w:rFonts w:ascii="Times New Roman" w:cs="Times New Roman" w:eastAsia="Times New Roman" w:hAnsi="Times New Roman"/>
          <w:sz w:val="18"/>
          <w:szCs w:val="18"/>
          <w:color w:val="auto"/>
        </w:rPr>
      </w:pPr>
    </w:p>
    <w:p>
      <w:pPr>
        <w:ind w:left="720" w:right="299" w:hanging="319"/>
        <w:spacing w:after="0" w:line="284" w:lineRule="auto"/>
        <w:tabs>
          <w:tab w:leader="none" w:pos="7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Priming and activation of T cells</w:t>
      </w:r>
      <w:r>
        <w:rPr>
          <w:rFonts w:ascii="Times New Roman" w:cs="Times New Roman" w:eastAsia="Times New Roman" w:hAnsi="Times New Roman"/>
          <w:sz w:val="18"/>
          <w:szCs w:val="18"/>
          <w:color w:val="auto"/>
        </w:rPr>
        <w:t>: acceleration of tumor-induced priming of T cells and the formation of potent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cytotoxic T lymphocytes (“CTLs”).</w:t>
      </w:r>
    </w:p>
    <w:p>
      <w:pPr>
        <w:spacing w:after="0" w:line="131" w:lineRule="exact"/>
        <w:rPr>
          <w:rFonts w:ascii="Times New Roman" w:cs="Times New Roman" w:eastAsia="Times New Roman" w:hAnsi="Times New Roman"/>
          <w:sz w:val="18"/>
          <w:szCs w:val="18"/>
          <w:color w:val="auto"/>
        </w:rPr>
      </w:pPr>
    </w:p>
    <w:p>
      <w:pPr>
        <w:ind w:left="720" w:right="299" w:hanging="319"/>
        <w:spacing w:after="0" w:line="284" w:lineRule="auto"/>
        <w:tabs>
          <w:tab w:leader="none" w:pos="7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Infiltration of immune cells into the tumor</w:t>
      </w:r>
      <w:r>
        <w:rPr>
          <w:rFonts w:ascii="Times New Roman" w:cs="Times New Roman" w:eastAsia="Times New Roman" w:hAnsi="Times New Roman"/>
          <w:sz w:val="18"/>
          <w:szCs w:val="18"/>
          <w:color w:val="auto"/>
        </w:rPr>
        <w:t>: stimulation of release of chemokines that attract effector T cells but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block regulatory T cells and also induce NK cell and neutrophil migration.</w:t>
      </w:r>
    </w:p>
    <w:p>
      <w:pPr>
        <w:spacing w:after="0" w:line="117" w:lineRule="exact"/>
        <w:rPr>
          <w:rFonts w:ascii="Times New Roman" w:cs="Times New Roman" w:eastAsia="Times New Roman" w:hAnsi="Times New Roman"/>
          <w:sz w:val="18"/>
          <w:szCs w:val="18"/>
          <w:color w:val="auto"/>
        </w:rPr>
      </w:pPr>
    </w:p>
    <w:p>
      <w:pPr>
        <w:ind w:left="720" w:right="579" w:hanging="319"/>
        <w:spacing w:after="0" w:line="284" w:lineRule="auto"/>
        <w:tabs>
          <w:tab w:leader="none" w:pos="7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Killing of tumor cells</w:t>
      </w:r>
      <w:r>
        <w:rPr>
          <w:rFonts w:ascii="Times New Roman" w:cs="Times New Roman" w:eastAsia="Times New Roman" w:hAnsi="Times New Roman"/>
          <w:sz w:val="18"/>
          <w:szCs w:val="18"/>
          <w:color w:val="auto"/>
        </w:rPr>
        <w:t>: induction of formation of CTLs and NK cells expressing tumor-killing perforins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granzymes, as well as the formation of memory T cells that can selectively kill returning tumor cells.</w:t>
      </w:r>
    </w:p>
    <w:p>
      <w:pPr>
        <w:spacing w:after="0" w:line="120" w:lineRule="exact"/>
        <w:rPr>
          <w:sz w:val="20"/>
          <w:szCs w:val="20"/>
          <w:color w:val="auto"/>
        </w:rPr>
      </w:pPr>
    </w:p>
    <w:p>
      <w:pPr>
        <w:ind w:left="60" w:right="219" w:firstLine="324"/>
        <w:spacing w:after="0" w:line="266" w:lineRule="auto"/>
        <w:rPr>
          <w:sz w:val="20"/>
          <w:szCs w:val="20"/>
          <w:color w:val="auto"/>
        </w:rPr>
      </w:pPr>
      <w:r>
        <w:rPr>
          <w:rFonts w:ascii="Times New Roman" w:cs="Times New Roman" w:eastAsia="Times New Roman" w:hAnsi="Times New Roman"/>
          <w:sz w:val="18"/>
          <w:szCs w:val="18"/>
          <w:color w:val="auto"/>
        </w:rPr>
        <w:t>Accordingly, we believe BXCL701 may have utility in stimulating increased activation, proliferation, and infiltration of tumor cells by immune effector cells, enabling its potential application in combination with currently approved CPIs, across a range of solid tumors and hematological malignancies, to potentially:</w:t>
      </w:r>
    </w:p>
    <w:p>
      <w:pPr>
        <w:spacing w:after="0" w:line="147" w:lineRule="exact"/>
        <w:rPr>
          <w:sz w:val="20"/>
          <w:szCs w:val="20"/>
          <w:color w:val="auto"/>
        </w:rPr>
      </w:pPr>
    </w:p>
    <w:p>
      <w:pPr>
        <w:ind w:left="720" w:hanging="319"/>
        <w:spacing w:after="0"/>
        <w:tabs>
          <w:tab w:leader="none" w:pos="7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Convert immunological cold tumors into ones sensitive to CPIs;</w:t>
      </w:r>
    </w:p>
    <w:p>
      <w:pPr>
        <w:spacing w:after="0" w:line="18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Enhance hot tumors’ response rate and depth of response to CPIs; and</w:t>
      </w:r>
    </w:p>
    <w:p>
      <w:pPr>
        <w:spacing w:after="0" w:line="18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Restore CPI sensitivity to tumors that were previously responsive.</w:t>
      </w:r>
    </w:p>
    <w:p>
      <w:pPr>
        <w:spacing w:after="0" w:line="200" w:lineRule="exact"/>
        <w:rPr>
          <w:sz w:val="20"/>
          <w:szCs w:val="20"/>
          <w:color w:val="auto"/>
        </w:rPr>
      </w:pPr>
    </w:p>
    <w:p>
      <w:pPr>
        <w:ind w:left="60" w:right="139" w:firstLine="324"/>
        <w:spacing w:after="0" w:line="258" w:lineRule="auto"/>
        <w:rPr>
          <w:sz w:val="20"/>
          <w:szCs w:val="20"/>
          <w:color w:val="auto"/>
        </w:rPr>
      </w:pPr>
      <w:r>
        <w:rPr>
          <w:rFonts w:ascii="Times New Roman" w:cs="Times New Roman" w:eastAsia="Times New Roman" w:hAnsi="Times New Roman"/>
          <w:sz w:val="18"/>
          <w:szCs w:val="18"/>
          <w:color w:val="auto"/>
        </w:rPr>
        <w:t>Central to our drug discovery initiatives are proprietary, AI-driven platform technologies we employ to identify novel therapeutic uses for approved therapeutics and candidates in clinical evaluation. The first and most advanced of our AI-driven discovery programs is our innate immune modulation program, which supported the pursuit of BXCL701 as a development candidate. We believe the application of this program provides us actionable insights into the inflammasome, a component of the innate immune system responsible for activation of the inflammatory response.</w:t>
      </w:r>
    </w:p>
    <w:p>
      <w:pPr>
        <w:spacing w:after="0" w:line="13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Our Immuno-Oncology Programs and Investigator-Sponsored Trials</w:t>
      </w:r>
    </w:p>
    <w:p>
      <w:pPr>
        <w:spacing w:after="0" w:line="189" w:lineRule="exact"/>
        <w:rPr>
          <w:sz w:val="20"/>
          <w:szCs w:val="20"/>
          <w:color w:val="auto"/>
        </w:rPr>
      </w:pPr>
    </w:p>
    <w:p>
      <w:pPr>
        <w:ind w:left="60" w:right="199" w:firstLine="324"/>
        <w:spacing w:after="0" w:line="261" w:lineRule="auto"/>
        <w:rPr>
          <w:sz w:val="20"/>
          <w:szCs w:val="20"/>
          <w:color w:val="auto"/>
        </w:rPr>
      </w:pPr>
      <w:r>
        <w:rPr>
          <w:rFonts w:ascii="Times New Roman" w:cs="Times New Roman" w:eastAsia="Times New Roman" w:hAnsi="Times New Roman"/>
          <w:sz w:val="18"/>
          <w:szCs w:val="18"/>
          <w:color w:val="auto"/>
        </w:rPr>
        <w:t>Below is a summary of the status of our immuno-oncology clinical development programs as of the date of this Quarterly Report on Form 10-Q. We believe our product candidates, if successfully developed and approved, have the potential to become compelling treatment options for their respective indications. However, further work on our immuno-oncology programs has been paused, other than as noted below.</w:t>
      </w:r>
    </w:p>
    <w:p>
      <w:pPr>
        <w:spacing w:after="0" w:line="39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260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606415"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7" w:name="page48"/>
    <w:bookmarkEnd w:id="4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694690</wp:posOffset>
            </wp:positionV>
            <wp:extent cx="5503545" cy="267462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503545" cy="2674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Immuno-Oncology Clinical Trials</w:t>
      </w:r>
    </w:p>
    <w:p>
      <w:pPr>
        <w:spacing w:after="0" w:line="202" w:lineRule="exact"/>
        <w:rPr>
          <w:sz w:val="20"/>
          <w:szCs w:val="20"/>
          <w:color w:val="auto"/>
        </w:rPr>
      </w:pPr>
    </w:p>
    <w:p>
      <w:pPr>
        <w:ind w:left="60" w:right="139" w:firstLine="324"/>
        <w:spacing w:after="0" w:line="254" w:lineRule="auto"/>
        <w:rPr>
          <w:sz w:val="20"/>
          <w:szCs w:val="20"/>
          <w:color w:val="auto"/>
        </w:rPr>
      </w:pPr>
      <w:r>
        <w:rPr>
          <w:rFonts w:ascii="Times New Roman" w:cs="Times New Roman" w:eastAsia="Times New Roman" w:hAnsi="Times New Roman"/>
          <w:sz w:val="18"/>
          <w:szCs w:val="18"/>
          <w:color w:val="auto"/>
        </w:rPr>
        <w:t>Leveraging the insights enabled by the application and methodology of our proprietary AI-based platform which was used to identify novel therapeutic uses for our approved therapeutics and product candidates in clinical evaluation, and our industry expertise, we are pursuing two proprietary discovery programs to advance our goal of developing anti-cancer therapeutics. The first program, which encompasses BXCL701 across a range of indications, is based on the application of innate immune modulation technology. This program has been constructed to embrace key distinguishing characteristics of the innate immune system and we believe it is supported by our development efforts. This approach has driven the development of BXCL701, as a potential treatment for mCRPC with either SCNC or adenocarcinoma phenotype. Fundamental to the innate immune modulation program is BXCL701’s potential to:</w:t>
      </w:r>
    </w:p>
    <w:p>
      <w:pPr>
        <w:spacing w:after="0" w:line="151" w:lineRule="exact"/>
        <w:rPr>
          <w:sz w:val="20"/>
          <w:szCs w:val="20"/>
          <w:color w:val="auto"/>
        </w:rPr>
      </w:pPr>
    </w:p>
    <w:p>
      <w:pPr>
        <w:ind w:left="720" w:hanging="319"/>
        <w:spacing w:after="0"/>
        <w:tabs>
          <w:tab w:leader="none" w:pos="7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Convert cold tumors into ones sensitive to CPIs;</w:t>
      </w:r>
    </w:p>
    <w:p>
      <w:pPr>
        <w:spacing w:after="0" w:line="18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Enhance hot tumors’ response rate and depth of response to CPIs; and</w:t>
      </w:r>
    </w:p>
    <w:p>
      <w:pPr>
        <w:spacing w:after="0" w:line="198"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Restore CPI sensitivity to tumors which had previously been responsive.</w:t>
      </w:r>
    </w:p>
    <w:p>
      <w:pPr>
        <w:spacing w:after="0" w:line="18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BXCL701 as a Potential Treatment for mCRPC</w:t>
      </w:r>
    </w:p>
    <w:p>
      <w:pPr>
        <w:spacing w:after="0" w:line="189" w:lineRule="exact"/>
        <w:rPr>
          <w:sz w:val="20"/>
          <w:szCs w:val="20"/>
          <w:color w:val="auto"/>
        </w:rPr>
      </w:pPr>
    </w:p>
    <w:p>
      <w:pPr>
        <w:ind w:left="60" w:right="499" w:firstLine="324"/>
        <w:spacing w:after="0" w:line="261" w:lineRule="auto"/>
        <w:rPr>
          <w:sz w:val="20"/>
          <w:szCs w:val="20"/>
          <w:color w:val="auto"/>
        </w:rPr>
      </w:pPr>
      <w:r>
        <w:rPr>
          <w:rFonts w:ascii="Times New Roman" w:cs="Times New Roman" w:eastAsia="Times New Roman" w:hAnsi="Times New Roman"/>
          <w:sz w:val="18"/>
          <w:szCs w:val="18"/>
          <w:color w:val="auto"/>
        </w:rPr>
        <w:t>We believe BXCL701 may have utility in stimulating increased activation, proliferation, and infiltration of tumor cells by immune effector cells, enabling its potential use in combination with currently approved CPIs to treat cold tumors, such as mCRPC. We elected to pursue mCRPC as an indication for BXCL701 due to its enrichment for DPP mutations, which are especially prevalent in tumors with SCNC phenotype.</w:t>
      </w:r>
    </w:p>
    <w:p>
      <w:pPr>
        <w:spacing w:after="0" w:line="153" w:lineRule="exact"/>
        <w:rPr>
          <w:sz w:val="20"/>
          <w:szCs w:val="20"/>
          <w:color w:val="auto"/>
        </w:rPr>
      </w:pPr>
    </w:p>
    <w:p>
      <w:pPr>
        <w:jc w:val="both"/>
        <w:ind w:left="60" w:right="759" w:firstLine="324"/>
        <w:spacing w:after="0" w:line="266" w:lineRule="auto"/>
        <w:rPr>
          <w:sz w:val="20"/>
          <w:szCs w:val="20"/>
          <w:color w:val="auto"/>
        </w:rPr>
      </w:pPr>
      <w:r>
        <w:rPr>
          <w:rFonts w:ascii="Times New Roman" w:cs="Times New Roman" w:eastAsia="Times New Roman" w:hAnsi="Times New Roman"/>
          <w:sz w:val="18"/>
          <w:szCs w:val="18"/>
          <w:color w:val="auto"/>
        </w:rPr>
        <w:t>We received initial comments from the FDA on our proposed clinical development plan and received positive feedback regarding dose-optimization around the recommended Phase 2 dose (“RP2D”) for use in future studies. However, the start of any such additional trial is paused following the Company’s Reprioritization</w:t>
      </w:r>
    </w:p>
    <w:p>
      <w:pPr>
        <w:spacing w:after="0" w:line="135" w:lineRule="exact"/>
        <w:rPr>
          <w:sz w:val="20"/>
          <w:szCs w:val="20"/>
          <w:color w:val="auto"/>
        </w:rPr>
      </w:pPr>
    </w:p>
    <w:p>
      <w:pPr>
        <w:ind w:left="60" w:right="399" w:firstLine="324"/>
        <w:spacing w:after="0" w:line="274" w:lineRule="auto"/>
        <w:rPr>
          <w:sz w:val="20"/>
          <w:szCs w:val="20"/>
          <w:color w:val="auto"/>
        </w:rPr>
      </w:pPr>
      <w:r>
        <w:rPr>
          <w:rFonts w:ascii="Times New Roman" w:cs="Times New Roman" w:eastAsia="Times New Roman" w:hAnsi="Times New Roman"/>
          <w:sz w:val="17"/>
          <w:szCs w:val="17"/>
          <w:color w:val="auto"/>
        </w:rPr>
        <w:t>The Phase 2a portion of the trial was segregated into two 28-patient trial cohorts, one cohort consisting of mCRPC patients with SCNC phenotype and a second cohort consisting of mCRPC patients with adenocarcinoma phenotype. Initially, we focused on mCRPC with SCNC phenotype as the primary patient population for BXCL701, since DPP9 is amplified in approximately 17% of treatment-emergent mCRPC with SCNC phenotype, compared to 5% or less in the broader prostate cancer population. However, we also observed responses in mCRPC patients with adenocarcinoma phenotype who were microsatellite stable in the Phase 1b portion of the trial. On this basis, we widened our Phase 2a</w:t>
      </w:r>
    </w:p>
    <w:p>
      <w:pPr>
        <w:sectPr>
          <w:pgSz w:w="11900" w:h="16838" w:orient="portrait"/>
          <w:cols w:equalWidth="0" w:num="1">
            <w:col w:w="9019"/>
          </w:cols>
          <w:pgMar w:left="1440" w:top="513" w:right="1440" w:bottom="1440" w:gutter="0" w:footer="0" w:header="0"/>
        </w:sectPr>
      </w:pPr>
    </w:p>
    <w:p>
      <w:pPr>
        <w:spacing w:after="0" w:line="38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260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606415"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8" w:name="page49"/>
    <w:bookmarkEnd w:id="4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79"/>
        <w:spacing w:after="0" w:line="255" w:lineRule="auto"/>
        <w:rPr>
          <w:sz w:val="20"/>
          <w:szCs w:val="20"/>
          <w:color w:val="auto"/>
        </w:rPr>
      </w:pPr>
      <w:r>
        <w:rPr>
          <w:rFonts w:ascii="Times New Roman" w:cs="Times New Roman" w:eastAsia="Times New Roman" w:hAnsi="Times New Roman"/>
          <w:sz w:val="18"/>
          <w:szCs w:val="18"/>
          <w:color w:val="auto"/>
        </w:rPr>
        <w:t>trial to include relapsed mCRPC patients with either SCNC or adenocarcinoma phenotype. Both cohorts employed a Simon two-stage trial design of 15 trial participants followed by 13 additional patients. The primary endpoint of the Phase 2a portion of this trial was a composite response rate, determined as either a RECIST 1.1 response (defined as a reduction in RECIST score of 30% or more), and/or a reduction in prostate specific antigen (“PSA”) level of 50% or more, and/or a conversion in circulating tumor cells (“CTCs”) from 5 or more CTCs/7.5 milliliter (“ml”) to less than 5 CTCs/7.5 ml. Secondary endpoints included duration of response, progression-free survival, overall survival, changes in circulating cytokines, and certain disease-specific biomarkers.</w:t>
      </w:r>
    </w:p>
    <w:p>
      <w:pPr>
        <w:spacing w:after="0" w:line="162" w:lineRule="exact"/>
        <w:rPr>
          <w:sz w:val="20"/>
          <w:szCs w:val="20"/>
          <w:color w:val="auto"/>
        </w:rPr>
      </w:pPr>
    </w:p>
    <w:p>
      <w:pPr>
        <w:ind w:left="60" w:right="279" w:firstLine="324"/>
        <w:spacing w:after="0" w:line="282" w:lineRule="auto"/>
        <w:rPr>
          <w:sz w:val="20"/>
          <w:szCs w:val="20"/>
          <w:color w:val="auto"/>
        </w:rPr>
      </w:pPr>
      <w:r>
        <w:rPr>
          <w:rFonts w:ascii="Times New Roman" w:cs="Times New Roman" w:eastAsia="Times New Roman" w:hAnsi="Times New Roman"/>
          <w:sz w:val="18"/>
          <w:szCs w:val="18"/>
          <w:color w:val="auto"/>
        </w:rPr>
        <w:t>We believe the results observed in the Phase 2a trial of BXCL701 administered in combination with pembrolizumab support further development.</w:t>
      </w:r>
    </w:p>
    <w:p>
      <w:pPr>
        <w:spacing w:after="0" w:line="121" w:lineRule="exact"/>
        <w:rPr>
          <w:sz w:val="20"/>
          <w:szCs w:val="20"/>
          <w:color w:val="auto"/>
        </w:rPr>
      </w:pPr>
    </w:p>
    <w:p>
      <w:pPr>
        <w:ind w:left="60" w:right="179" w:firstLine="324"/>
        <w:spacing w:after="0" w:line="239" w:lineRule="auto"/>
        <w:rPr>
          <w:sz w:val="20"/>
          <w:szCs w:val="20"/>
          <w:color w:val="auto"/>
        </w:rPr>
      </w:pPr>
      <w:r>
        <w:rPr>
          <w:rFonts w:ascii="Times New Roman" w:cs="Times New Roman" w:eastAsia="Times New Roman" w:hAnsi="Times New Roman"/>
          <w:sz w:val="18"/>
          <w:szCs w:val="18"/>
          <w:color w:val="auto"/>
        </w:rPr>
        <w:t>We were particularly encouraged by the results observed in the cohort consisting of mCRPC patients with SCNC phenotype. Updated Phase 2a results for the SCNC cohort were presented at the 30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Annual Prostate Cancer Foundation Scientific Retreat (PCF 2023). BXCL701 in combination with pembrolizumab demonstrated a 25% (seven out of 28 evaluable patients) composite response rate in mCRPC patients with SCNC phenotype, for whom there is no standard of care. As of a data cutoff of September 6, 2023, five of these responders were RECIST 1.1 responders (four confirmed responses and one unconfirmed response) with decreases in tumor size ranging from -45% to -67% and a median duration of response of 7.6 months. Overall survival (OS) results from the Phase 2a portion of the trial in SCNC patients. BXCL701 in combination with pembrolizumab demonstrated a compelling median OS and 12-month survival rate.</w:t>
      </w:r>
    </w:p>
    <w:p>
      <w:pPr>
        <w:spacing w:after="0" w:line="203" w:lineRule="exact"/>
        <w:rPr>
          <w:sz w:val="20"/>
          <w:szCs w:val="20"/>
          <w:color w:val="auto"/>
        </w:rPr>
      </w:pPr>
    </w:p>
    <w:p>
      <w:pPr>
        <w:ind w:left="60" w:right="339" w:firstLine="324"/>
        <w:spacing w:after="0" w:line="261" w:lineRule="auto"/>
        <w:rPr>
          <w:sz w:val="20"/>
          <w:szCs w:val="20"/>
          <w:color w:val="auto"/>
        </w:rPr>
      </w:pPr>
      <w:r>
        <w:rPr>
          <w:rFonts w:ascii="Times New Roman" w:cs="Times New Roman" w:eastAsia="Times New Roman" w:hAnsi="Times New Roman"/>
          <w:sz w:val="18"/>
          <w:szCs w:val="18"/>
          <w:color w:val="auto"/>
        </w:rPr>
        <w:t>The most frequently observed TEAEs (≥15% of patients) that appear to be related to talabostat included Fatigue, Hypotension, Dizziness, Nausea, and Pruritus. The events have generally been manageable and reversible. When combined with the immune checkpoint inhibitor pembrolizumab, the most frequently reported talabostat-related TEAEs (≥15% of patients) have been Fatigue, Hypotension, Pruritus, Dizziness, Nausea and Diarrhoea.</w:t>
      </w:r>
    </w:p>
    <w:p>
      <w:pPr>
        <w:spacing w:after="0" w:line="180" w:lineRule="exact"/>
        <w:rPr>
          <w:sz w:val="20"/>
          <w:szCs w:val="20"/>
          <w:color w:val="auto"/>
        </w:rPr>
      </w:pPr>
    </w:p>
    <w:p>
      <w:pPr>
        <w:ind w:left="60" w:right="239" w:firstLine="324"/>
        <w:spacing w:after="0" w:line="237" w:lineRule="auto"/>
        <w:rPr>
          <w:sz w:val="20"/>
          <w:szCs w:val="20"/>
          <w:color w:val="auto"/>
        </w:rPr>
      </w:pPr>
      <w:r>
        <w:rPr>
          <w:rFonts w:ascii="Times New Roman" w:cs="Times New Roman" w:eastAsia="Times New Roman" w:hAnsi="Times New Roman"/>
          <w:sz w:val="18"/>
          <w:szCs w:val="18"/>
          <w:color w:val="auto"/>
        </w:rPr>
        <w:t>The Phase 2a trial has also been completed for the adenocarcinoma cohort. The CRR was 18.2% (n = 6). In 29 patients with disease evaluable for response, the confirmed ORR per RECIST 1.1 per investigator assessment was 13.8% (n = 4). Decreases in tumor size ranged from -67% to -90%. Two patients had an unconfirmed RECIST 1.1 response, 5 patients had a PSA</w:t>
      </w:r>
      <w:r>
        <w:rPr>
          <w:rFonts w:ascii="Times New Roman" w:cs="Times New Roman" w:eastAsia="Times New Roman" w:hAnsi="Times New Roman"/>
          <w:sz w:val="26"/>
          <w:szCs w:val="26"/>
          <w:color w:val="auto"/>
          <w:vertAlign w:val="subscript"/>
        </w:rPr>
        <w:t>50</w:t>
      </w:r>
      <w:r>
        <w:rPr>
          <w:rFonts w:ascii="Times New Roman" w:cs="Times New Roman" w:eastAsia="Times New Roman" w:hAnsi="Times New Roman"/>
          <w:sz w:val="18"/>
          <w:szCs w:val="18"/>
          <w:color w:val="auto"/>
        </w:rPr>
        <w:t xml:space="preserve"> response, and 2 patients had a CTC response.</w:t>
      </w:r>
    </w:p>
    <w:p>
      <w:pPr>
        <w:spacing w:after="0" w:line="145" w:lineRule="exact"/>
        <w:rPr>
          <w:sz w:val="20"/>
          <w:szCs w:val="20"/>
          <w:color w:val="auto"/>
        </w:rPr>
      </w:pPr>
    </w:p>
    <w:p>
      <w:pPr>
        <w:ind w:left="60" w:right="659" w:firstLine="324"/>
        <w:spacing w:after="0" w:line="282" w:lineRule="auto"/>
        <w:rPr>
          <w:sz w:val="20"/>
          <w:szCs w:val="20"/>
          <w:color w:val="auto"/>
        </w:rPr>
      </w:pPr>
      <w:r>
        <w:rPr>
          <w:rFonts w:ascii="Times New Roman" w:cs="Times New Roman" w:eastAsia="Times New Roman" w:hAnsi="Times New Roman"/>
          <w:sz w:val="18"/>
          <w:szCs w:val="18"/>
          <w:color w:val="auto"/>
        </w:rPr>
        <w:t>The median OS of evaluable patients was 12.1 months (95% CI 5.5 – 16.4) and the 12-month survival rate was 53.4%. Median rPFS was 1.9 months and the 6-month rPFS rate was 16.8%.</w:t>
      </w:r>
    </w:p>
    <w:p>
      <w:pPr>
        <w:spacing w:after="0" w:line="162" w:lineRule="exact"/>
        <w:rPr>
          <w:sz w:val="20"/>
          <w:szCs w:val="20"/>
          <w:color w:val="auto"/>
        </w:rPr>
      </w:pPr>
    </w:p>
    <w:p>
      <w:pPr>
        <w:ind w:left="60" w:right="379" w:firstLine="324"/>
        <w:spacing w:after="0" w:line="256" w:lineRule="auto"/>
        <w:rPr>
          <w:sz w:val="20"/>
          <w:szCs w:val="20"/>
          <w:color w:val="auto"/>
        </w:rPr>
      </w:pPr>
      <w:r>
        <w:rPr>
          <w:rFonts w:ascii="Times New Roman" w:cs="Times New Roman" w:eastAsia="Times New Roman" w:hAnsi="Times New Roman"/>
          <w:sz w:val="18"/>
          <w:szCs w:val="18"/>
          <w:color w:val="auto"/>
        </w:rPr>
        <w:t>The most frequently observed TEAEs &gt;15% of patients that appear to be related to talabostat included Fatigue, Nausea, Hypotension, Platelet count decreased, Vomiting, Dizziness, White blood cell count decreased and decreased appetite. The events have generally been manageable and reversible. When combined with the immune checkpoint inhibitor pembrolizumab, the most frequently reported talabostat-related AEs have been Fatigue, Nausea, Vomiting, Hypotension, Platelet count decreased, Pruritus, Dizziness, White blood cell count decreased, Diarrhoea and Decreased appetite.</w:t>
      </w:r>
    </w:p>
    <w:p>
      <w:pPr>
        <w:spacing w:after="0" w:line="18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BXCL701 as a Potential Treatment for Small Cell Lung Cancer (“SCLC”)</w:t>
      </w:r>
    </w:p>
    <w:p>
      <w:pPr>
        <w:spacing w:after="0" w:line="202" w:lineRule="exact"/>
        <w:rPr>
          <w:sz w:val="20"/>
          <w:szCs w:val="20"/>
          <w:color w:val="auto"/>
        </w:rPr>
      </w:pPr>
    </w:p>
    <w:p>
      <w:pPr>
        <w:ind w:left="60" w:right="159" w:firstLine="324"/>
        <w:spacing w:after="0" w:line="261" w:lineRule="auto"/>
        <w:rPr>
          <w:sz w:val="20"/>
          <w:szCs w:val="20"/>
          <w:color w:val="auto"/>
        </w:rPr>
      </w:pPr>
      <w:r>
        <w:rPr>
          <w:rFonts w:ascii="Times New Roman" w:cs="Times New Roman" w:eastAsia="Times New Roman" w:hAnsi="Times New Roman"/>
          <w:sz w:val="18"/>
          <w:szCs w:val="18"/>
          <w:color w:val="auto"/>
        </w:rPr>
        <w:t>We are encouraged by the therapeutic potential of BXCL701 for SCLC given the activity it has demonstrated in the SCNC clinical trial. We have prepared a robust synopsis for a Phase 1b/2 trial design to be a dose-escalation safety lead-in to establish a RP2D in combination with atezolizumab, a CPI approved for SCLC. However, the start of any such trial has been paused.</w:t>
      </w:r>
    </w:p>
    <w:p>
      <w:pPr>
        <w:spacing w:after="0" w:line="17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BXCL701 as a Potential Treatment for Other Cancers</w:t>
      </w:r>
    </w:p>
    <w:p>
      <w:pPr>
        <w:spacing w:after="0" w:line="189" w:lineRule="exact"/>
        <w:rPr>
          <w:sz w:val="20"/>
          <w:szCs w:val="20"/>
          <w:color w:val="auto"/>
        </w:rPr>
      </w:pPr>
    </w:p>
    <w:p>
      <w:pPr>
        <w:ind w:left="60" w:right="199" w:firstLine="324"/>
        <w:spacing w:after="0" w:line="258" w:lineRule="auto"/>
        <w:rPr>
          <w:sz w:val="20"/>
          <w:szCs w:val="20"/>
          <w:color w:val="auto"/>
        </w:rPr>
      </w:pPr>
      <w:r>
        <w:rPr>
          <w:rFonts w:ascii="Times New Roman" w:cs="Times New Roman" w:eastAsia="Times New Roman" w:hAnsi="Times New Roman"/>
          <w:sz w:val="18"/>
          <w:szCs w:val="18"/>
          <w:color w:val="auto"/>
        </w:rPr>
        <w:t>In addition to its potential use in combination with CPIs to treat mCRPC, an immunologically cold tumor, we are developing BXCL701 as a therapeutic for pancreatic cancer, and other solid tumors with greater, or “non-cold,” immunological activity that are nonetheless regarded as difficult-to-treat, and hematological malignancies. We believe the synergistic potential of BXCL701 and CPIs, when administered in combination, could increase cancer cell susceptibility to an enhanced immune response, potentially increasing the clinical benefit of CPIs, whose single-agent</w:t>
      </w:r>
    </w:p>
    <w:p>
      <w:pPr>
        <w:sectPr>
          <w:pgSz w:w="11900" w:h="16838" w:orient="portrait"/>
          <w:cols w:equalWidth="0" w:num="1">
            <w:col w:w="9019"/>
          </w:cols>
          <w:pgMar w:left="1440" w:top="513" w:right="1440" w:bottom="1440" w:gutter="0" w:footer="0" w:header="0"/>
        </w:sectPr>
      </w:pPr>
    </w:p>
    <w:p>
      <w:pPr>
        <w:spacing w:after="0" w:line="39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260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606415"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9" w:name="page50"/>
    <w:bookmarkEnd w:id="4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19"/>
        <w:spacing w:after="0" w:line="256" w:lineRule="auto"/>
        <w:rPr>
          <w:sz w:val="20"/>
          <w:szCs w:val="20"/>
          <w:color w:val="auto"/>
        </w:rPr>
      </w:pPr>
      <w:r>
        <w:rPr>
          <w:rFonts w:ascii="Times New Roman" w:cs="Times New Roman" w:eastAsia="Times New Roman" w:hAnsi="Times New Roman"/>
          <w:sz w:val="18"/>
          <w:szCs w:val="18"/>
          <w:color w:val="auto"/>
        </w:rPr>
        <w:t>efficacy in treating these tumor types is generally viewed to be limited to between 13% and 30% of cancer patients and the duration of response to treatment is often short. As such, we envision the potential therapeutic benefit of BXCL701 increasing the sensitivity of cold tumors to CPI therapy, enabling the potential treatment of a range of cancers including pancreatic cancer, breast cancer, colorectal cancer, and ovarian cancer, as well as enhancing the depth of response to CPIs in other cancers. Based on the preclinical observation that BXCL701 showed direct cytotoxic activity against certain leukemic cells, an investigator sponsored trial is being pursued at the Dana Farber Cancer Institute.</w:t>
      </w:r>
    </w:p>
    <w:p>
      <w:pPr>
        <w:spacing w:after="0" w:line="15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Pancreatic Cancer</w:t>
      </w:r>
    </w:p>
    <w:p>
      <w:pPr>
        <w:spacing w:after="0" w:line="189" w:lineRule="exact"/>
        <w:rPr>
          <w:sz w:val="20"/>
          <w:szCs w:val="20"/>
          <w:color w:val="auto"/>
        </w:rPr>
      </w:pPr>
    </w:p>
    <w:p>
      <w:pPr>
        <w:ind w:left="60" w:right="139" w:firstLine="324"/>
        <w:spacing w:after="0" w:line="251" w:lineRule="auto"/>
        <w:rPr>
          <w:sz w:val="20"/>
          <w:szCs w:val="20"/>
          <w:color w:val="auto"/>
        </w:rPr>
      </w:pPr>
      <w:r>
        <w:rPr>
          <w:rFonts w:ascii="Times New Roman" w:cs="Times New Roman" w:eastAsia="Times New Roman" w:hAnsi="Times New Roman"/>
          <w:sz w:val="18"/>
          <w:szCs w:val="18"/>
          <w:color w:val="auto"/>
        </w:rPr>
        <w:t>The American Cancer Society estimated that in 2024, approximately 66,000 cases of pancreatic cancer were expected to be diagnosed in the U.S. We are supporting a Phase 2 investigator-sponsored trial (“IST”) sponsored by Georgetown Lombardi Comprehensive Cancer Center (“Georgetown Lombardi”), designed to evaluate the use of BXCL701 along with pembrolizumab to treat pancreatic cancer. Few therapeutic options are available for patients with this disease, which has a five-year survival rate of less than 10%, among the lowest of all cancers. Pancreatic cancer has among the highest levels of overexpression and amplification of DPPs. Preclinical models demonstrated synergy between DPP inhibition with BXCL701 and anti-PD-1 antibody in the pancreatic cancer tumor microenvironment. Based on these preclinical observations, Georgetown Lombardi has initiated a Phase 2 IST to assess the safety of BXCL701 when administered in combination with pembrolizumab (safety lead-in), as well as to estimate the 18-week progression-free survival rate (primary objective of the efficacy phase) in previously treated metastatic pancreatic ductal adenocarcinoma. This trial started in the third quarter of 2023. On February 6, 2024, we announced the completion of patient enrollment in the safety lead-in portion of the trial. As part of the trial’s safety lead-in, the first six patients have been enrolled and will be observed for a six-week safety window period. The trial is then expected to enroll approximately 39 patients in its efficacy phase in a Simon 2-stage single-arm, open-label design (19 patients in stage 1 and 20 patients in stage 2). Patients will be monitored radiographically and by tumor markers for response assessment. Tumor biopsies and blood samples will also be collected over the course of treatment to better understand the potential mechanism of action for the combination. The human proof of concept portion of the trial started in the first half of 2024. On April 24, 2024, we announced that an abstract entitled “Phase II trial of BXCL701 and pembrolizumab in patients with metastatic pancreatic ductal adenocarcinoma (EXPEL-PANC): Preliminary findings,” was selected for presentation at the poster session at the 2024 American Society of Clinical Oncology (ASCO) Annual Meeting. Investigators reported that, as of the applicable cutoff date, one patient was progression-free at 18 weeks, three patients showed substantial reductions in serum CA19-9, a tumor marker that may correlate with increased T-cell infiltration, and one patient showed a best response of partial responses, out of six patients that had been treated with the combination.</w:t>
      </w:r>
    </w:p>
    <w:p>
      <w:pPr>
        <w:spacing w:after="0" w:line="16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Relapsed or Refractory AML</w:t>
      </w:r>
    </w:p>
    <w:p>
      <w:pPr>
        <w:spacing w:after="0" w:line="202" w:lineRule="exact"/>
        <w:rPr>
          <w:sz w:val="20"/>
          <w:szCs w:val="20"/>
          <w:color w:val="auto"/>
        </w:rPr>
      </w:pPr>
    </w:p>
    <w:p>
      <w:pPr>
        <w:ind w:left="60" w:right="139" w:firstLine="324"/>
        <w:spacing w:after="0" w:line="253" w:lineRule="auto"/>
        <w:rPr>
          <w:sz w:val="20"/>
          <w:szCs w:val="20"/>
          <w:color w:val="auto"/>
        </w:rPr>
      </w:pPr>
      <w:r>
        <w:rPr>
          <w:rFonts w:ascii="Times New Roman" w:cs="Times New Roman" w:eastAsia="Times New Roman" w:hAnsi="Times New Roman"/>
          <w:sz w:val="18"/>
          <w:szCs w:val="18"/>
          <w:color w:val="auto"/>
        </w:rPr>
        <w:t>The American Cancer Society estimated that in 2024, approximately 21,000 new cases of AML were expected to be diagnosed in the U.S. We are supporting a Phase 1b IST sponsored by the Dana-Farber Cancer Institute (“Dana-Farber”) designed to evaluate the use of BXCL701, along with the current standard of care to treat relapsed or refractory AML. We believe that pyroptosis triggered by BXCL701 may provide potent single agent cytotoxicity directed towards AML. We also believe that DPP9 copy number may provide an actionable biomarker, as high copy number has been observed to correlate with BXCL701 toxicity in human AML cell lines. DPP8/9 inhibition has been shown to be cytotoxic to THP-1 cells, monocytic cancer cells cultured from a patient with AML, but not other cell lines, suggesting a specific vulnerability of AML to these inhibitors which we believe can be exploited for therapeutic benefit. Based on these preclinical observations, Dana-Farber has initiated a Phase 1b trial to assess the safety of BXCL701 and to determine the maximum tolerated dose or the RP2D of BXCL701 as a single agent in AML. This trial started in the first quarter of 2023. Subject to successful completion of this Phase 1b trial, we anticipate that Dana-Farber will conduct further studies to determine BXCL701's objective response rate in AML in combination with the standard of care.</w:t>
      </w:r>
    </w:p>
    <w:p>
      <w:pPr>
        <w:spacing w:after="0" w:line="14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Other Potential Anti-cancer Programs</w:t>
      </w:r>
    </w:p>
    <w:p>
      <w:pPr>
        <w:spacing w:after="0" w:line="189" w:lineRule="exact"/>
        <w:rPr>
          <w:sz w:val="20"/>
          <w:szCs w:val="20"/>
          <w:color w:val="auto"/>
        </w:rPr>
      </w:pPr>
    </w:p>
    <w:p>
      <w:pPr>
        <w:ind w:left="60" w:right="319" w:firstLine="324"/>
        <w:spacing w:after="0" w:line="266" w:lineRule="auto"/>
        <w:rPr>
          <w:sz w:val="20"/>
          <w:szCs w:val="20"/>
          <w:color w:val="auto"/>
        </w:rPr>
      </w:pPr>
      <w:r>
        <w:rPr>
          <w:rFonts w:ascii="Times New Roman" w:cs="Times New Roman" w:eastAsia="Times New Roman" w:hAnsi="Times New Roman"/>
          <w:sz w:val="18"/>
          <w:szCs w:val="18"/>
          <w:color w:val="auto"/>
        </w:rPr>
        <w:t>We believe BXCL701 may have potential application in breast cancer, as its use in combination with monoclonal antibody therapy generated encouraging in vivo data in a preclinical disease model where enhanced antibody-dependent cellular cytotoxicity was observed.</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254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606415"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0" w:name="page51"/>
    <w:bookmarkEnd w:id="5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339" w:firstLine="324"/>
        <w:spacing w:after="0" w:line="258" w:lineRule="auto"/>
        <w:rPr>
          <w:sz w:val="20"/>
          <w:szCs w:val="20"/>
          <w:color w:val="auto"/>
        </w:rPr>
      </w:pPr>
      <w:r>
        <w:rPr>
          <w:rFonts w:ascii="Times New Roman" w:cs="Times New Roman" w:eastAsia="Times New Roman" w:hAnsi="Times New Roman"/>
          <w:sz w:val="18"/>
          <w:szCs w:val="18"/>
          <w:color w:val="auto"/>
        </w:rPr>
        <w:t>The FDA has granted BXCL701 orphan drug designation for the treatment of AML, stage IIb to IV melanoma, pancreatic cancer, and soft tissue sarcoma. As we consider BXCL701’s mechanistic potential to be combined with other CPIs for additional indications that represent unmet medical needs we may be able to apply for additional orphan drug designations for BXCL701 plus CPI combinations. However, all BXCL701 ongoing development activity has been paused.</w:t>
      </w:r>
    </w:p>
    <w:p>
      <w:pPr>
        <w:spacing w:after="0" w:line="15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Biomarker Development Initiatives Intended to Complement BXCL701 Administration</w:t>
      </w:r>
    </w:p>
    <w:p>
      <w:pPr>
        <w:spacing w:after="0" w:line="189" w:lineRule="exact"/>
        <w:rPr>
          <w:sz w:val="20"/>
          <w:szCs w:val="20"/>
          <w:color w:val="auto"/>
        </w:rPr>
      </w:pPr>
    </w:p>
    <w:p>
      <w:pPr>
        <w:ind w:left="60" w:right="199" w:firstLine="324"/>
        <w:spacing w:after="0" w:line="238" w:lineRule="auto"/>
        <w:rPr>
          <w:sz w:val="20"/>
          <w:szCs w:val="20"/>
          <w:color w:val="auto"/>
        </w:rPr>
      </w:pPr>
      <w:r>
        <w:rPr>
          <w:rFonts w:ascii="Times New Roman" w:cs="Times New Roman" w:eastAsia="Times New Roman" w:hAnsi="Times New Roman"/>
          <w:sz w:val="18"/>
          <w:szCs w:val="18"/>
          <w:color w:val="auto"/>
        </w:rPr>
        <w:t>We also engaged in the identification and development of predictive biomarkers that we believe could be used in conjunction with BXCL701 to predict the likelihood of patient response to therapy across the range of targeted indications. Based on preliminary data from AML patients, we believe DPP9 copy number could correlate to BXCL701 response rate, with a greater likelihood of BXCL701 cytotoxicity in patients with increased DPP9 copy number. We presented data from the Phase 2a trial in SCNC patients at the Society for Immunotherapy of Cancer’s 38</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Annual Meeting (SITC 2023). The data indicated DPP9 overexpression is a potential response-predictive biomarker of BXCL701 and pembrolizumab combination treatment in mCRPC patients with SCNC phenotype.</w:t>
      </w:r>
    </w:p>
    <w:p>
      <w:pPr>
        <w:spacing w:after="0" w:line="19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Immuno-Oncology Intellectual Property</w:t>
      </w:r>
    </w:p>
    <w:p>
      <w:pPr>
        <w:spacing w:after="0" w:line="189" w:lineRule="exact"/>
        <w:rPr>
          <w:sz w:val="20"/>
          <w:szCs w:val="20"/>
          <w:color w:val="auto"/>
        </w:rPr>
      </w:pPr>
    </w:p>
    <w:p>
      <w:pPr>
        <w:ind w:left="60" w:right="179" w:firstLine="324"/>
        <w:spacing w:after="0" w:line="256" w:lineRule="auto"/>
        <w:rPr>
          <w:sz w:val="20"/>
          <w:szCs w:val="20"/>
          <w:color w:val="auto"/>
        </w:rPr>
      </w:pPr>
      <w:r>
        <w:rPr>
          <w:rFonts w:ascii="Times New Roman" w:cs="Times New Roman" w:eastAsia="Times New Roman" w:hAnsi="Times New Roman"/>
          <w:sz w:val="18"/>
          <w:szCs w:val="18"/>
          <w:color w:val="auto"/>
        </w:rPr>
        <w:t>Intellectual property is of vital importance in our field and in biotechnology generally. We seek to protect and enhance proprietary technology, inventions, and improvements that are commercially important to the development of our business by seeking, maintaining, enforcing, and defending patent and other intellectual property rights, whether developed internally or licensed from third parties. We will also seek to rely on regulatory protection afforded through inclusion in expedited development and review, data exclusivity, market exclusivity, and patent term extensions where available.</w:t>
      </w:r>
    </w:p>
    <w:p>
      <w:pPr>
        <w:spacing w:after="0" w:line="187" w:lineRule="exact"/>
        <w:rPr>
          <w:sz w:val="20"/>
          <w:szCs w:val="20"/>
          <w:color w:val="auto"/>
        </w:rPr>
      </w:pPr>
    </w:p>
    <w:p>
      <w:pPr>
        <w:ind w:left="60" w:right="279" w:firstLine="324"/>
        <w:spacing w:after="0" w:line="254" w:lineRule="auto"/>
        <w:rPr>
          <w:sz w:val="20"/>
          <w:szCs w:val="20"/>
          <w:color w:val="auto"/>
        </w:rPr>
      </w:pPr>
      <w:r>
        <w:rPr>
          <w:rFonts w:ascii="Times New Roman" w:cs="Times New Roman" w:eastAsia="Times New Roman" w:hAnsi="Times New Roman"/>
          <w:sz w:val="18"/>
          <w:szCs w:val="18"/>
          <w:color w:val="auto"/>
        </w:rPr>
        <w:t>As of May 1, 2025, we have multiple patent families filed to protect our immuno-oncology program, including our core patent family directed to methods of using BXCL701 with immune checkpoint inhibitors, which is granted in the U.S., Japan, Australia, Canada, Russia, China, India, Taiwan, South Africa, Mexico, New Zealand, Europe, and United Arab Emirates. Additional applications in this family are pending in major markets. Patents issued from this family are expected to expire no earlier than 2036. We have an additional patent issued in the U.S. directed to a method of selecting patients based on a biomarker and methods of treating certain cancers, with an expected expiration date no earlier than 2039. A corresponding European Patent case directed to selecting patients is issued and is expected to expire no earlier than 2038.</w:t>
      </w:r>
    </w:p>
    <w:p>
      <w:pPr>
        <w:spacing w:after="0" w:line="192" w:lineRule="exact"/>
        <w:rPr>
          <w:sz w:val="20"/>
          <w:szCs w:val="20"/>
          <w:color w:val="auto"/>
        </w:rPr>
      </w:pPr>
    </w:p>
    <w:p>
      <w:pPr>
        <w:ind w:left="60" w:right="439" w:firstLine="324"/>
        <w:spacing w:after="0" w:line="281" w:lineRule="auto"/>
        <w:rPr>
          <w:sz w:val="20"/>
          <w:szCs w:val="20"/>
          <w:color w:val="auto"/>
        </w:rPr>
      </w:pPr>
      <w:r>
        <w:rPr>
          <w:rFonts w:ascii="Times New Roman" w:cs="Times New Roman" w:eastAsia="Times New Roman" w:hAnsi="Times New Roman"/>
          <w:sz w:val="17"/>
          <w:szCs w:val="17"/>
          <w:color w:val="auto"/>
        </w:rPr>
        <w:t>Additional applications are directed to administering BXCL701 in combination with various other molecules, biomarkers, and dosing regimens. We also have three PCT applications directed to novel formulations of BXCL701, various dosing regimens, methods of use, combination therapies, and to methods of treating small cell lung cancer. We expect that any patents issuing from the PCT and provisional applications will expire no earlier than 2043 to 2044.</w:t>
      </w:r>
    </w:p>
    <w:p>
      <w:pPr>
        <w:spacing w:after="0" w:line="164" w:lineRule="exact"/>
        <w:rPr>
          <w:sz w:val="20"/>
          <w:szCs w:val="20"/>
          <w:color w:val="auto"/>
        </w:rPr>
      </w:pPr>
    </w:p>
    <w:p>
      <w:pPr>
        <w:ind w:left="60" w:right="139" w:firstLine="324"/>
        <w:spacing w:after="0" w:line="261" w:lineRule="auto"/>
        <w:rPr>
          <w:sz w:val="20"/>
          <w:szCs w:val="20"/>
          <w:color w:val="auto"/>
        </w:rPr>
      </w:pPr>
      <w:r>
        <w:rPr>
          <w:rFonts w:ascii="Times New Roman" w:cs="Times New Roman" w:eastAsia="Times New Roman" w:hAnsi="Times New Roman"/>
          <w:sz w:val="18"/>
          <w:szCs w:val="18"/>
          <w:color w:val="auto"/>
        </w:rPr>
        <w:t>We expect to file additional patent applications in support of current and new immuno-oncology clinical candidates as well as new platform and core technologies. For additional information regarding intellectual property regulations and risks, see above under “Neuroscience Intellectual Property” and Part II, Item 1A, “Risk Factors - Risks Related to Our Intellectual Property” elsewhere in this Quarterly Report on Form 10-Q.</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254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606415"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1" w:name="page52"/>
    <w:bookmarkEnd w:id="5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202" w:lineRule="exact"/>
        <w:rPr>
          <w:sz w:val="20"/>
          <w:szCs w:val="20"/>
          <w:color w:val="auto"/>
        </w:rPr>
      </w:pPr>
    </w:p>
    <w:p>
      <w:pPr>
        <w:ind w:left="60" w:right="799" w:firstLine="324"/>
        <w:spacing w:after="0" w:line="282" w:lineRule="auto"/>
        <w:rPr>
          <w:sz w:val="20"/>
          <w:szCs w:val="20"/>
          <w:color w:val="auto"/>
        </w:rPr>
      </w:pPr>
      <w:r>
        <w:rPr>
          <w:rFonts w:ascii="Times New Roman" w:cs="Times New Roman" w:eastAsia="Times New Roman" w:hAnsi="Times New Roman"/>
          <w:sz w:val="18"/>
          <w:szCs w:val="18"/>
          <w:color w:val="auto"/>
        </w:rPr>
        <w:t>The Company’s condensed consolidated financial statements are prepared in accordance with U.S. Generally Accepted Accounting Principles.</w:t>
      </w:r>
    </w:p>
    <w:p>
      <w:pPr>
        <w:spacing w:after="0" w:line="11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Components of Our Results of Operations</w:t>
      </w:r>
    </w:p>
    <w:p>
      <w:pPr>
        <w:spacing w:after="0" w:line="18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Product Revenue, Net</w:t>
      </w:r>
    </w:p>
    <w:p>
      <w:pPr>
        <w:spacing w:after="0" w:line="194" w:lineRule="exact"/>
        <w:rPr>
          <w:sz w:val="20"/>
          <w:szCs w:val="20"/>
          <w:color w:val="auto"/>
        </w:rPr>
      </w:pPr>
    </w:p>
    <w:p>
      <w:pPr>
        <w:jc w:val="both"/>
        <w:ind w:left="60" w:right="359" w:firstLine="324"/>
        <w:spacing w:after="0" w:line="226" w:lineRule="auto"/>
        <w:rPr>
          <w:sz w:val="20"/>
          <w:szCs w:val="20"/>
          <w:color w:val="auto"/>
        </w:rPr>
      </w:pPr>
      <w:r>
        <w:rPr>
          <w:rFonts w:ascii="Times New Roman" w:cs="Times New Roman" w:eastAsia="Times New Roman" w:hAnsi="Times New Roman"/>
          <w:sz w:val="18"/>
          <w:szCs w:val="18"/>
          <w:color w:val="auto"/>
        </w:rPr>
        <w:t>Revenue relates to sales of IGALMI</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and reflect limited market access since commercial launch in July 2022. The revenues are net of rebates, chargebacks, discounts, and other adjustments. During the fourth quarter of 2022, we began contracting directly with intermediaries such as GPOs.</w:t>
      </w:r>
    </w:p>
    <w:p>
      <w:pPr>
        <w:spacing w:after="0" w:line="15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Operating Costs and Expenses</w:t>
      </w:r>
    </w:p>
    <w:p>
      <w:pPr>
        <w:spacing w:after="0" w:line="18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Cost of Goods Sold</w:t>
      </w:r>
    </w:p>
    <w:p>
      <w:pPr>
        <w:spacing w:after="0" w:line="202" w:lineRule="exact"/>
        <w:rPr>
          <w:sz w:val="20"/>
          <w:szCs w:val="20"/>
          <w:color w:val="auto"/>
        </w:rPr>
      </w:pPr>
    </w:p>
    <w:p>
      <w:pPr>
        <w:ind w:left="60" w:right="219" w:firstLine="324"/>
        <w:spacing w:after="0" w:line="282" w:lineRule="auto"/>
        <w:rPr>
          <w:sz w:val="20"/>
          <w:szCs w:val="20"/>
          <w:color w:val="auto"/>
        </w:rPr>
      </w:pPr>
      <w:r>
        <w:rPr>
          <w:rFonts w:ascii="Times New Roman" w:cs="Times New Roman" w:eastAsia="Times New Roman" w:hAnsi="Times New Roman"/>
          <w:sz w:val="18"/>
          <w:szCs w:val="18"/>
          <w:color w:val="auto"/>
        </w:rPr>
        <w:t>Cost of goods sold primarily relates to the costs of producing, packaging, and delivering our product to customers, as well as costs related to excess or obsolete inventory.</w:t>
      </w:r>
    </w:p>
    <w:p>
      <w:pPr>
        <w:spacing w:after="0" w:line="11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189" w:lineRule="exact"/>
        <w:rPr>
          <w:sz w:val="20"/>
          <w:szCs w:val="20"/>
          <w:color w:val="auto"/>
        </w:rPr>
      </w:pPr>
    </w:p>
    <w:p>
      <w:pPr>
        <w:ind w:left="60" w:right="239" w:firstLine="324"/>
        <w:spacing w:after="0" w:line="254" w:lineRule="auto"/>
        <w:rPr>
          <w:sz w:val="20"/>
          <w:szCs w:val="20"/>
          <w:color w:val="auto"/>
        </w:rPr>
      </w:pPr>
      <w:r>
        <w:rPr>
          <w:rFonts w:ascii="Times New Roman" w:cs="Times New Roman" w:eastAsia="Times New Roman" w:hAnsi="Times New Roman"/>
          <w:sz w:val="18"/>
          <w:szCs w:val="18"/>
          <w:color w:val="auto"/>
        </w:rPr>
        <w:t>Our research and development expenses reflect costs associated with the identification of our preclinical and clinical product candidates. Expenditures primarily consist of salary, benefits and non-cash stock-based compensation for our research and development personnel, costs incurred under agreements with contract research organizations and sites that conduct our non-clinical studies and clinical trials, costs of outside consultants engaged in research and development activities, travel expenses, the cost of acquiring, developing and manufacturing preclinical and clinical trial materials and lab supplies, and depreciation and other expenses. Payments to BioXcel LLC are also included in research and development expenses. Costs associated with third parties that provide non-clinical services such as toxicology, pharmacology, research and discovery, biomarker studies and similar services are included in the professional fees category of research and development expenses.</w:t>
      </w:r>
    </w:p>
    <w:p>
      <w:pPr>
        <w:spacing w:after="0" w:line="16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We expense research and development costs as incurred.</w:t>
      </w:r>
    </w:p>
    <w:p>
      <w:pPr>
        <w:spacing w:after="0" w:line="185" w:lineRule="exact"/>
        <w:rPr>
          <w:sz w:val="20"/>
          <w:szCs w:val="20"/>
          <w:color w:val="auto"/>
        </w:rPr>
      </w:pPr>
    </w:p>
    <w:p>
      <w:pPr>
        <w:ind w:left="60" w:right="699" w:firstLine="324"/>
        <w:spacing w:after="0" w:line="282" w:lineRule="auto"/>
        <w:rPr>
          <w:sz w:val="20"/>
          <w:szCs w:val="20"/>
          <w:color w:val="auto"/>
        </w:rPr>
      </w:pPr>
      <w:r>
        <w:rPr>
          <w:rFonts w:ascii="Times New Roman" w:cs="Times New Roman" w:eastAsia="Times New Roman" w:hAnsi="Times New Roman"/>
          <w:sz w:val="18"/>
          <w:szCs w:val="18"/>
          <w:color w:val="auto"/>
        </w:rPr>
        <w:t>Our research and development costs by program for the three months ended March 31, 2025 and 2024 were as follows:</w:t>
      </w:r>
    </w:p>
    <w:p>
      <w:pPr>
        <w:spacing w:after="0" w:line="277"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6200" w:type="dxa"/>
            <w:vAlign w:val="bottom"/>
          </w:tcPr>
          <w:p>
            <w:pPr>
              <w:spacing w:after="0"/>
              <w:rPr>
                <w:sz w:val="16"/>
                <w:szCs w:val="16"/>
                <w:color w:val="auto"/>
              </w:rPr>
            </w:pPr>
          </w:p>
        </w:tc>
        <w:tc>
          <w:tcPr>
            <w:tcW w:w="2640" w:type="dxa"/>
            <w:vAlign w:val="bottom"/>
            <w:gridSpan w:val="5"/>
          </w:tcPr>
          <w:p>
            <w:pPr>
              <w:jc w:val="right"/>
              <w:ind w:right="612"/>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99"/>
        </w:trPr>
        <w:tc>
          <w:tcPr>
            <w:tcW w:w="6200" w:type="dxa"/>
            <w:vAlign w:val="bottom"/>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gridSpan w:val="3"/>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8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2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Direct external costs</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460" w:type="dxa"/>
            <w:vAlign w:val="bottom"/>
            <w:tcBorders>
              <w:bottom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196"/>
        </w:trPr>
        <w:tc>
          <w:tcPr>
            <w:tcW w:w="6200" w:type="dxa"/>
            <w:vAlign w:val="bottom"/>
            <w:vMerge w:val="continue"/>
          </w:tcPr>
          <w:p>
            <w:pPr>
              <w:spacing w:after="0"/>
              <w:rPr>
                <w:sz w:val="17"/>
                <w:szCs w:val="17"/>
                <w:color w:val="auto"/>
              </w:rPr>
            </w:pPr>
          </w:p>
        </w:tc>
        <w:tc>
          <w:tcPr>
            <w:tcW w:w="7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BXCL501</w:t>
            </w:r>
          </w:p>
        </w:tc>
        <w:tc>
          <w:tcPr>
            <w:tcW w:w="740" w:type="dxa"/>
            <w:vAlign w:val="bottom"/>
            <w:shd w:val="clear" w:color="auto" w:fill="CCEEFF"/>
          </w:tcPr>
          <w:p>
            <w:pPr>
              <w:jc w:val="right"/>
              <w:ind w:right="580"/>
              <w:spacing w:after="0"/>
              <w:rPr>
                <w:sz w:val="20"/>
                <w:szCs w:val="20"/>
                <w:color w:val="auto"/>
              </w:rPr>
            </w:pPr>
            <w:r>
              <w:rPr>
                <w:rFonts w:ascii="Times New Roman" w:cs="Times New Roman" w:eastAsia="Times New Roman" w:hAnsi="Times New Roman"/>
                <w:sz w:val="17"/>
                <w:szCs w:val="17"/>
                <w:color w:val="auto"/>
                <w:w w:val="70"/>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2,918</w:t>
            </w: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4,709</w:t>
            </w:r>
          </w:p>
        </w:tc>
        <w:tc>
          <w:tcPr>
            <w:tcW w:w="0" w:type="dxa"/>
            <w:vAlign w:val="bottom"/>
          </w:tcPr>
          <w:p>
            <w:pPr>
              <w:spacing w:after="0"/>
              <w:rPr>
                <w:sz w:val="1"/>
                <w:szCs w:val="1"/>
                <w:color w:val="auto"/>
              </w:rPr>
            </w:pPr>
          </w:p>
        </w:tc>
      </w:tr>
      <w:tr>
        <w:trPr>
          <w:trHeight w:val="216"/>
        </w:trPr>
        <w:tc>
          <w:tcPr>
            <w:tcW w:w="62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BXCL701</w:t>
            </w:r>
          </w:p>
        </w:tc>
        <w:tc>
          <w:tcPr>
            <w:tcW w:w="740" w:type="dxa"/>
            <w:vAlign w:val="bottom"/>
          </w:tcPr>
          <w:p>
            <w:pPr>
              <w:spacing w:after="0"/>
              <w:rPr>
                <w:sz w:val="18"/>
                <w:szCs w:val="18"/>
                <w:color w:val="auto"/>
              </w:rPr>
            </w:pPr>
          </w:p>
        </w:tc>
        <w:tc>
          <w:tcPr>
            <w:tcW w:w="7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(48)</w:t>
            </w:r>
          </w:p>
        </w:tc>
        <w:tc>
          <w:tcPr>
            <w:tcW w:w="3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995</w:t>
            </w:r>
          </w:p>
        </w:tc>
        <w:tc>
          <w:tcPr>
            <w:tcW w:w="0" w:type="dxa"/>
            <w:vAlign w:val="bottom"/>
          </w:tcPr>
          <w:p>
            <w:pPr>
              <w:spacing w:after="0"/>
              <w:rPr>
                <w:sz w:val="1"/>
                <w:szCs w:val="1"/>
                <w:color w:val="auto"/>
              </w:rPr>
            </w:pPr>
          </w:p>
        </w:tc>
      </w:tr>
      <w:tr>
        <w:trPr>
          <w:trHeight w:val="216"/>
        </w:trPr>
        <w:tc>
          <w:tcPr>
            <w:tcW w:w="6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research and development programs</w:t>
            </w:r>
          </w:p>
        </w:tc>
        <w:tc>
          <w:tcPr>
            <w:tcW w:w="74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24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0" w:type="dxa"/>
            <w:vAlign w:val="bottom"/>
          </w:tcPr>
          <w:p>
            <w:pPr>
              <w:spacing w:after="0"/>
              <w:rPr>
                <w:sz w:val="1"/>
                <w:szCs w:val="1"/>
                <w:color w:val="auto"/>
              </w:rPr>
            </w:pPr>
          </w:p>
        </w:tc>
      </w:tr>
      <w:tr>
        <w:trPr>
          <w:trHeight w:val="210"/>
        </w:trPr>
        <w:tc>
          <w:tcPr>
            <w:tcW w:w="6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direct external costs</w:t>
            </w:r>
          </w:p>
        </w:tc>
        <w:tc>
          <w:tcPr>
            <w:tcW w:w="740" w:type="dxa"/>
            <w:vAlign w:val="bottom"/>
          </w:tcPr>
          <w:p>
            <w:pPr>
              <w:jc w:val="right"/>
              <w:ind w:right="580"/>
              <w:spacing w:after="0"/>
              <w:rPr>
                <w:sz w:val="20"/>
                <w:szCs w:val="20"/>
                <w:color w:val="auto"/>
              </w:rPr>
            </w:pPr>
            <w:r>
              <w:rPr>
                <w:rFonts w:ascii="Times New Roman" w:cs="Times New Roman" w:eastAsia="Times New Roman" w:hAnsi="Times New Roman"/>
                <w:sz w:val="17"/>
                <w:szCs w:val="17"/>
                <w:color w:val="auto"/>
                <w:w w:val="70"/>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2,988</w:t>
            </w:r>
          </w:p>
        </w:tc>
        <w:tc>
          <w:tcPr>
            <w:tcW w:w="240" w:type="dxa"/>
            <w:vAlign w:val="bottom"/>
          </w:tcPr>
          <w:p>
            <w:pPr>
              <w:spacing w:after="0"/>
              <w:rPr>
                <w:sz w:val="18"/>
                <w:szCs w:val="18"/>
                <w:color w:val="auto"/>
              </w:rPr>
            </w:pPr>
          </w:p>
        </w:tc>
        <w:tc>
          <w:tcPr>
            <w:tcW w:w="320" w:type="dxa"/>
            <w:vAlign w:val="bottom"/>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5,887</w:t>
            </w:r>
          </w:p>
        </w:tc>
        <w:tc>
          <w:tcPr>
            <w:tcW w:w="0" w:type="dxa"/>
            <w:vAlign w:val="bottom"/>
          </w:tcPr>
          <w:p>
            <w:pPr>
              <w:spacing w:after="0"/>
              <w:rPr>
                <w:sz w:val="1"/>
                <w:szCs w:val="1"/>
                <w:color w:val="auto"/>
              </w:rPr>
            </w:pPr>
          </w:p>
        </w:tc>
      </w:tr>
      <w:tr>
        <w:trPr>
          <w:trHeight w:val="216"/>
        </w:trPr>
        <w:tc>
          <w:tcPr>
            <w:tcW w:w="6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Internal personnel costs</w:t>
            </w:r>
          </w:p>
        </w:tc>
        <w:tc>
          <w:tcPr>
            <w:tcW w:w="74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1,168</w:t>
            </w:r>
          </w:p>
        </w:tc>
        <w:tc>
          <w:tcPr>
            <w:tcW w:w="24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4,911</w:t>
            </w:r>
          </w:p>
        </w:tc>
        <w:tc>
          <w:tcPr>
            <w:tcW w:w="0" w:type="dxa"/>
            <w:vAlign w:val="bottom"/>
          </w:tcPr>
          <w:p>
            <w:pPr>
              <w:spacing w:after="0"/>
              <w:rPr>
                <w:sz w:val="1"/>
                <w:szCs w:val="1"/>
                <w:color w:val="auto"/>
              </w:rPr>
            </w:pPr>
          </w:p>
        </w:tc>
      </w:tr>
      <w:tr>
        <w:trPr>
          <w:trHeight w:val="210"/>
        </w:trPr>
        <w:tc>
          <w:tcPr>
            <w:tcW w:w="62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Sub-total direct costs</w:t>
            </w:r>
          </w:p>
        </w:tc>
        <w:tc>
          <w:tcPr>
            <w:tcW w:w="740" w:type="dxa"/>
            <w:vAlign w:val="bottom"/>
          </w:tcPr>
          <w:p>
            <w:pPr>
              <w:jc w:val="right"/>
              <w:ind w:right="580"/>
              <w:spacing w:after="0"/>
              <w:rPr>
                <w:sz w:val="20"/>
                <w:szCs w:val="20"/>
                <w:color w:val="auto"/>
              </w:rPr>
            </w:pPr>
            <w:r>
              <w:rPr>
                <w:rFonts w:ascii="Times New Roman" w:cs="Times New Roman" w:eastAsia="Times New Roman" w:hAnsi="Times New Roman"/>
                <w:sz w:val="17"/>
                <w:szCs w:val="17"/>
                <w:color w:val="auto"/>
                <w:w w:val="70"/>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4,156</w:t>
            </w:r>
          </w:p>
        </w:tc>
        <w:tc>
          <w:tcPr>
            <w:tcW w:w="240" w:type="dxa"/>
            <w:vAlign w:val="bottom"/>
          </w:tcPr>
          <w:p>
            <w:pPr>
              <w:spacing w:after="0"/>
              <w:rPr>
                <w:sz w:val="18"/>
                <w:szCs w:val="18"/>
                <w:color w:val="auto"/>
              </w:rPr>
            </w:pPr>
          </w:p>
        </w:tc>
        <w:tc>
          <w:tcPr>
            <w:tcW w:w="320" w:type="dxa"/>
            <w:vAlign w:val="bottom"/>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10,798</w:t>
            </w:r>
          </w:p>
        </w:tc>
        <w:tc>
          <w:tcPr>
            <w:tcW w:w="0" w:type="dxa"/>
            <w:vAlign w:val="bottom"/>
          </w:tcPr>
          <w:p>
            <w:pPr>
              <w:spacing w:after="0"/>
              <w:rPr>
                <w:sz w:val="1"/>
                <w:szCs w:val="1"/>
                <w:color w:val="auto"/>
              </w:rPr>
            </w:pPr>
          </w:p>
        </w:tc>
      </w:tr>
      <w:tr>
        <w:trPr>
          <w:trHeight w:val="216"/>
        </w:trPr>
        <w:tc>
          <w:tcPr>
            <w:tcW w:w="6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Indirect costs and overhead</w:t>
            </w:r>
          </w:p>
        </w:tc>
        <w:tc>
          <w:tcPr>
            <w:tcW w:w="74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w:t>
            </w:r>
          </w:p>
        </w:tc>
        <w:tc>
          <w:tcPr>
            <w:tcW w:w="24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w:t>
            </w:r>
          </w:p>
        </w:tc>
        <w:tc>
          <w:tcPr>
            <w:tcW w:w="0" w:type="dxa"/>
            <w:vAlign w:val="bottom"/>
          </w:tcPr>
          <w:p>
            <w:pPr>
              <w:spacing w:after="0"/>
              <w:rPr>
                <w:sz w:val="1"/>
                <w:szCs w:val="1"/>
                <w:color w:val="auto"/>
              </w:rPr>
            </w:pPr>
          </w:p>
        </w:tc>
      </w:tr>
      <w:tr>
        <w:trPr>
          <w:trHeight w:val="210"/>
        </w:trPr>
        <w:tc>
          <w:tcPr>
            <w:tcW w:w="62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research and development expenses</w:t>
            </w:r>
          </w:p>
        </w:tc>
        <w:tc>
          <w:tcPr>
            <w:tcW w:w="740" w:type="dxa"/>
            <w:vAlign w:val="bottom"/>
            <w:tcBorders>
              <w:bottom w:val="single" w:sz="8" w:color="auto"/>
            </w:tcBorders>
          </w:tcPr>
          <w:p>
            <w:pPr>
              <w:jc w:val="right"/>
              <w:ind w:right="580"/>
              <w:spacing w:after="0"/>
              <w:rPr>
                <w:sz w:val="20"/>
                <w:szCs w:val="20"/>
                <w:color w:val="auto"/>
              </w:rPr>
            </w:pPr>
            <w:r>
              <w:rPr>
                <w:rFonts w:ascii="Times New Roman" w:cs="Times New Roman" w:eastAsia="Times New Roman" w:hAnsi="Times New Roman"/>
                <w:sz w:val="17"/>
                <w:szCs w:val="17"/>
                <w:color w:val="auto"/>
                <w:w w:val="70"/>
              </w:rPr>
              <w: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3"/>
              </w:rPr>
              <w:t>4,554</w:t>
            </w:r>
          </w:p>
        </w:tc>
        <w:tc>
          <w:tcPr>
            <w:tcW w:w="240" w:type="dxa"/>
            <w:vAlign w:val="bottom"/>
          </w:tcPr>
          <w:p>
            <w:pPr>
              <w:spacing w:after="0"/>
              <w:rPr>
                <w:sz w:val="18"/>
                <w:szCs w:val="18"/>
                <w:color w:val="auto"/>
              </w:rPr>
            </w:pPr>
          </w:p>
        </w:tc>
        <w:tc>
          <w:tcPr>
            <w:tcW w:w="320" w:type="dxa"/>
            <w:vAlign w:val="bottom"/>
            <w:tcBorders>
              <w:bottom w:val="single" w:sz="8" w:color="auto"/>
            </w:tcBorders>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11,401</w:t>
            </w:r>
          </w:p>
        </w:tc>
        <w:tc>
          <w:tcPr>
            <w:tcW w:w="0" w:type="dxa"/>
            <w:vAlign w:val="bottom"/>
          </w:tcPr>
          <w:p>
            <w:pPr>
              <w:spacing w:after="0"/>
              <w:rPr>
                <w:sz w:val="1"/>
                <w:szCs w:val="1"/>
                <w:color w:val="auto"/>
              </w:rPr>
            </w:pPr>
          </w:p>
        </w:tc>
      </w:tr>
      <w:tr>
        <w:trPr>
          <w:trHeight w:val="20"/>
        </w:trPr>
        <w:tc>
          <w:tcPr>
            <w:tcW w:w="62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w:t>
      </w:r>
    </w:p>
    <w:p>
      <w:pPr>
        <w:spacing w:after="0" w:line="202" w:lineRule="exact"/>
        <w:rPr>
          <w:sz w:val="20"/>
          <w:szCs w:val="20"/>
          <w:color w:val="auto"/>
        </w:rPr>
      </w:pPr>
    </w:p>
    <w:p>
      <w:pPr>
        <w:jc w:val="center"/>
        <w:ind w:left="40" w:right="479"/>
        <w:spacing w:after="0" w:line="312" w:lineRule="auto"/>
        <w:rPr>
          <w:sz w:val="20"/>
          <w:szCs w:val="20"/>
          <w:color w:val="auto"/>
        </w:rPr>
      </w:pPr>
      <w:r>
        <w:rPr>
          <w:rFonts w:ascii="Times New Roman" w:cs="Times New Roman" w:eastAsia="Times New Roman" w:hAnsi="Times New Roman"/>
          <w:sz w:val="17"/>
          <w:szCs w:val="17"/>
          <w:color w:val="auto"/>
        </w:rPr>
        <w:t>Selling, general and administrative expenses primarily consist of salaries, benefits and non-cash stock-based compensation for our sales, executive and administrative personnel. Selling, general and administrative expenses also</w:t>
      </w:r>
    </w:p>
    <w:p>
      <w:pPr>
        <w:sectPr>
          <w:pgSz w:w="11900" w:h="16838" w:orient="portrait"/>
          <w:cols w:equalWidth="0" w:num="1">
            <w:col w:w="9019"/>
          </w:cols>
          <w:pgMar w:left="1440" w:top="513" w:right="1440" w:bottom="1440" w:gutter="0" w:footer="0" w:header="0"/>
        </w:sectPr>
      </w:pPr>
    </w:p>
    <w:p>
      <w:pPr>
        <w:spacing w:after="0" w:line="35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606415"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2" w:name="page53"/>
    <w:bookmarkEnd w:id="5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39"/>
        <w:spacing w:after="0" w:line="289" w:lineRule="auto"/>
        <w:rPr>
          <w:sz w:val="20"/>
          <w:szCs w:val="20"/>
          <w:color w:val="auto"/>
        </w:rPr>
      </w:pPr>
      <w:r>
        <w:rPr>
          <w:rFonts w:ascii="Times New Roman" w:cs="Times New Roman" w:eastAsia="Times New Roman" w:hAnsi="Times New Roman"/>
          <w:sz w:val="17"/>
          <w:szCs w:val="17"/>
          <w:color w:val="auto"/>
        </w:rPr>
        <w:t>include legal expenses to pursue patent protection of our intellectual property and other corporate matters, professional fees for audit and tax services and insurance charges. We may also incur increased costs to comply with corporate governance, internal controls, investor relations and disclosures and similar requirements applicable to public companies.</w:t>
      </w:r>
    </w:p>
    <w:p>
      <w:pPr>
        <w:spacing w:after="0" w:line="131" w:lineRule="exact"/>
        <w:rPr>
          <w:sz w:val="20"/>
          <w:szCs w:val="20"/>
          <w:color w:val="auto"/>
        </w:rPr>
      </w:pPr>
    </w:p>
    <w:p>
      <w:pPr>
        <w:ind w:left="60" w:right="199" w:firstLine="324"/>
        <w:spacing w:after="0" w:line="230" w:lineRule="auto"/>
        <w:rPr>
          <w:sz w:val="20"/>
          <w:szCs w:val="20"/>
          <w:color w:val="auto"/>
        </w:rPr>
      </w:pPr>
      <w:r>
        <w:rPr>
          <w:rFonts w:ascii="Times New Roman" w:cs="Times New Roman" w:eastAsia="Times New Roman" w:hAnsi="Times New Roman"/>
          <w:sz w:val="18"/>
          <w:szCs w:val="18"/>
          <w:color w:val="auto"/>
        </w:rPr>
        <w:t>As a result of our restructuring activities completed during 2024, we expect that our selling, general and administrative expenses will decline due to IGALMI</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’s restructured commercialization plan and reduced personnel costs. However, we may also experience increased selling, general and administrative expenses due to higher fees for outside consultants, attorneys, and accountants.</w:t>
      </w:r>
    </w:p>
    <w:p>
      <w:pPr>
        <w:spacing w:after="0" w:line="15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Restructuring Costs</w:t>
      </w:r>
    </w:p>
    <w:p>
      <w:pPr>
        <w:spacing w:after="0" w:line="18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2023 Strategic Reprioritization</w:t>
      </w:r>
    </w:p>
    <w:p>
      <w:pPr>
        <w:spacing w:after="0" w:line="202" w:lineRule="exact"/>
        <w:rPr>
          <w:sz w:val="20"/>
          <w:szCs w:val="20"/>
          <w:color w:val="auto"/>
        </w:rPr>
      </w:pPr>
    </w:p>
    <w:p>
      <w:pPr>
        <w:ind w:left="60" w:right="199" w:firstLine="324"/>
        <w:spacing w:after="0" w:line="236" w:lineRule="auto"/>
        <w:rPr>
          <w:sz w:val="20"/>
          <w:szCs w:val="20"/>
          <w:color w:val="auto"/>
        </w:rPr>
      </w:pPr>
      <w:r>
        <w:rPr>
          <w:rFonts w:ascii="Times New Roman" w:cs="Times New Roman" w:eastAsia="Times New Roman" w:hAnsi="Times New Roman"/>
          <w:sz w:val="18"/>
          <w:szCs w:val="18"/>
          <w:color w:val="auto"/>
        </w:rPr>
        <w:t>On August 8, 2023, our Board of Directors approved a broad-based strategic reprioritization (the “Reprioritization”). We took actions to reduce certain operational and workforce expenses that were no longer deemed core to ongoing operations in order to extend our cash runway and drive innovation and growth in high potential clinical development and value creating opportunities. These actions included a shift in commercial strategy for IGALMI</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in the institutional setting, a reduction of in-hospital commercialization expenses, a suspension of programs no longer determined to be core to ongoing operations, and a prioritization of at-home treatment setting opportunities for BXCL501.</w:t>
      </w:r>
    </w:p>
    <w:p>
      <w:pPr>
        <w:spacing w:after="0" w:line="160" w:lineRule="exact"/>
        <w:rPr>
          <w:sz w:val="20"/>
          <w:szCs w:val="20"/>
          <w:color w:val="auto"/>
        </w:rPr>
      </w:pPr>
    </w:p>
    <w:p>
      <w:pPr>
        <w:ind w:left="60" w:right="339" w:firstLine="324"/>
        <w:spacing w:after="0" w:line="261" w:lineRule="auto"/>
        <w:rPr>
          <w:sz w:val="20"/>
          <w:szCs w:val="20"/>
          <w:color w:val="auto"/>
        </w:rPr>
      </w:pPr>
      <w:r>
        <w:rPr>
          <w:rFonts w:ascii="Times New Roman" w:cs="Times New Roman" w:eastAsia="Times New Roman" w:hAnsi="Times New Roman"/>
          <w:sz w:val="18"/>
          <w:szCs w:val="18"/>
          <w:color w:val="auto"/>
        </w:rPr>
        <w:t>As part of this strategy, the Company’s Board of Directors approved a reduction of approximately 60% of the Company’s workforce. The Company notified impacted employees on August 14, 2023. The Reprioritization was substantially complete as of December 31, 2023, and the remaining restructuring costs were paid during the first quarter of 2024.</w:t>
      </w:r>
    </w:p>
    <w:p>
      <w:pPr>
        <w:spacing w:after="0" w:line="13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2024 Clinical Prioritization</w:t>
      </w:r>
    </w:p>
    <w:p>
      <w:pPr>
        <w:spacing w:after="0" w:line="202" w:lineRule="exact"/>
        <w:rPr>
          <w:sz w:val="20"/>
          <w:szCs w:val="20"/>
          <w:color w:val="auto"/>
        </w:rPr>
      </w:pPr>
    </w:p>
    <w:p>
      <w:pPr>
        <w:ind w:left="60" w:right="299" w:firstLine="324"/>
        <w:spacing w:after="0" w:line="266" w:lineRule="auto"/>
        <w:rPr>
          <w:sz w:val="20"/>
          <w:szCs w:val="20"/>
          <w:color w:val="auto"/>
        </w:rPr>
      </w:pPr>
      <w:r>
        <w:rPr>
          <w:rFonts w:ascii="Times New Roman" w:cs="Times New Roman" w:eastAsia="Times New Roman" w:hAnsi="Times New Roman"/>
          <w:sz w:val="18"/>
          <w:szCs w:val="18"/>
          <w:color w:val="auto"/>
        </w:rPr>
        <w:t>On May 8, 2024 the Company took actions as part of its continued efforts to preserve cash and prioritize investment in its core clinical programs. The Company reduced its workforce by approximately 15% and notified impacted employees on May 8, 2024. All related restructuring costs were paid in the second quarter of 2024.</w:t>
      </w:r>
    </w:p>
    <w:p>
      <w:pPr>
        <w:spacing w:after="0" w:line="176" w:lineRule="exact"/>
        <w:rPr>
          <w:sz w:val="20"/>
          <w:szCs w:val="20"/>
          <w:color w:val="auto"/>
        </w:rPr>
      </w:pPr>
    </w:p>
    <w:p>
      <w:pPr>
        <w:ind w:left="60" w:right="179" w:firstLine="324"/>
        <w:spacing w:after="0" w:line="261" w:lineRule="auto"/>
        <w:rPr>
          <w:sz w:val="20"/>
          <w:szCs w:val="20"/>
          <w:color w:val="auto"/>
        </w:rPr>
      </w:pPr>
      <w:r>
        <w:rPr>
          <w:rFonts w:ascii="Times New Roman" w:cs="Times New Roman" w:eastAsia="Times New Roman" w:hAnsi="Times New Roman"/>
          <w:sz w:val="18"/>
          <w:szCs w:val="18"/>
          <w:color w:val="auto"/>
        </w:rPr>
        <w:t>On September 17, 2024, the Company reduced its workforce by an additional 28% to extend its cash runway and prioritize clinical development of BXCL501. The Company completed the Clinical Prioritization in October 2024, and paid $475 of the related costs during the first quarter of 2025, and expects to pay the remaining $128 in the second quarter of 2025, which is included in Accrued Expenses on the Condensed Consolidated Balance at March 31, 2025.</w:t>
      </w:r>
    </w:p>
    <w:p>
      <w:pPr>
        <w:spacing w:after="0" w:line="180" w:lineRule="exact"/>
        <w:rPr>
          <w:sz w:val="20"/>
          <w:szCs w:val="20"/>
          <w:color w:val="auto"/>
        </w:rPr>
      </w:pPr>
    </w:p>
    <w:p>
      <w:pPr>
        <w:jc w:val="both"/>
        <w:ind w:left="60" w:right="179" w:firstLine="324"/>
        <w:spacing w:after="0" w:line="266" w:lineRule="auto"/>
        <w:rPr>
          <w:sz w:val="20"/>
          <w:szCs w:val="20"/>
          <w:color w:val="auto"/>
        </w:rPr>
      </w:pPr>
      <w:r>
        <w:rPr>
          <w:rFonts w:ascii="Times New Roman" w:cs="Times New Roman" w:eastAsia="Times New Roman" w:hAnsi="Times New Roman"/>
          <w:sz w:val="18"/>
          <w:szCs w:val="18"/>
          <w:color w:val="auto"/>
        </w:rPr>
        <w:t>Management believes that, after giving effect to the Reprioritization and additional restructuring activities completed, the Company’s cash and cash equivalents of $31,013 as of March 31, 2025 will allow the Company to fund its operations and meet its liquidity requirements into the third quarter of 2025.</w:t>
      </w:r>
    </w:p>
    <w:p>
      <w:pPr>
        <w:spacing w:after="0" w:line="17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Other Expense (Income)</w:t>
      </w:r>
    </w:p>
    <w:p>
      <w:pPr>
        <w:spacing w:after="0" w:line="189" w:lineRule="exact"/>
        <w:rPr>
          <w:sz w:val="20"/>
          <w:szCs w:val="20"/>
          <w:color w:val="auto"/>
        </w:rPr>
      </w:pPr>
    </w:p>
    <w:p>
      <w:pPr>
        <w:ind w:left="60" w:right="219" w:firstLine="324"/>
        <w:spacing w:after="0" w:line="261" w:lineRule="auto"/>
        <w:rPr>
          <w:sz w:val="20"/>
          <w:szCs w:val="20"/>
          <w:color w:val="auto"/>
        </w:rPr>
      </w:pPr>
      <w:r>
        <w:rPr>
          <w:rFonts w:ascii="Times New Roman" w:cs="Times New Roman" w:eastAsia="Times New Roman" w:hAnsi="Times New Roman"/>
          <w:sz w:val="18"/>
          <w:szCs w:val="18"/>
          <w:color w:val="auto"/>
        </w:rPr>
        <w:t>Other (income) expense primarily consists of interest costs associated with the Credit Agreement the Company entered into in April 2022, changes in fair value of derivative financial instruments, and interest income earned on cash and cash equivalents that were comprised primarily of money market funds. Interest expense may increase in the future if we meet required milestones, and we are able to draw down additional funds under the Credit Agreement.</w:t>
      </w:r>
    </w:p>
    <w:p>
      <w:pPr>
        <w:spacing w:after="0" w:line="13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Recently Issued Accounting Pronouncements</w:t>
      </w:r>
    </w:p>
    <w:p>
      <w:pPr>
        <w:spacing w:after="0" w:line="202" w:lineRule="exact"/>
        <w:rPr>
          <w:sz w:val="20"/>
          <w:szCs w:val="20"/>
          <w:color w:val="auto"/>
        </w:rPr>
      </w:pPr>
    </w:p>
    <w:p>
      <w:pPr>
        <w:ind w:left="60" w:right="559" w:firstLine="324"/>
        <w:spacing w:after="0" w:line="282" w:lineRule="auto"/>
        <w:rPr>
          <w:sz w:val="20"/>
          <w:szCs w:val="20"/>
          <w:color w:val="auto"/>
        </w:rPr>
      </w:pPr>
      <w:r>
        <w:rPr>
          <w:rFonts w:ascii="Times New Roman" w:cs="Times New Roman" w:eastAsia="Times New Roman" w:hAnsi="Times New Roman"/>
          <w:sz w:val="18"/>
          <w:szCs w:val="18"/>
          <w:color w:val="auto"/>
        </w:rPr>
        <w:t>A description of recently issued accounting pronouncements is set forth in Note 3 to the condensed consolidated financial statements included elsewhere in this Quarterly Report on Form 10-Q.</w:t>
      </w:r>
    </w:p>
    <w:p>
      <w:pPr>
        <w:spacing w:after="0" w:line="37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606415"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3" w:name="page54"/>
    <w:bookmarkEnd w:id="5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98" w:lineRule="exact"/>
        <w:rPr>
          <w:sz w:val="20"/>
          <w:szCs w:val="20"/>
          <w:color w:val="auto"/>
        </w:rPr>
      </w:pPr>
    </w:p>
    <w:p>
      <w:pPr>
        <w:ind w:left="380" w:right="3559"/>
        <w:spacing w:after="0" w:line="451" w:lineRule="auto"/>
        <w:rPr>
          <w:sz w:val="20"/>
          <w:szCs w:val="20"/>
          <w:color w:val="auto"/>
        </w:rPr>
      </w:pPr>
      <w:r>
        <w:rPr>
          <w:rFonts w:ascii="Times New Roman" w:cs="Times New Roman" w:eastAsia="Times New Roman" w:hAnsi="Times New Roman"/>
          <w:sz w:val="18"/>
          <w:szCs w:val="18"/>
          <w:b w:val="1"/>
          <w:bCs w:val="1"/>
          <w:color w:val="auto"/>
        </w:rPr>
        <w:t xml:space="preserve">Comparison of the Three Months Ended March 31, 2025 and 2024 </w:t>
      </w:r>
      <w:r>
        <w:rPr>
          <w:rFonts w:ascii="Times New Roman" w:cs="Times New Roman" w:eastAsia="Times New Roman" w:hAnsi="Times New Roman"/>
          <w:sz w:val="18"/>
          <w:szCs w:val="18"/>
          <w:b w:val="1"/>
          <w:bCs w:val="1"/>
          <w:i w:val="1"/>
          <w:iCs w:val="1"/>
          <w:color w:val="auto"/>
        </w:rPr>
        <w:t>Product Revenue, Net</w:t>
      </w:r>
    </w:p>
    <w:p>
      <w:pPr>
        <w:spacing w:after="0" w:line="1" w:lineRule="exact"/>
        <w:rPr>
          <w:sz w:val="20"/>
          <w:szCs w:val="20"/>
          <w:color w:val="auto"/>
        </w:rPr>
      </w:pPr>
    </w:p>
    <w:p>
      <w:pPr>
        <w:ind w:left="60" w:right="159" w:firstLine="324"/>
        <w:spacing w:after="0" w:line="226" w:lineRule="auto"/>
        <w:rPr>
          <w:sz w:val="20"/>
          <w:szCs w:val="20"/>
          <w:color w:val="auto"/>
        </w:rPr>
      </w:pPr>
      <w:r>
        <w:rPr>
          <w:rFonts w:ascii="Times New Roman" w:cs="Times New Roman" w:eastAsia="Times New Roman" w:hAnsi="Times New Roman"/>
          <w:sz w:val="18"/>
          <w:szCs w:val="18"/>
          <w:color w:val="auto"/>
        </w:rPr>
        <w:t>Commercial sales of IGALMI</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launched in July 2022. As part of the Company’s Reprioritization, the IGALMI</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commercial team shifted focus to a hospital/contracting strategy with a CAD team. The goal of the realigned CAD team is to work with large IDNs and drive sales utilizing a top-down approach, allowing the Company to continue to make inroads into the institutional market in a more cost-efficient manner. IGALMI</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product revenue, net was $168 and $582 in the three months ended March 31, 2025 and 2024, respectively. The decrease in sales was primarily due to a reduction in bulk sales to existing customers coupled with a reduction in commercial activities due to the Clinical Prioritization in May 2024 and September 2024.</w:t>
      </w:r>
    </w:p>
    <w:p>
      <w:pPr>
        <w:spacing w:after="0" w:line="16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Cost of Goods Sold</w:t>
      </w:r>
    </w:p>
    <w:p>
      <w:pPr>
        <w:spacing w:after="0" w:line="189" w:lineRule="exact"/>
        <w:rPr>
          <w:sz w:val="20"/>
          <w:szCs w:val="20"/>
          <w:color w:val="auto"/>
        </w:rPr>
      </w:pPr>
    </w:p>
    <w:p>
      <w:pPr>
        <w:ind w:left="60" w:right="159" w:firstLine="324"/>
        <w:spacing w:after="0" w:line="224" w:lineRule="auto"/>
        <w:rPr>
          <w:sz w:val="20"/>
          <w:szCs w:val="20"/>
          <w:color w:val="auto"/>
        </w:rPr>
      </w:pPr>
      <w:r>
        <w:rPr>
          <w:rFonts w:ascii="Times New Roman" w:cs="Times New Roman" w:eastAsia="Times New Roman" w:hAnsi="Times New Roman"/>
          <w:sz w:val="18"/>
          <w:szCs w:val="18"/>
          <w:color w:val="auto"/>
        </w:rPr>
        <w:t>Cost of goods sold for the three months ended March 31, 2025 and 2024, were $14 and $80, respectively. Cost of goods sold is related to the costs to produce, package and deliver IGALMI</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to customers, as well as costs related to excess or obsolete inventory. We entered into a commercial supply agreement with ARx, LLC (“ARx”) pursuant to which ARx has agreed to exclusively manufacture and supply us with all of our worldwide demand of film formulation of Dex to be used for the commercial supply of IGALMI</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and for ongoing clinical trials of our product candidate BXCL501, subject to certain alternative supply provisions. The decrease in Cost of goods sold for the three months ended March 31, 2025 is primarily the result of a $45 decrease in inventory write-downs, compared to the prior year.</w:t>
      </w:r>
    </w:p>
    <w:p>
      <w:pPr>
        <w:spacing w:after="0" w:line="15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w:t>
      </w:r>
    </w:p>
    <w:p>
      <w:pPr>
        <w:spacing w:after="0" w:line="20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Research and development expenses for the three months ended March 31, 2025 and 2024 were as follows:</w:t>
      </w:r>
    </w:p>
    <w:p>
      <w:pPr>
        <w:spacing w:after="0" w:line="179"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60" w:type="dxa"/>
            <w:vAlign w:val="bottom"/>
            <w:gridSpan w:val="5"/>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5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60" w:type="dxa"/>
            <w:vAlign w:val="bottom"/>
            <w:gridSpan w:val="5"/>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20" w:type="dxa"/>
            <w:vAlign w:val="bottom"/>
          </w:tcPr>
          <w:p>
            <w:pPr>
              <w:spacing w:after="0"/>
              <w:rPr>
                <w:sz w:val="15"/>
                <w:szCs w:val="15"/>
                <w:color w:val="auto"/>
              </w:rPr>
            </w:pPr>
          </w:p>
        </w:tc>
        <w:tc>
          <w:tcPr>
            <w:tcW w:w="80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9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42"/>
        </w:trPr>
        <w:tc>
          <w:tcPr>
            <w:tcW w:w="51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jc w:val="right"/>
              <w:ind w:right="15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ind w:right="15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1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Personnel and related costs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1,682</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(1,948)</w:t>
            </w: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216"/>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Non-cash stock-based compensation</w:t>
            </w:r>
          </w:p>
        </w:tc>
        <w:tc>
          <w:tcPr>
            <w:tcW w:w="14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(514)</w:t>
            </w: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1,281</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(1,795)</w:t>
            </w: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(140)%</w:t>
            </w:r>
          </w:p>
        </w:tc>
        <w:tc>
          <w:tcPr>
            <w:tcW w:w="0" w:type="dxa"/>
            <w:vAlign w:val="bottom"/>
          </w:tcPr>
          <w:p>
            <w:pPr>
              <w:spacing w:after="0"/>
              <w:rPr>
                <w:sz w:val="1"/>
                <w:szCs w:val="1"/>
                <w:color w:val="auto"/>
              </w:rPr>
            </w:pPr>
          </w:p>
        </w:tc>
      </w:tr>
      <w:tr>
        <w:trPr>
          <w:trHeight w:val="216"/>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Professional fees</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779</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1,307</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(528)</w:t>
            </w: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16"/>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Clinical trials expense</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2,018</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4,068</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(2,050)</w:t>
            </w: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16"/>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Chemical, manufacturing and controls cost</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549</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(374)</w:t>
            </w: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(68)%</w:t>
            </w:r>
          </w:p>
        </w:tc>
        <w:tc>
          <w:tcPr>
            <w:tcW w:w="0" w:type="dxa"/>
            <w:vAlign w:val="bottom"/>
          </w:tcPr>
          <w:p>
            <w:pPr>
              <w:spacing w:after="0"/>
              <w:rPr>
                <w:sz w:val="1"/>
                <w:szCs w:val="1"/>
                <w:color w:val="auto"/>
              </w:rPr>
            </w:pPr>
          </w:p>
        </w:tc>
      </w:tr>
      <w:tr>
        <w:trPr>
          <w:trHeight w:val="216"/>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expenses</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566</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(152)</w:t>
            </w: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10"/>
        </w:trPr>
        <w:tc>
          <w:tcPr>
            <w:tcW w:w="518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research and development expenses</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4,554</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11,401</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(6,847)</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940" w:type="dxa"/>
            <w:vAlign w:val="bottom"/>
            <w:tcBorders>
              <w:top w:val="single" w:sz="8" w:color="CCEEFF"/>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20"/>
        </w:trPr>
        <w:tc>
          <w:tcPr>
            <w:tcW w:w="5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73" w:lineRule="exact"/>
        <w:rPr>
          <w:sz w:val="20"/>
          <w:szCs w:val="20"/>
          <w:color w:val="auto"/>
        </w:rPr>
      </w:pPr>
    </w:p>
    <w:p>
      <w:pPr>
        <w:ind w:left="60" w:right="399" w:firstLine="324"/>
        <w:spacing w:after="0" w:line="282" w:lineRule="auto"/>
        <w:rPr>
          <w:sz w:val="20"/>
          <w:szCs w:val="20"/>
          <w:color w:val="auto"/>
        </w:rPr>
      </w:pPr>
      <w:r>
        <w:rPr>
          <w:rFonts w:ascii="Times New Roman" w:cs="Times New Roman" w:eastAsia="Times New Roman" w:hAnsi="Times New Roman"/>
          <w:sz w:val="18"/>
          <w:szCs w:val="18"/>
          <w:color w:val="auto"/>
        </w:rPr>
        <w:t>The overall decrease of $6,847 for the three months ended March 31, 2025 relative to the same period in 2024 was primarily attributable to:</w:t>
      </w:r>
    </w:p>
    <w:p>
      <w:pPr>
        <w:spacing w:after="0" w:line="135" w:lineRule="exact"/>
        <w:rPr>
          <w:sz w:val="20"/>
          <w:szCs w:val="20"/>
          <w:color w:val="auto"/>
        </w:rPr>
      </w:pPr>
    </w:p>
    <w:p>
      <w:pPr>
        <w:ind w:left="720" w:right="239" w:hanging="319"/>
        <w:spacing w:after="0" w:line="282" w:lineRule="auto"/>
        <w:tabs>
          <w:tab w:leader="none" w:pos="7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clinical trials expense as a result of reduced costs associated with the wind down of TRANQUILITY II and III study of BXCL501 for the potential treatment of agitation in patients with Alzheimer’s disease.</w:t>
      </w:r>
    </w:p>
    <w:p>
      <w:pPr>
        <w:spacing w:after="0" w:line="121" w:lineRule="exact"/>
        <w:rPr>
          <w:rFonts w:ascii="Times New Roman" w:cs="Times New Roman" w:eastAsia="Times New Roman" w:hAnsi="Times New Roman"/>
          <w:sz w:val="18"/>
          <w:szCs w:val="18"/>
          <w:color w:val="auto"/>
        </w:rPr>
      </w:pPr>
    </w:p>
    <w:p>
      <w:pPr>
        <w:ind w:left="720" w:right="519" w:hanging="319"/>
        <w:spacing w:after="0" w:line="282" w:lineRule="auto"/>
        <w:tabs>
          <w:tab w:leader="none" w:pos="7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professional fees due to lower pharmacology costs, research and discovery costs, toxicology, and consulting costs.</w:t>
      </w:r>
    </w:p>
    <w:p>
      <w:pPr>
        <w:spacing w:after="0" w:line="12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personnel and related costs as a result of our Clinical Prioritization in May 2024 and September 2024.</w:t>
      </w:r>
    </w:p>
    <w:p>
      <w:pPr>
        <w:spacing w:after="0" w:line="198" w:lineRule="exact"/>
        <w:rPr>
          <w:rFonts w:ascii="Times New Roman" w:cs="Times New Roman" w:eastAsia="Times New Roman" w:hAnsi="Times New Roman"/>
          <w:sz w:val="18"/>
          <w:szCs w:val="18"/>
          <w:color w:val="auto"/>
        </w:rPr>
      </w:pPr>
    </w:p>
    <w:p>
      <w:pPr>
        <w:ind w:left="720" w:right="919" w:hanging="319"/>
        <w:spacing w:after="0" w:line="282" w:lineRule="auto"/>
        <w:tabs>
          <w:tab w:leader="none" w:pos="7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non-cash stock compensation costs as a result of lower headcount coupled with reversals in accelerated stock compensation expense for employees terminated in the first quarter of 2025.</w:t>
      </w:r>
    </w:p>
    <w:p>
      <w:pPr>
        <w:spacing w:after="0" w:line="37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606415"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4" w:name="page55"/>
    <w:bookmarkEnd w:id="5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20" w:hanging="319"/>
        <w:spacing w:after="0"/>
        <w:tabs>
          <w:tab w:leader="none" w:pos="7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chemistry, manufacturing and controls (“CMC”) costs related to decreased clinical trial activities.</w:t>
      </w:r>
    </w:p>
    <w:p>
      <w:pPr>
        <w:spacing w:after="0" w:line="190" w:lineRule="exact"/>
        <w:rPr>
          <w:sz w:val="20"/>
          <w:szCs w:val="20"/>
          <w:color w:val="auto"/>
        </w:rPr>
      </w:pPr>
    </w:p>
    <w:p>
      <w:pPr>
        <w:ind w:left="60" w:right="359" w:firstLine="324"/>
        <w:spacing w:after="0" w:line="217" w:lineRule="auto"/>
        <w:rPr>
          <w:sz w:val="20"/>
          <w:szCs w:val="20"/>
          <w:color w:val="auto"/>
        </w:rPr>
      </w:pPr>
      <w:r>
        <w:rPr>
          <w:rFonts w:ascii="Times New Roman" w:cs="Times New Roman" w:eastAsia="Times New Roman" w:hAnsi="Times New Roman"/>
          <w:sz w:val="18"/>
          <w:szCs w:val="18"/>
          <w:color w:val="auto"/>
        </w:rPr>
        <w:t>Following IGALMI</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’s approval by the FDA, we capitalize costs related to commercial production of IGALMI</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as inventory and expense those CMC costs related to clinical trials.</w:t>
      </w:r>
    </w:p>
    <w:p>
      <w:pPr>
        <w:spacing w:after="0" w:line="15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 Expense</w:t>
      </w:r>
    </w:p>
    <w:p>
      <w:pPr>
        <w:spacing w:after="0" w:line="18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Selling, general and administrative expenses for the three months ended March 31, 2025 and 2024 were as follows:</w:t>
      </w:r>
    </w:p>
    <w:p>
      <w:pPr>
        <w:spacing w:after="0" w:line="19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60" w:type="dxa"/>
            <w:vAlign w:val="bottom"/>
            <w:gridSpan w:val="5"/>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5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60" w:type="dxa"/>
            <w:vAlign w:val="bottom"/>
            <w:gridSpan w:val="5"/>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20" w:type="dxa"/>
            <w:vAlign w:val="bottom"/>
          </w:tcPr>
          <w:p>
            <w:pPr>
              <w:spacing w:after="0"/>
              <w:rPr>
                <w:sz w:val="15"/>
                <w:szCs w:val="15"/>
                <w:color w:val="auto"/>
              </w:rPr>
            </w:pPr>
          </w:p>
        </w:tc>
        <w:tc>
          <w:tcPr>
            <w:tcW w:w="80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9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42"/>
        </w:trPr>
        <w:tc>
          <w:tcPr>
            <w:tcW w:w="51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jc w:val="right"/>
              <w:ind w:right="15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jc w:val="right"/>
              <w:ind w:right="15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1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Personnel and related costs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1,072</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3,186</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(2,114)</w:t>
            </w: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(66)%</w:t>
            </w:r>
          </w:p>
        </w:tc>
        <w:tc>
          <w:tcPr>
            <w:tcW w:w="0" w:type="dxa"/>
            <w:vAlign w:val="bottom"/>
          </w:tcPr>
          <w:p>
            <w:pPr>
              <w:spacing w:after="0"/>
              <w:rPr>
                <w:sz w:val="1"/>
                <w:szCs w:val="1"/>
                <w:color w:val="auto"/>
              </w:rPr>
            </w:pPr>
          </w:p>
        </w:tc>
      </w:tr>
      <w:tr>
        <w:trPr>
          <w:trHeight w:val="216"/>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Non-cash stock-based compensation</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694</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2,152</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(1,458)</w:t>
            </w: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(68)%</w:t>
            </w:r>
          </w:p>
        </w:tc>
        <w:tc>
          <w:tcPr>
            <w:tcW w:w="0" w:type="dxa"/>
            <w:vAlign w:val="bottom"/>
          </w:tcPr>
          <w:p>
            <w:pPr>
              <w:spacing w:after="0"/>
              <w:rPr>
                <w:sz w:val="1"/>
                <w:szCs w:val="1"/>
                <w:color w:val="auto"/>
              </w:rPr>
            </w:pPr>
          </w:p>
        </w:tc>
      </w:tr>
      <w:tr>
        <w:trPr>
          <w:trHeight w:val="216"/>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Professional fees</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2,872</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5,311</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(2,439)</w:t>
            </w: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16"/>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Commercial and marketing</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1,347</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(1,178)</w:t>
            </w: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(87)%</w:t>
            </w:r>
          </w:p>
        </w:tc>
        <w:tc>
          <w:tcPr>
            <w:tcW w:w="0" w:type="dxa"/>
            <w:vAlign w:val="bottom"/>
          </w:tcPr>
          <w:p>
            <w:pPr>
              <w:spacing w:after="0"/>
              <w:rPr>
                <w:sz w:val="1"/>
                <w:szCs w:val="1"/>
                <w:color w:val="auto"/>
              </w:rPr>
            </w:pPr>
          </w:p>
        </w:tc>
      </w:tr>
      <w:tr>
        <w:trPr>
          <w:trHeight w:val="216"/>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Insurance</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(13)</w:t>
            </w: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6"/>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expenses</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509</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872</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(363)</w:t>
            </w: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10"/>
        </w:trPr>
        <w:tc>
          <w:tcPr>
            <w:tcW w:w="518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selling, general and administrative expenses</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5,699</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13,264</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(7,565)</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940" w:type="dxa"/>
            <w:vAlign w:val="bottom"/>
            <w:tcBorders>
              <w:top w:val="single" w:sz="8" w:color="CCEEFF"/>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(57)%</w:t>
            </w:r>
          </w:p>
        </w:tc>
        <w:tc>
          <w:tcPr>
            <w:tcW w:w="0" w:type="dxa"/>
            <w:vAlign w:val="bottom"/>
          </w:tcPr>
          <w:p>
            <w:pPr>
              <w:spacing w:after="0"/>
              <w:rPr>
                <w:sz w:val="1"/>
                <w:szCs w:val="1"/>
                <w:color w:val="auto"/>
              </w:rPr>
            </w:pPr>
          </w:p>
        </w:tc>
      </w:tr>
      <w:tr>
        <w:trPr>
          <w:trHeight w:val="20"/>
        </w:trPr>
        <w:tc>
          <w:tcPr>
            <w:tcW w:w="5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73" w:lineRule="exact"/>
        <w:rPr>
          <w:sz w:val="20"/>
          <w:szCs w:val="20"/>
          <w:color w:val="auto"/>
        </w:rPr>
      </w:pPr>
    </w:p>
    <w:p>
      <w:pPr>
        <w:ind w:left="60" w:right="339" w:firstLine="324"/>
        <w:spacing w:after="0" w:line="282" w:lineRule="auto"/>
        <w:rPr>
          <w:sz w:val="20"/>
          <w:szCs w:val="20"/>
          <w:color w:val="auto"/>
        </w:rPr>
      </w:pPr>
      <w:r>
        <w:rPr>
          <w:rFonts w:ascii="Times New Roman" w:cs="Times New Roman" w:eastAsia="Times New Roman" w:hAnsi="Times New Roman"/>
          <w:sz w:val="18"/>
          <w:szCs w:val="18"/>
          <w:color w:val="auto"/>
        </w:rPr>
        <w:t>The overall decrease of $7,565 for the three months ended March 31, 2025, relative to the same period in 2024 was primarily attributable to:</w:t>
      </w:r>
    </w:p>
    <w:p>
      <w:pPr>
        <w:spacing w:after="0" w:line="121" w:lineRule="exact"/>
        <w:rPr>
          <w:sz w:val="20"/>
          <w:szCs w:val="20"/>
          <w:color w:val="auto"/>
        </w:rPr>
      </w:pPr>
    </w:p>
    <w:p>
      <w:pPr>
        <w:ind w:left="720" w:hanging="319"/>
        <w:spacing w:after="0"/>
        <w:tabs>
          <w:tab w:leader="none" w:pos="7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personnel and related costs as a result of the Clinical Prioritization in May 2024 and September 2024.</w:t>
      </w:r>
    </w:p>
    <w:p>
      <w:pPr>
        <w:spacing w:after="0" w:line="198" w:lineRule="exact"/>
        <w:rPr>
          <w:rFonts w:ascii="Times New Roman" w:cs="Times New Roman" w:eastAsia="Times New Roman" w:hAnsi="Times New Roman"/>
          <w:sz w:val="18"/>
          <w:szCs w:val="18"/>
          <w:color w:val="auto"/>
        </w:rPr>
      </w:pPr>
    </w:p>
    <w:p>
      <w:pPr>
        <w:ind w:left="720" w:right="339" w:hanging="319"/>
        <w:spacing w:after="0" w:line="282" w:lineRule="auto"/>
        <w:tabs>
          <w:tab w:leader="none" w:pos="7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professional fees, primarily related to lower legal costs in 2025 compared to 2024 and reductions in consulting and recruiting for the three months ended March 31, 2025.</w:t>
      </w:r>
    </w:p>
    <w:p>
      <w:pPr>
        <w:spacing w:after="0" w:line="12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commercial and marketing expense.</w:t>
      </w:r>
    </w:p>
    <w:p>
      <w:pPr>
        <w:spacing w:after="0" w:line="18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non-cash stock based compensation costs as a result of lower headcount.</w:t>
      </w:r>
    </w:p>
    <w:p>
      <w:pPr>
        <w:spacing w:after="0" w:line="198"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other expenses, primarily travel expenses, as a result of lower headcount.</w:t>
      </w:r>
    </w:p>
    <w:p>
      <w:pPr>
        <w:spacing w:after="0" w:line="18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Other Expense (Income)</w:t>
      </w:r>
    </w:p>
    <w:p>
      <w:pPr>
        <w:spacing w:after="0" w:line="189" w:lineRule="exact"/>
        <w:rPr>
          <w:sz w:val="20"/>
          <w:szCs w:val="20"/>
          <w:color w:val="auto"/>
        </w:rPr>
      </w:pPr>
    </w:p>
    <w:p>
      <w:pPr>
        <w:ind w:left="60" w:right="139" w:firstLine="324"/>
        <w:spacing w:after="0" w:line="255" w:lineRule="auto"/>
        <w:rPr>
          <w:sz w:val="20"/>
          <w:szCs w:val="20"/>
          <w:color w:val="auto"/>
        </w:rPr>
      </w:pPr>
      <w:r>
        <w:rPr>
          <w:rFonts w:ascii="Times New Roman" w:cs="Times New Roman" w:eastAsia="Times New Roman" w:hAnsi="Times New Roman"/>
          <w:sz w:val="18"/>
          <w:szCs w:val="18"/>
          <w:color w:val="auto"/>
        </w:rPr>
        <w:t>Interest expense increased to $3,993 for the three months ended March 31, 2025 from $3,607 in the same period in 2024 primarily due to higher debt balances and interest rates under the Credit Agreement. The expense was partially offset by lower interest income earned on lower levels of cash and cash equivalents that were held primarily in short-term money market funds. Interest income decreased to $279 for the three months ended March 31, 2025 compared to $947 for three months ended March 31, 2024, due to lower average cash balances during the year. Other (income) expense, net is primarily associated with changes in fair value of derivative financial instruments for the period, which relate to instruments associated with the Credit Agreement and the Company’s registered direct equity offerings.</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Inflation</w:t>
      </w:r>
    </w:p>
    <w:p>
      <w:pPr>
        <w:spacing w:after="0" w:line="189" w:lineRule="exact"/>
        <w:rPr>
          <w:sz w:val="20"/>
          <w:szCs w:val="20"/>
          <w:color w:val="auto"/>
        </w:rPr>
      </w:pPr>
    </w:p>
    <w:p>
      <w:pPr>
        <w:ind w:left="60" w:right="199" w:firstLine="324"/>
        <w:spacing w:after="0" w:line="266" w:lineRule="auto"/>
        <w:rPr>
          <w:sz w:val="20"/>
          <w:szCs w:val="20"/>
          <w:color w:val="auto"/>
        </w:rPr>
      </w:pPr>
      <w:r>
        <w:rPr>
          <w:rFonts w:ascii="Times New Roman" w:cs="Times New Roman" w:eastAsia="Times New Roman" w:hAnsi="Times New Roman"/>
          <w:sz w:val="18"/>
          <w:szCs w:val="18"/>
          <w:color w:val="auto"/>
        </w:rPr>
        <w:t>Inflation generally affects us by increasing our cost of labor and clinical trial costs. We do not believe that inflation has had a material effect on our results of operations during the periods presented. For a discussion of inflationary risks to our future revenues under the Inflation Reduction Act, see “</w:t>
      </w:r>
      <w:r>
        <w:rPr>
          <w:rFonts w:ascii="Times New Roman" w:cs="Times New Roman" w:eastAsia="Times New Roman" w:hAnsi="Times New Roman"/>
          <w:sz w:val="18"/>
          <w:szCs w:val="18"/>
          <w:i w:val="1"/>
          <w:iCs w:val="1"/>
          <w:color w:val="auto"/>
        </w:rPr>
        <w:t>Health care reform measures could hinder or prevent</w:t>
      </w:r>
    </w:p>
    <w:p>
      <w:pPr>
        <w:spacing w:after="0" w:line="39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254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606415"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5" w:name="page56"/>
    <w:bookmarkEnd w:id="5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60" w:right="319"/>
        <w:spacing w:after="0" w:line="284" w:lineRule="auto"/>
        <w:rPr>
          <w:sz w:val="20"/>
          <w:szCs w:val="20"/>
          <w:color w:val="auto"/>
        </w:rPr>
      </w:pPr>
      <w:r>
        <w:rPr>
          <w:rFonts w:ascii="Times New Roman" w:cs="Times New Roman" w:eastAsia="Times New Roman" w:hAnsi="Times New Roman"/>
          <w:sz w:val="18"/>
          <w:szCs w:val="18"/>
          <w:i w:val="1"/>
          <w:iCs w:val="1"/>
          <w:color w:val="auto"/>
        </w:rPr>
        <w:t>our product candidates’ commercial success.</w:t>
      </w:r>
      <w:r>
        <w:rPr>
          <w:rFonts w:ascii="Times New Roman" w:cs="Times New Roman" w:eastAsia="Times New Roman" w:hAnsi="Times New Roman"/>
          <w:sz w:val="18"/>
          <w:szCs w:val="18"/>
          <w:color w:val="auto"/>
        </w:rPr>
        <w:t>” in Part II, Item 1A, “Risk Factors” elsewhere in this Quarterly Report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Form 10-Q.</w:t>
      </w:r>
    </w:p>
    <w:p>
      <w:pPr>
        <w:spacing w:after="0" w:line="1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Reverse Stock Split</w:t>
      </w:r>
    </w:p>
    <w:p>
      <w:pPr>
        <w:spacing w:after="0" w:line="189" w:lineRule="exact"/>
        <w:rPr>
          <w:sz w:val="20"/>
          <w:szCs w:val="20"/>
          <w:color w:val="auto"/>
        </w:rPr>
      </w:pPr>
    </w:p>
    <w:p>
      <w:pPr>
        <w:jc w:val="both"/>
        <w:ind w:left="60" w:right="499" w:firstLine="324"/>
        <w:spacing w:after="0" w:line="272" w:lineRule="auto"/>
        <w:rPr>
          <w:sz w:val="20"/>
          <w:szCs w:val="20"/>
          <w:color w:val="auto"/>
        </w:rPr>
      </w:pPr>
      <w:r>
        <w:rPr>
          <w:rFonts w:ascii="Times New Roman" w:cs="Times New Roman" w:eastAsia="Times New Roman" w:hAnsi="Times New Roman"/>
          <w:sz w:val="17"/>
          <w:szCs w:val="17"/>
          <w:color w:val="auto"/>
        </w:rPr>
        <w:t>On February 10, 2025, the Company effected a 1-for-16 reverse stock split of its issued and outstanding common stock (the “Reverse Stock Split”). As a result of the Reverse Stock Split, each 16 shares of common stock issued and outstanding immediately prior to February 10, 2025 were automatically converted into 1 share of common stock.</w:t>
      </w:r>
    </w:p>
    <w:p>
      <w:pPr>
        <w:spacing w:after="0" w:line="2" w:lineRule="exact"/>
        <w:rPr>
          <w:sz w:val="20"/>
          <w:szCs w:val="20"/>
          <w:color w:val="auto"/>
        </w:rPr>
      </w:pPr>
    </w:p>
    <w:p>
      <w:pPr>
        <w:ind w:left="60" w:right="179"/>
        <w:spacing w:after="0" w:line="253" w:lineRule="auto"/>
        <w:rPr>
          <w:sz w:val="20"/>
          <w:szCs w:val="20"/>
          <w:color w:val="auto"/>
        </w:rPr>
      </w:pPr>
      <w:r>
        <w:rPr>
          <w:rFonts w:ascii="Times New Roman" w:cs="Times New Roman" w:eastAsia="Times New Roman" w:hAnsi="Times New Roman"/>
          <w:sz w:val="18"/>
          <w:szCs w:val="18"/>
          <w:color w:val="auto"/>
        </w:rPr>
        <w:t>The Reverse Stock Split did not change the par value of the common stock or the authorized number of shares of common stock. All outstanding convertible notes, stock options and RSUs entitling their holders to purchase or obtain or convert into shares of our common stock were adjusted, as required by the terms of these securities. All applicable common share and per share amounts have been retrospectively restated to show the effect of the reverse stock split.</w:t>
      </w:r>
    </w:p>
    <w:p>
      <w:pPr>
        <w:spacing w:after="0" w:line="14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02" w:lineRule="exact"/>
        <w:rPr>
          <w:sz w:val="20"/>
          <w:szCs w:val="20"/>
          <w:color w:val="auto"/>
        </w:rPr>
      </w:pPr>
    </w:p>
    <w:p>
      <w:pPr>
        <w:ind w:left="60" w:right="139" w:firstLine="324"/>
        <w:spacing w:after="0" w:line="253" w:lineRule="auto"/>
        <w:rPr>
          <w:sz w:val="20"/>
          <w:szCs w:val="20"/>
          <w:color w:val="auto"/>
        </w:rPr>
      </w:pPr>
      <w:r>
        <w:rPr>
          <w:rFonts w:ascii="Times New Roman" w:cs="Times New Roman" w:eastAsia="Times New Roman" w:hAnsi="Times New Roman"/>
          <w:sz w:val="18"/>
          <w:szCs w:val="18"/>
          <w:color w:val="auto"/>
        </w:rPr>
        <w:t>As of March 31, 2025, we had cash and cash equivalents of $31,013, working capital of $12,231 and stockholders’ deficit of $90,172. Net cash used in operating activities was $12,043 and $17,706 for the three months ended March 31, 2025 and 2024, respectively. We incurred losses of approximately $7,254 and $26,791 for the three months ended March 31, 2025 and 2024, respectively. We will need to generate significant product revenues to achieve profitability. Our history of significant losses, negative cash flows from operations, potential near-term increased covenant-driven amortization payments or full repayment obligations under our Credit Agreement, the regulatory event of default triggers under the Credit Agreement, other funding requirement covenants under the Credit Agreement, limited liquidity resources currently on hand, and dependence on our ability to obtain additional financing to fund our operations after the current resources are exhausted, about which there can be no certainty, have resulted in management’s assessment that there is substantial doubt about our ability to continue as a going concern for a period of at least 12 months from the issuance date of the financial statements included in this Quarterly Report on Form 10-Q.</w:t>
      </w:r>
    </w:p>
    <w:p>
      <w:pPr>
        <w:spacing w:after="0" w:line="151" w:lineRule="exact"/>
        <w:rPr>
          <w:sz w:val="20"/>
          <w:szCs w:val="20"/>
          <w:color w:val="auto"/>
        </w:rPr>
      </w:pPr>
    </w:p>
    <w:p>
      <w:pPr>
        <w:ind w:left="60" w:right="299" w:firstLine="324"/>
        <w:spacing w:after="0" w:line="258" w:lineRule="auto"/>
        <w:rPr>
          <w:sz w:val="20"/>
          <w:szCs w:val="20"/>
          <w:color w:val="auto"/>
        </w:rPr>
      </w:pPr>
      <w:r>
        <w:rPr>
          <w:rFonts w:ascii="Times New Roman" w:cs="Times New Roman" w:eastAsia="Times New Roman" w:hAnsi="Times New Roman"/>
          <w:sz w:val="18"/>
          <w:szCs w:val="18"/>
          <w:color w:val="auto"/>
        </w:rPr>
        <w:t>Successful completion of the Company’s development programs and, ultimately, the attainment of profitable operations are dependent upon future events, including obtaining adequate financing to support the Company’s cost structure and operating plan. Management’s plans to improve the Company’s liquidity and reduce its operating expenses and capital requirements include, among other things, pursuing one or more of the following steps to raise additional capital, none of which can be guaranteed or are entirely within the Company’s control:</w:t>
      </w:r>
    </w:p>
    <w:p>
      <w:pPr>
        <w:spacing w:after="0" w:line="143" w:lineRule="exact"/>
        <w:rPr>
          <w:sz w:val="20"/>
          <w:szCs w:val="20"/>
          <w:color w:val="auto"/>
        </w:rPr>
      </w:pPr>
    </w:p>
    <w:p>
      <w:pPr>
        <w:ind w:left="1340" w:hanging="642"/>
        <w:spacing w:after="0"/>
        <w:tabs>
          <w:tab w:leader="none" w:pos="13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raise funding through the sale of the Company’s equity securities;</w:t>
      </w:r>
    </w:p>
    <w:p>
      <w:pPr>
        <w:spacing w:after="0" w:line="27" w:lineRule="exact"/>
        <w:rPr>
          <w:rFonts w:ascii="Times New Roman" w:cs="Times New Roman" w:eastAsia="Times New Roman" w:hAnsi="Times New Roman"/>
          <w:sz w:val="18"/>
          <w:szCs w:val="18"/>
          <w:color w:val="auto"/>
        </w:rPr>
      </w:pPr>
    </w:p>
    <w:p>
      <w:pPr>
        <w:ind w:left="1340" w:hanging="642"/>
        <w:spacing w:after="0"/>
        <w:tabs>
          <w:tab w:leader="none" w:pos="13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raise funding through third-party investments in or other strategic options for OnkosXcel;</w:t>
      </w:r>
    </w:p>
    <w:p>
      <w:pPr>
        <w:spacing w:after="0" w:line="9" w:lineRule="exact"/>
        <w:rPr>
          <w:rFonts w:ascii="Times New Roman" w:cs="Times New Roman" w:eastAsia="Times New Roman" w:hAnsi="Times New Roman"/>
          <w:sz w:val="18"/>
          <w:szCs w:val="18"/>
          <w:color w:val="auto"/>
        </w:rPr>
      </w:pPr>
    </w:p>
    <w:p>
      <w:pPr>
        <w:ind w:left="1340" w:hanging="642"/>
        <w:spacing w:after="0"/>
        <w:tabs>
          <w:tab w:leader="none" w:pos="13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raise funding through debt financing and/or restructuring of its existing Credit Agreement;</w:t>
      </w:r>
    </w:p>
    <w:p>
      <w:pPr>
        <w:spacing w:after="0" w:line="9" w:lineRule="exact"/>
        <w:rPr>
          <w:rFonts w:ascii="Times New Roman" w:cs="Times New Roman" w:eastAsia="Times New Roman" w:hAnsi="Times New Roman"/>
          <w:sz w:val="18"/>
          <w:szCs w:val="18"/>
          <w:color w:val="auto"/>
        </w:rPr>
      </w:pPr>
    </w:p>
    <w:p>
      <w:pPr>
        <w:ind w:left="1340" w:hanging="642"/>
        <w:spacing w:after="0"/>
        <w:tabs>
          <w:tab w:leader="none" w:pos="13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collaborations with potential partners to advance the Company’s product pipeline;</w:t>
      </w:r>
    </w:p>
    <w:p>
      <w:pPr>
        <w:spacing w:after="0" w:line="9" w:lineRule="exact"/>
        <w:rPr>
          <w:rFonts w:ascii="Times New Roman" w:cs="Times New Roman" w:eastAsia="Times New Roman" w:hAnsi="Times New Roman"/>
          <w:sz w:val="18"/>
          <w:szCs w:val="18"/>
          <w:color w:val="auto"/>
        </w:rPr>
      </w:pPr>
    </w:p>
    <w:p>
      <w:pPr>
        <w:ind w:left="1340" w:hanging="642"/>
        <w:spacing w:after="0"/>
        <w:tabs>
          <w:tab w:leader="none" w:pos="13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collaborations with potential marketing partners;</w:t>
      </w:r>
    </w:p>
    <w:p>
      <w:pPr>
        <w:spacing w:after="0" w:line="9" w:lineRule="exact"/>
        <w:rPr>
          <w:rFonts w:ascii="Times New Roman" w:cs="Times New Roman" w:eastAsia="Times New Roman" w:hAnsi="Times New Roman"/>
          <w:sz w:val="18"/>
          <w:szCs w:val="18"/>
          <w:color w:val="auto"/>
        </w:rPr>
      </w:pPr>
    </w:p>
    <w:p>
      <w:pPr>
        <w:ind w:left="1340" w:hanging="642"/>
        <w:spacing w:after="0"/>
        <w:tabs>
          <w:tab w:leader="none" w:pos="13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overhead and headcount to focus on core priorities, and/or</w:t>
      </w:r>
    </w:p>
    <w:p>
      <w:pPr>
        <w:spacing w:after="0" w:line="9" w:lineRule="exact"/>
        <w:rPr>
          <w:rFonts w:ascii="Times New Roman" w:cs="Times New Roman" w:eastAsia="Times New Roman" w:hAnsi="Times New Roman"/>
          <w:sz w:val="18"/>
          <w:szCs w:val="18"/>
          <w:color w:val="auto"/>
        </w:rPr>
      </w:pPr>
    </w:p>
    <w:p>
      <w:pPr>
        <w:ind w:left="1340" w:hanging="642"/>
        <w:spacing w:after="0"/>
        <w:tabs>
          <w:tab w:leader="none" w:pos="13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combination of the foregoing.</w:t>
      </w:r>
    </w:p>
    <w:p>
      <w:pPr>
        <w:spacing w:after="0" w:line="207" w:lineRule="exact"/>
        <w:rPr>
          <w:sz w:val="20"/>
          <w:szCs w:val="20"/>
          <w:color w:val="auto"/>
        </w:rPr>
      </w:pPr>
    </w:p>
    <w:p>
      <w:pPr>
        <w:ind w:left="60" w:right="199" w:firstLine="324"/>
        <w:spacing w:after="0" w:line="252" w:lineRule="auto"/>
        <w:rPr>
          <w:sz w:val="20"/>
          <w:szCs w:val="20"/>
          <w:color w:val="auto"/>
        </w:rPr>
      </w:pPr>
      <w:r>
        <w:rPr>
          <w:rFonts w:ascii="Times New Roman" w:cs="Times New Roman" w:eastAsia="Times New Roman" w:hAnsi="Times New Roman"/>
          <w:sz w:val="18"/>
          <w:szCs w:val="18"/>
          <w:color w:val="auto"/>
        </w:rPr>
        <w:t xml:space="preserve">To date, we have continued research and development activities while managing our cash position. However, we require additional funding to continue as a going concern. There are no assurances that we will be successful in obtaining an adequate level of financing as and when needed to finance our operations on terms acceptable to us or at all, particularly when there is market uncertainty or an economic downturn or if other events make investment in our securities less appealing. If we are unable to secure adequate additional funding as and when needed on acceptable or commercially reasonable terms, we may have to significantly delay, scale back or discontinue the development and commercialization of one or more product candidates. In addition, there are various macro-economic trends affecting the financing markets whose impact on our liquidity and future funding requirements are uncertain as of the filing date of this Quarterly Report on Form 10-Q. We will need substantial additional funding, and if we are unable to raise capital when needed, we could be compelled to pursue alternative options, including, without limitation, implementing further workforce reductions, reducing or ceasing product development programs and advancement of our clinical trials and product candidates, selling our assets or seeking other strategic alternatives. See “Risks Related to Financial Position and Need for Additional Capital — </w:t>
      </w:r>
      <w:r>
        <w:rPr>
          <w:rFonts w:ascii="Times New Roman" w:cs="Times New Roman" w:eastAsia="Times New Roman" w:hAnsi="Times New Roman"/>
          <w:sz w:val="18"/>
          <w:szCs w:val="18"/>
          <w:i w:val="1"/>
          <w:iCs w:val="1"/>
          <w:color w:val="auto"/>
        </w:rPr>
        <w:t>We will need substantial additional funding, and if we are unable to raise capital when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needed, we could be forced to delay, reduce or eliminate our product development programs or</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1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260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606415"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6" w:name="page57"/>
    <w:bookmarkEnd w:id="5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60" w:right="319"/>
        <w:spacing w:after="0" w:line="284" w:lineRule="auto"/>
        <w:rPr>
          <w:sz w:val="20"/>
          <w:szCs w:val="20"/>
          <w:color w:val="auto"/>
        </w:rPr>
      </w:pPr>
      <w:r>
        <w:rPr>
          <w:rFonts w:ascii="Times New Roman" w:cs="Times New Roman" w:eastAsia="Times New Roman" w:hAnsi="Times New Roman"/>
          <w:sz w:val="18"/>
          <w:szCs w:val="18"/>
          <w:i w:val="1"/>
          <w:iCs w:val="1"/>
          <w:color w:val="auto"/>
        </w:rPr>
        <w:t>commercialization efforts or otherwise seek strategic alternatives.</w:t>
      </w:r>
      <w:r>
        <w:rPr>
          <w:rFonts w:ascii="Times New Roman" w:cs="Times New Roman" w:eastAsia="Times New Roman" w:hAnsi="Times New Roman"/>
          <w:sz w:val="18"/>
          <w:szCs w:val="18"/>
          <w:color w:val="auto"/>
        </w:rPr>
        <w:t>” in Part II. Item 1A., “Risk Factors” elsewhere in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Quarterly Report on Form 10-Q.</w:t>
      </w:r>
    </w:p>
    <w:p>
      <w:pPr>
        <w:spacing w:after="0" w:line="1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Sources of Liquidity</w:t>
      </w:r>
    </w:p>
    <w:p>
      <w:pPr>
        <w:spacing w:after="0" w:line="189" w:lineRule="exact"/>
        <w:rPr>
          <w:sz w:val="20"/>
          <w:szCs w:val="20"/>
          <w:color w:val="auto"/>
        </w:rPr>
      </w:pPr>
    </w:p>
    <w:p>
      <w:pPr>
        <w:ind w:left="60" w:right="279" w:firstLine="324"/>
        <w:spacing w:after="0" w:line="253" w:lineRule="auto"/>
        <w:rPr>
          <w:sz w:val="20"/>
          <w:szCs w:val="20"/>
          <w:color w:val="auto"/>
        </w:rPr>
      </w:pPr>
      <w:r>
        <w:rPr>
          <w:rFonts w:ascii="Times New Roman" w:cs="Times New Roman" w:eastAsia="Times New Roman" w:hAnsi="Times New Roman"/>
          <w:sz w:val="17"/>
          <w:szCs w:val="17"/>
          <w:color w:val="auto"/>
        </w:rPr>
        <w:t>We have primarily focused our efforts on raising capital and building the products in our pipeline, and, although we generate revenue from sales of IGALMI</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7"/>
          <w:szCs w:val="17"/>
          <w:color w:val="auto"/>
        </w:rPr>
        <w:t>, we do not expect to generate positive cash flows from operations in the near term. Since our inception, our operations have been financed primarily from proceeds from the sale of equity securities, including our initial public offering, private placements of our common stock, registered offerings of our common stock, an Open Market Sale Agreement (as amended, supplemented and/or restated from time to time, the “Sale Agreement”) with Jefferies LLC (“Jefferies”), and borrowings under our Credit Agreement (as described below). We have not yet established an ongoing source of revenue sufficient to cover our operating costs and will need to do so in future periods.</w:t>
      </w:r>
    </w:p>
    <w:p>
      <w:pPr>
        <w:spacing w:after="0" w:line="14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Financing Agreements</w:t>
      </w:r>
    </w:p>
    <w:p>
      <w:pPr>
        <w:spacing w:after="0" w:line="20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On April 19, 2022, we entered into two financing agreements: the Credit Agreement and the RIFA. Pursuant to the</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Credit Agreement, the Lenders originally agreed to provide up to $135,000 in senior secured term loans to us. On April</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28, 2022, we borrowed the first $70,000 tranche of loans under the Credit Agreement. Pursuant to the RIFA, the</w:t>
      </w:r>
    </w:p>
    <w:p>
      <w:pPr>
        <w:ind w:left="60"/>
        <w:spacing w:after="0" w:line="181" w:lineRule="auto"/>
        <w:rPr>
          <w:sz w:val="20"/>
          <w:szCs w:val="20"/>
          <w:color w:val="auto"/>
        </w:rPr>
      </w:pPr>
      <w:r>
        <w:rPr>
          <w:rFonts w:ascii="Times New Roman" w:cs="Times New Roman" w:eastAsia="Times New Roman" w:hAnsi="Times New Roman"/>
          <w:sz w:val="18"/>
          <w:szCs w:val="18"/>
          <w:color w:val="auto"/>
        </w:rPr>
        <w:t>Purchasers agreed to provide us with up to $120,000 in financing for our near-term commercial activities of IGALMI</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w:t>
      </w:r>
    </w:p>
    <w:p>
      <w:pPr>
        <w:spacing w:after="0" w:line="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development and commercialization of BXCL501 and other general corporate purposes. On July 8, 2022, we drew down</w:t>
      </w:r>
    </w:p>
    <w:p>
      <w:pPr>
        <w:spacing w:after="0" w:line="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first tranche of $30,000 under the RIFA. In connection with the Credit Agreement, we granted to the Lenders (i)</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warrants to purchase up to 17 shares of our common stock (the “Closing Date Warrants”), (ii) rights to purchase up to</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$5,000 of our common stock and (iii) warrants to purchase up to 175 individual ownership units (i.e., not in thousands) in</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OnkosXcel (the “OnkosXcel Warrants”).</w:t>
      </w:r>
    </w:p>
    <w:p>
      <w:pPr>
        <w:spacing w:after="0" w:line="166" w:lineRule="exact"/>
        <w:rPr>
          <w:sz w:val="20"/>
          <w:szCs w:val="20"/>
          <w:color w:val="auto"/>
        </w:rPr>
      </w:pPr>
    </w:p>
    <w:p>
      <w:pPr>
        <w:ind w:left="60" w:right="179" w:firstLine="324"/>
        <w:spacing w:after="0" w:line="253" w:lineRule="auto"/>
        <w:rPr>
          <w:sz w:val="20"/>
          <w:szCs w:val="20"/>
          <w:color w:val="auto"/>
        </w:rPr>
      </w:pPr>
      <w:r>
        <w:rPr>
          <w:rFonts w:ascii="Times New Roman" w:cs="Times New Roman" w:eastAsia="Times New Roman" w:hAnsi="Times New Roman"/>
          <w:sz w:val="18"/>
          <w:szCs w:val="18"/>
          <w:color w:val="auto"/>
        </w:rPr>
        <w:t>On November 13, 2023, we, the Lenders and OFA entered into a Waiver and First Amendment to Credit Agreement and Guaranty (the “First Amendment”) that provided for, among other things, a waiver and a modification to the covenant in the Credit Agreement regarding investments in OnkosXcel, pursuant to which we were permitted to invest up to a maximum of $30,000 at any time outstanding in OnkosXcel, increased from the $25,000 at any time outstanding. The First Amendment waived any defaults or events of default arising under the Credit Agreement due to a breach prior to the date of the First Amendment of the OnkosXcel investment covenant, or a breach of our obligation to notify OFA of such default, including our investment in an amount in excess of what was previously permitted under the OnkosXcel investment covenant. In connection with the First Amendment, we paid to the Lenders a fee of $180 (representing 0.25% of the loans outstanding under the Credit Agreement on the date of the First Amendment) and agreed to pay to the Lenders an exit fee equal to 0.25% of the loans under the Credit Agreement repaid upon maturity or prepayment of the loans.</w:t>
      </w:r>
    </w:p>
    <w:p>
      <w:pPr>
        <w:spacing w:after="0" w:line="151" w:lineRule="exact"/>
        <w:rPr>
          <w:sz w:val="20"/>
          <w:szCs w:val="20"/>
          <w:color w:val="auto"/>
        </w:rPr>
      </w:pPr>
    </w:p>
    <w:p>
      <w:pPr>
        <w:ind w:left="60" w:right="159" w:firstLine="324"/>
        <w:spacing w:after="0" w:line="256" w:lineRule="auto"/>
        <w:rPr>
          <w:sz w:val="20"/>
          <w:szCs w:val="20"/>
          <w:color w:val="auto"/>
        </w:rPr>
      </w:pPr>
      <w:r>
        <w:rPr>
          <w:rFonts w:ascii="Times New Roman" w:cs="Times New Roman" w:eastAsia="Times New Roman" w:hAnsi="Times New Roman"/>
          <w:sz w:val="18"/>
          <w:szCs w:val="18"/>
          <w:color w:val="auto"/>
        </w:rPr>
        <w:t>On December 5, 2023, we entered into the Second Amendment to Credit Agreement and Guaranty and Termination of Revenue Interest Financing Agreement (the “Second Amendment”) with the Lenders and OFA, as administrative agent. The Second Amendment terminated the RIFA and converted the financing previously provided to us thereunder to term loans under the Credit Agreement. In addition, the Second Amendment replaced the Credit Agreement’s existing “Tranche B” and “Tranche C” term loan opportunities with three new tranches aggregating up to $100,000 in potential funding:</w:t>
      </w:r>
    </w:p>
    <w:p>
      <w:pPr>
        <w:spacing w:after="0" w:line="160" w:lineRule="exact"/>
        <w:rPr>
          <w:sz w:val="20"/>
          <w:szCs w:val="20"/>
          <w:color w:val="auto"/>
        </w:rPr>
      </w:pPr>
    </w:p>
    <w:p>
      <w:pPr>
        <w:ind w:left="1040" w:right="459" w:hanging="315"/>
        <w:spacing w:after="0" w:line="255" w:lineRule="auto"/>
        <w:tabs>
          <w:tab w:leader="none" w:pos="10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$20,000 “Tranche B” term loan available upon satisfaction of the following conditions on or before December 31, 2024: (i) us raising an aggregate of at least $40,000 after the date of the First Amendment from (a) equity proceeds or (b) a bona fide contract with a governmental authority to use BXCL501 for opioid withdrawal, (ii) initiation of a new clinical trial in the TRANQUILITY program based on our meeting with the FDA held on October 11, 2023, and (iii) the total pro forma indebtedness outstanding under the Credit Agreement as a percentage of our trailing 30-day market capitalization being less than 30%;</w:t>
      </w:r>
    </w:p>
    <w:p>
      <w:pPr>
        <w:spacing w:after="0" w:line="148" w:lineRule="exact"/>
        <w:rPr>
          <w:rFonts w:ascii="Times New Roman" w:cs="Times New Roman" w:eastAsia="Times New Roman" w:hAnsi="Times New Roman"/>
          <w:sz w:val="18"/>
          <w:szCs w:val="18"/>
          <w:color w:val="auto"/>
        </w:rPr>
      </w:pPr>
    </w:p>
    <w:p>
      <w:pPr>
        <w:ind w:left="1040" w:right="539" w:hanging="315"/>
        <w:spacing w:after="0" w:line="312" w:lineRule="auto"/>
        <w:tabs>
          <w:tab w:leader="none" w:pos="104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$30,000 “Tranche C” term loan available upon satisfaction of the following conditions on or before December 31, 2025: (i) either (a) receipt of approval from the FDA of an sNDA in respect of the use of</w:t>
      </w:r>
    </w:p>
    <w:p>
      <w:pPr>
        <w:sectPr>
          <w:pgSz w:w="11900" w:h="16838" w:orient="portrait"/>
          <w:cols w:equalWidth="0" w:num="1">
            <w:col w:w="9019"/>
          </w:cols>
          <w:pgMar w:left="1440" w:top="513" w:right="1440" w:bottom="1440" w:gutter="0" w:footer="0" w:header="0"/>
        </w:sectPr>
      </w:pPr>
    </w:p>
    <w:p>
      <w:pPr>
        <w:spacing w:after="0" w:line="35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260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606415"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7" w:name="page58"/>
    <w:bookmarkEnd w:id="5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040" w:right="299"/>
        <w:spacing w:after="0" w:line="256" w:lineRule="auto"/>
        <w:rPr>
          <w:sz w:val="20"/>
          <w:szCs w:val="20"/>
          <w:color w:val="auto"/>
        </w:rPr>
      </w:pPr>
      <w:r>
        <w:rPr>
          <w:rFonts w:ascii="Times New Roman" w:cs="Times New Roman" w:eastAsia="Times New Roman" w:hAnsi="Times New Roman"/>
          <w:sz w:val="18"/>
          <w:szCs w:val="18"/>
          <w:color w:val="auto"/>
        </w:rPr>
        <w:t>BXCL501 for the acute treatment of agitation associated with dementia or (b) the receipt of approval from the FDA of an sNDA in respect of the use of BXCL501 for (x) the acute treatment of agitation associated with schizophrenia in adults and (y) the acute treatment of agitation associated with bipolar I or II disorder in adults, in each case, in the community/at home setting without the requirement for administration under the supervision of a healthcare provider, and (ii) the total pro forma indebtedness outstanding under the Credit Agreement as a percentage of our trailing 30-day market capitalization being less than 30%; and</w:t>
      </w:r>
    </w:p>
    <w:p>
      <w:pPr>
        <w:spacing w:after="0" w:line="160" w:lineRule="exact"/>
        <w:rPr>
          <w:sz w:val="20"/>
          <w:szCs w:val="20"/>
          <w:color w:val="auto"/>
        </w:rPr>
      </w:pPr>
    </w:p>
    <w:p>
      <w:pPr>
        <w:ind w:left="1040" w:right="259" w:hanging="315"/>
        <w:spacing w:after="0" w:line="258" w:lineRule="auto"/>
        <w:tabs>
          <w:tab w:leader="none" w:pos="10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$50,000 “Tranche D” term loan available upon satisfaction of the following conditions on or before December 31, 2025: (i) the conditions precedent to the borrowing of Tranche C (as described in the preceding bullet point) have been satisfied, and (ii) our total net revenue attributable to sales of BXCL501 (for the avoidance of doubt, including any revenues attributable to use of BXCL501 for opioid withdrawal) for the trailing twelve consecutive month period exceeding a specified amount.</w:t>
      </w:r>
    </w:p>
    <w:p>
      <w:pPr>
        <w:spacing w:after="0" w:line="14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As of March 31, 2025, $80,000 remains available for borrowing if the milestones above are met.</w:t>
      </w:r>
    </w:p>
    <w:p>
      <w:pPr>
        <w:spacing w:after="0" w:line="185" w:lineRule="exact"/>
        <w:rPr>
          <w:sz w:val="20"/>
          <w:szCs w:val="20"/>
          <w:color w:val="auto"/>
        </w:rPr>
      </w:pPr>
    </w:p>
    <w:p>
      <w:pPr>
        <w:ind w:left="60" w:right="399" w:firstLine="324"/>
        <w:spacing w:after="0" w:line="266" w:lineRule="auto"/>
        <w:rPr>
          <w:sz w:val="20"/>
          <w:szCs w:val="20"/>
          <w:color w:val="auto"/>
        </w:rPr>
      </w:pPr>
      <w:r>
        <w:rPr>
          <w:rFonts w:ascii="Times New Roman" w:cs="Times New Roman" w:eastAsia="Times New Roman" w:hAnsi="Times New Roman"/>
          <w:sz w:val="18"/>
          <w:szCs w:val="18"/>
          <w:color w:val="auto"/>
        </w:rPr>
        <w:t>The Second Amendment also modified the interest rate of the loans provided under the Credit Agreement to be a floating rate per annum equal to the secured overnight financing rate (“SOFR”) (subject to a SOFR floor of 2.5% and a cap of 5.5%) plus 7.5%.</w:t>
      </w:r>
    </w:p>
    <w:p>
      <w:pPr>
        <w:spacing w:after="0" w:line="149" w:lineRule="exact"/>
        <w:rPr>
          <w:sz w:val="20"/>
          <w:szCs w:val="20"/>
          <w:color w:val="auto"/>
        </w:rPr>
      </w:pPr>
    </w:p>
    <w:p>
      <w:pPr>
        <w:ind w:left="60" w:right="159" w:firstLine="324"/>
        <w:spacing w:after="0" w:line="277" w:lineRule="auto"/>
        <w:rPr>
          <w:sz w:val="20"/>
          <w:szCs w:val="20"/>
          <w:color w:val="auto"/>
        </w:rPr>
      </w:pPr>
      <w:r>
        <w:rPr>
          <w:rFonts w:ascii="Times New Roman" w:cs="Times New Roman" w:eastAsia="Times New Roman" w:hAnsi="Times New Roman"/>
          <w:sz w:val="17"/>
          <w:szCs w:val="17"/>
          <w:color w:val="auto"/>
        </w:rPr>
        <w:t>Following the Second Amendment, we were required to comply with certain covenants under the Credit Agreement, including a financial covenant that requires we maintain a minimum cash liquidity amount of $15,000 (or higher upon certain events) and a modified minimum revenue requirement measured on a quarterly basis based on the revenue attributable to BXCL501 for the six consecutive month period ending on the last day of the relevant quarter (the “Revenue Covenant”), subject to cure payments of not less than $1,000 if we failed to meet the minimum revenue requirement.</w:t>
      </w:r>
    </w:p>
    <w:p>
      <w:pPr>
        <w:spacing w:after="0" w:line="127" w:lineRule="exact"/>
        <w:rPr>
          <w:sz w:val="20"/>
          <w:szCs w:val="20"/>
          <w:color w:val="auto"/>
        </w:rPr>
      </w:pPr>
    </w:p>
    <w:p>
      <w:pPr>
        <w:ind w:left="60" w:right="179" w:firstLine="324"/>
        <w:spacing w:after="0" w:line="253" w:lineRule="auto"/>
        <w:rPr>
          <w:sz w:val="20"/>
          <w:szCs w:val="20"/>
          <w:color w:val="auto"/>
        </w:rPr>
      </w:pPr>
      <w:r>
        <w:rPr>
          <w:rFonts w:ascii="Times New Roman" w:cs="Times New Roman" w:eastAsia="Times New Roman" w:hAnsi="Times New Roman"/>
          <w:sz w:val="18"/>
          <w:szCs w:val="18"/>
          <w:color w:val="auto"/>
        </w:rPr>
        <w:t>In connection with the closing of the Second Amendment, we amended and restated the Closing Date Warrants granted to the Lenders on April 19, 2022 to purchase up to 17 shares of the Company’s common stock at an exercise price of $320.64 per share. Pursuant to the amendment and restatement of the Closing Date Warrants, dated December 5, 2023 (the “Amended and Restated Closing Date Warrants”), the exercise price of the Closing Date Warrants was reduced to $58.3232 per share, which represented the arithmetic average of the volume-weighted average price of the Company’s common stock on the Nasdaq Capital Market during the 30 trading days preceding the Second Amendment Effective Date. In addition, the Company granted new warrants to the Lenders to purchase up to 4 shares of the Company’s common stock (the “2023 Warrant Shares”) at an exercise price of $58.3232 per share (the “2023 Warrants”). The Amended and Restated Closing Date Warrants and the 2023 Warrants will expire on April 19, 2029 and may be net exercised at the holder’s election.</w:t>
      </w:r>
    </w:p>
    <w:p>
      <w:pPr>
        <w:spacing w:after="0" w:line="154" w:lineRule="exact"/>
        <w:rPr>
          <w:sz w:val="20"/>
          <w:szCs w:val="20"/>
          <w:color w:val="auto"/>
        </w:rPr>
      </w:pPr>
    </w:p>
    <w:p>
      <w:pPr>
        <w:ind w:left="60" w:right="159" w:firstLine="324"/>
        <w:spacing w:after="0" w:line="254" w:lineRule="auto"/>
        <w:rPr>
          <w:sz w:val="20"/>
          <w:szCs w:val="20"/>
          <w:color w:val="auto"/>
        </w:rPr>
      </w:pPr>
      <w:r>
        <w:rPr>
          <w:rFonts w:ascii="Times New Roman" w:cs="Times New Roman" w:eastAsia="Times New Roman" w:hAnsi="Times New Roman"/>
          <w:sz w:val="18"/>
          <w:szCs w:val="18"/>
          <w:color w:val="auto"/>
        </w:rPr>
        <w:t>On February 12, 2024 (the “Third Amendment Effective Date”), we entered into the Third Amendment to Credit Agreement and Guaranty (the “Third Amendment”), pursuant to which the Lenders agreed to waive the covenant that we shall not receive a report and opinion from our independent auditors that contains a “going concern” or like qualification or exception or emphasis of matter of going concern footnote with respect to our financial statements for the fiscal year ended December 31, 2023 and, as a result, such event shall not be an event of default. As a condition to the effectiveness of the Third Amendment, among other things, we shall have received at least $40,000 in gross proceeds from a registered public sale of the Company’s common stock, warrants and/or pre-funded warrants on or before February 20, 2024. We did not meet this condition and therefore the Third Amendment did not become effective.</w:t>
      </w:r>
    </w:p>
    <w:p>
      <w:pPr>
        <w:spacing w:after="0" w:line="165" w:lineRule="exact"/>
        <w:rPr>
          <w:sz w:val="20"/>
          <w:szCs w:val="20"/>
          <w:color w:val="auto"/>
        </w:rPr>
      </w:pPr>
    </w:p>
    <w:p>
      <w:pPr>
        <w:ind w:left="60" w:right="199" w:firstLine="324"/>
        <w:spacing w:after="0" w:line="261" w:lineRule="auto"/>
        <w:rPr>
          <w:sz w:val="20"/>
          <w:szCs w:val="20"/>
          <w:color w:val="auto"/>
        </w:rPr>
      </w:pPr>
      <w:r>
        <w:rPr>
          <w:rFonts w:ascii="Times New Roman" w:cs="Times New Roman" w:eastAsia="Times New Roman" w:hAnsi="Times New Roman"/>
          <w:sz w:val="18"/>
          <w:szCs w:val="18"/>
          <w:color w:val="auto"/>
        </w:rPr>
        <w:t>On March 20, 2024, we entered into the Fourth Amendment to the Credit Agreement (“the Fourth Amendment”), pursuant to which the Lenders waived the Credit Agreement’s covenant that the report and opinion the Company received from its independent registered public accounting firm with respect to the financial statements for the year ending December 31, 2023 not contain a “going concern” or similar qualification.</w:t>
      </w:r>
    </w:p>
    <w:p>
      <w:pPr>
        <w:spacing w:after="0" w:line="139" w:lineRule="exact"/>
        <w:rPr>
          <w:sz w:val="20"/>
          <w:szCs w:val="20"/>
          <w:color w:val="auto"/>
        </w:rPr>
      </w:pPr>
    </w:p>
    <w:p>
      <w:pPr>
        <w:ind w:left="60" w:right="199" w:firstLine="324"/>
        <w:spacing w:after="0" w:line="266" w:lineRule="auto"/>
        <w:rPr>
          <w:sz w:val="20"/>
          <w:szCs w:val="20"/>
          <w:color w:val="auto"/>
        </w:rPr>
      </w:pPr>
      <w:r>
        <w:rPr>
          <w:rFonts w:ascii="Times New Roman" w:cs="Times New Roman" w:eastAsia="Times New Roman" w:hAnsi="Times New Roman"/>
          <w:sz w:val="18"/>
          <w:szCs w:val="18"/>
          <w:color w:val="auto"/>
        </w:rPr>
        <w:t>The Fourth Amendment included covenants that we receive, (i) after the effective date of the Fourth Amendment and on or before April 15, 2024, at least $25,000 in gross proceeds from the issuance of our common stock, warrants and/or pre-funded warrants, and/or in non-refundable cash consideration from partnering transactions entered into after</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254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606415"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8" w:name="page59"/>
    <w:bookmarkEnd w:id="5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59"/>
        <w:spacing w:after="0" w:line="253" w:lineRule="auto"/>
        <w:rPr>
          <w:sz w:val="20"/>
          <w:szCs w:val="20"/>
          <w:color w:val="auto"/>
        </w:rPr>
      </w:pPr>
      <w:r>
        <w:rPr>
          <w:rFonts w:ascii="Times New Roman" w:cs="Times New Roman" w:eastAsia="Times New Roman" w:hAnsi="Times New Roman"/>
          <w:sz w:val="18"/>
          <w:szCs w:val="18"/>
          <w:color w:val="auto"/>
        </w:rPr>
        <w:t>the effective date of the Fourth Amendment (so long as such partnering transactions would not require us or any of our subsidiaries to make any cash investments in connection with the partnering transactions and no such cash investments are made), and (ii) after the effective date of the Fourth Amendment and on or before November 30, 2024, at least $50,000 (for the avoidance of doubt, inclusive of amounts previously counted toward the preceding clause (i)) in gross proceeds from the issuance of our common stock, warrants and/or pre-funded warrants, and/or in cash and/or non-cash consideration (measured at fair market value, as determined by the Administrative Agent (as defined in the Credit Agreement) in its sole discretion ) from partnering transactions entered into after the effective date of the Fourth Amendment. Failure to perform this covenant would constitute (A) a default under the Credit Agreement and (B) an event of default under the Credit Agreement, subject to a cure period, in the case of clause (i) of the preceding sentence, until May 15, 2024 (for the avoidance of doubt, failure to perform clause (ii) would constitute an immediate event of default under the Credit Agreement without any cure or grace period).</w:t>
      </w:r>
    </w:p>
    <w:p>
      <w:pPr>
        <w:spacing w:after="0" w:line="165" w:lineRule="exact"/>
        <w:rPr>
          <w:sz w:val="20"/>
          <w:szCs w:val="20"/>
          <w:color w:val="auto"/>
        </w:rPr>
      </w:pPr>
    </w:p>
    <w:p>
      <w:pPr>
        <w:ind w:left="60" w:right="179" w:firstLine="324"/>
        <w:spacing w:after="0" w:line="253" w:lineRule="auto"/>
        <w:rPr>
          <w:sz w:val="20"/>
          <w:szCs w:val="20"/>
          <w:color w:val="auto"/>
        </w:rPr>
      </w:pPr>
      <w:r>
        <w:rPr>
          <w:rFonts w:ascii="Times New Roman" w:cs="Times New Roman" w:eastAsia="Times New Roman" w:hAnsi="Times New Roman"/>
          <w:sz w:val="18"/>
          <w:szCs w:val="18"/>
          <w:color w:val="auto"/>
        </w:rPr>
        <w:t>In addition, the Fourth Amendment provided that if we had not, after the Effective Date and on or before September 30, 2024, received at least $40,000 in gross proceeds from the issuance of our common stock, warrants and/or pre-funded warrants, and/or cash and/or non-cash consideration (measured at fair market value, as determined by the Administrative Agent in its sole discretion) from partnering transactions entered into after the effective date of the Fourth Amendment, the “Minimum Liquidity Amount” (as defined in the Credit Agreement) that we are required to maintain at all times will increase to $25,000 from $15,000, unless and until we had received, after the effective date of the Fourth Amendment and on or before November 30, 2024, at least $50,000 in gross proceeds from the issuance of our common stock, warrants and/or pre-funded warrants, and/or in cash and/or non-cash consideration (measured at fair market value, as determined by the Administrative Agent in its sole discretion) from partnering transactions entered into after the effective date of the Fourth Amendment.</w:t>
      </w:r>
    </w:p>
    <w:p>
      <w:pPr>
        <w:spacing w:after="0" w:line="15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In connection with the Fourth Amendment, on the effective date of the Fourth Amendment, we granted new warrants</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to the Lenders to purchase up to 6 shares of our common stock (the “2024 Warrant Shares”) at an exercise price of</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$49.1568 per share (the “2024 Warrants”), which represents a 10% premium over the arithmetic average of the volume-</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weighted average price of our common stock on the Nasdaq Capital Market during the 30 trading days preceding the</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Effective Date. The 2024 Warrants will expire on April 19, 2029 and may be net exercised at the holder’s election.</w:t>
      </w:r>
    </w:p>
    <w:p>
      <w:pPr>
        <w:spacing w:after="0" w:line="166" w:lineRule="exact"/>
        <w:rPr>
          <w:sz w:val="20"/>
          <w:szCs w:val="20"/>
          <w:color w:val="auto"/>
        </w:rPr>
      </w:pPr>
    </w:p>
    <w:p>
      <w:pPr>
        <w:jc w:val="both"/>
        <w:ind w:left="60" w:right="139" w:firstLine="324"/>
        <w:spacing w:after="0" w:line="282" w:lineRule="auto"/>
        <w:rPr>
          <w:sz w:val="20"/>
          <w:szCs w:val="20"/>
          <w:color w:val="auto"/>
        </w:rPr>
      </w:pPr>
      <w:r>
        <w:rPr>
          <w:rFonts w:ascii="Times New Roman" w:cs="Times New Roman" w:eastAsia="Times New Roman" w:hAnsi="Times New Roman"/>
          <w:sz w:val="18"/>
          <w:szCs w:val="18"/>
          <w:color w:val="auto"/>
        </w:rPr>
        <w:t>On November 21, 2024, the Company entered into the Fifth Amendment to Credit Agreement and Guaranty and First Amendment to Fourth Amendment to Credit Agreement and Guaranty (the “Fifth Amendment”).</w:t>
      </w:r>
    </w:p>
    <w:p>
      <w:pPr>
        <w:spacing w:after="0" w:line="162" w:lineRule="exact"/>
        <w:rPr>
          <w:sz w:val="20"/>
          <w:szCs w:val="20"/>
          <w:color w:val="auto"/>
        </w:rPr>
      </w:pPr>
    </w:p>
    <w:p>
      <w:pPr>
        <w:jc w:val="both"/>
        <w:ind w:left="60" w:right="139" w:firstLine="324"/>
        <w:spacing w:after="0" w:line="255" w:lineRule="auto"/>
        <w:rPr>
          <w:sz w:val="20"/>
          <w:szCs w:val="20"/>
          <w:color w:val="auto"/>
        </w:rPr>
      </w:pPr>
      <w:r>
        <w:rPr>
          <w:rFonts w:ascii="Times New Roman" w:cs="Times New Roman" w:eastAsia="Times New Roman" w:hAnsi="Times New Roman"/>
          <w:sz w:val="18"/>
          <w:szCs w:val="18"/>
          <w:color w:val="auto"/>
        </w:rPr>
        <w:t>Pursuant to the Fifth Amendment, the Lenders agreed to, among other things, (i) waive the Credit Agreement’s covenant that the report and opinion the Company will receive from its independent registered public accounting firm with respect to the financial statements for the year ending December 31, 2024 will not contain a “going concern” or similar qualification, (ii) permanently waive the Credit Agreement’s minimum revenue covenant, and (iii) waive the Fourth Amendment’s requirement that the Company raise, after the effective date of the Fourth Amendment and on or before November 30, 2024, at least $50,000 in gross cash proceeds from the issuance of its common stock, warrants, and/or pre-funded warrants, and/or in cash and/or non-cash consideration from newly entered-into partnering transactions.</w:t>
      </w:r>
    </w:p>
    <w:p>
      <w:pPr>
        <w:spacing w:after="0" w:line="189" w:lineRule="exact"/>
        <w:rPr>
          <w:sz w:val="20"/>
          <w:szCs w:val="20"/>
          <w:color w:val="auto"/>
        </w:rPr>
      </w:pPr>
    </w:p>
    <w:p>
      <w:pPr>
        <w:jc w:val="both"/>
        <w:ind w:left="60" w:right="139" w:firstLine="324"/>
        <w:spacing w:after="0" w:line="253" w:lineRule="auto"/>
        <w:rPr>
          <w:sz w:val="20"/>
          <w:szCs w:val="20"/>
          <w:color w:val="auto"/>
        </w:rPr>
      </w:pPr>
      <w:r>
        <w:rPr>
          <w:rFonts w:ascii="Times New Roman" w:cs="Times New Roman" w:eastAsia="Times New Roman" w:hAnsi="Times New Roman"/>
          <w:sz w:val="18"/>
          <w:szCs w:val="18"/>
          <w:color w:val="auto"/>
        </w:rPr>
        <w:t>The Fifth Amendment included a new capital raising covenant requiring that the Company receive (A) after the effective date of the Fifth Amendment and on or prior to November 27,2024, at least $7,000 in gross cash proceeds from the issuance of the Company’s common stock, warrants and/or pre-funded warrants(“Raise 1”), (B) after the effective date of the Fifth Amendment and on or before March 15, 2025 (provided that the Company was required to use its commercially reasonable efforts to satisfy the requirement by February 15, 2025), at least $18,000 in net cash proceeds (including the proceeds of Raise 1) from (i) the issuance of the Company’s common stock, warrants and/or pre-funded warrants, (ii) non-refundable cash consideration from partnering transactions entered into after the effective date of the Fifth Amendment (so long as such partnering transactions would not require the Company or any of its subsidiaries to make any cash investments in connection with the partnering transactions and no such cash investments are made), (iii) the issuance of the Company’s subordinated debt (subject to terms set forth in the Fifth Amendment), and/or (iv) asset sales permitted pursuant to the Credit Agreement or consented to by the Lenders (such capital raise, “Raise 2”), and (C) after the effective date of the Fifth Amendment and on or prior to the earlier of (x) August 15, 2025 and (y) the date that is 30 days after the final data readout of the SERENITY At-Home Phase 3 trial, at least $29,000 in net cash proceeds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260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606415"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9" w:name="page60"/>
    <w:bookmarkEnd w:id="5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139"/>
        <w:spacing w:after="0" w:line="282" w:lineRule="auto"/>
        <w:rPr>
          <w:sz w:val="20"/>
          <w:szCs w:val="20"/>
          <w:color w:val="auto"/>
        </w:rPr>
      </w:pPr>
      <w:r>
        <w:rPr>
          <w:rFonts w:ascii="Times New Roman" w:cs="Times New Roman" w:eastAsia="Times New Roman" w:hAnsi="Times New Roman"/>
          <w:sz w:val="18"/>
          <w:szCs w:val="18"/>
          <w:color w:val="auto"/>
        </w:rPr>
        <w:t>(including the proceeds from Raise 1 and Raise 2) from the same permitted capital raising activities listed in the preceding clause (B).</w:t>
      </w:r>
    </w:p>
    <w:p>
      <w:pPr>
        <w:spacing w:after="0" w:line="162" w:lineRule="exact"/>
        <w:rPr>
          <w:sz w:val="20"/>
          <w:szCs w:val="20"/>
          <w:color w:val="auto"/>
        </w:rPr>
      </w:pPr>
    </w:p>
    <w:p>
      <w:pPr>
        <w:jc w:val="both"/>
        <w:ind w:left="60" w:right="139" w:firstLine="324"/>
        <w:spacing w:after="0" w:line="258" w:lineRule="auto"/>
        <w:rPr>
          <w:sz w:val="20"/>
          <w:szCs w:val="20"/>
          <w:color w:val="auto"/>
        </w:rPr>
      </w:pPr>
      <w:r>
        <w:rPr>
          <w:rFonts w:ascii="Times New Roman" w:cs="Times New Roman" w:eastAsia="Times New Roman" w:hAnsi="Times New Roman"/>
          <w:sz w:val="18"/>
          <w:szCs w:val="18"/>
          <w:color w:val="auto"/>
        </w:rPr>
        <w:t>In connection with the Fifth Amendment and the required capital raises described in the preceding paragraph, the Lenders agreed to modify the Credit Agreement’s minimum liquidity covenant to require minimum cash liquidity of $7,500 (instead of $25,000) from and after the closing of Raise 1 until March 30, 2025. On March 31, 2025, the minimum liquidity amount increased to $10,000 and on September 30, 2025, the minimum liquidity amount will further increase to $15,000.</w:t>
      </w:r>
    </w:p>
    <w:p>
      <w:pPr>
        <w:spacing w:after="0" w:line="183" w:lineRule="exact"/>
        <w:rPr>
          <w:sz w:val="20"/>
          <w:szCs w:val="20"/>
          <w:color w:val="auto"/>
        </w:rPr>
      </w:pPr>
    </w:p>
    <w:p>
      <w:pPr>
        <w:jc w:val="both"/>
        <w:ind w:left="60" w:right="139" w:firstLine="324"/>
        <w:spacing w:after="0" w:line="266" w:lineRule="auto"/>
        <w:rPr>
          <w:sz w:val="20"/>
          <w:szCs w:val="20"/>
          <w:color w:val="auto"/>
        </w:rPr>
      </w:pPr>
      <w:r>
        <w:rPr>
          <w:rFonts w:ascii="Times New Roman" w:cs="Times New Roman" w:eastAsia="Times New Roman" w:hAnsi="Times New Roman"/>
          <w:sz w:val="18"/>
          <w:szCs w:val="18"/>
          <w:color w:val="auto"/>
        </w:rPr>
        <w:t>In connection with the Fifth Amendment, the Company made the required one-time amortization payment of $2,500 principal amount, together with accrued and unpaid interest and a portion of the prepayment fee and other fees payable by December 31, 2024.</w:t>
      </w:r>
    </w:p>
    <w:p>
      <w:pPr>
        <w:spacing w:after="0" w:line="176" w:lineRule="exact"/>
        <w:rPr>
          <w:sz w:val="20"/>
          <w:szCs w:val="20"/>
          <w:color w:val="auto"/>
        </w:rPr>
      </w:pPr>
    </w:p>
    <w:p>
      <w:pPr>
        <w:jc w:val="both"/>
        <w:ind w:left="60" w:right="139" w:firstLine="324"/>
        <w:spacing w:after="0" w:line="255" w:lineRule="auto"/>
        <w:rPr>
          <w:sz w:val="20"/>
          <w:szCs w:val="20"/>
          <w:color w:val="auto"/>
        </w:rPr>
      </w:pPr>
      <w:r>
        <w:rPr>
          <w:rFonts w:ascii="Times New Roman" w:cs="Times New Roman" w:eastAsia="Times New Roman" w:hAnsi="Times New Roman"/>
          <w:sz w:val="18"/>
          <w:szCs w:val="18"/>
          <w:color w:val="auto"/>
        </w:rPr>
        <w:t xml:space="preserve">The Fifth Amendment also modified the interest rate of the loans provided under the Credit Agreement from a floating rate of Term SOFR plus 7.50% per annum, to a fixed rate of 13% per annum, retroactive to and effective as of September 30, 2024. For the quarterly payment dates </w:t>
      </w:r>
      <w:r>
        <w:rPr>
          <w:rFonts w:ascii="Times New Roman" w:cs="Times New Roman" w:eastAsia="Times New Roman" w:hAnsi="Times New Roman"/>
          <w:sz w:val="18"/>
          <w:szCs w:val="18"/>
          <w:color w:val="202020"/>
        </w:rPr>
        <w:t>ending December 31, 2024, March 31, 2025, and June 30, 2025, t</w:t>
      </w:r>
      <w:r>
        <w:rPr>
          <w:rFonts w:ascii="Times New Roman" w:cs="Times New Roman" w:eastAsia="Times New Roman" w:hAnsi="Times New Roman"/>
          <w:sz w:val="18"/>
          <w:szCs w:val="18"/>
          <w:color w:val="auto"/>
        </w:rPr>
        <w:t>he Company will have the ability to make interest payments of up to 10% per annum “in-kind” by capitalizing and adding such interest to the outstanding principal amount of the loans under the Credit Agreement</w:t>
      </w:r>
      <w:r>
        <w:rPr>
          <w:rFonts w:ascii="Times New Roman" w:cs="Times New Roman" w:eastAsia="Times New Roman" w:hAnsi="Times New Roman"/>
          <w:sz w:val="18"/>
          <w:szCs w:val="18"/>
          <w:color w:val="202020"/>
        </w:rPr>
        <w:t>.</w:t>
      </w:r>
      <w:r>
        <w:rPr>
          <w:rFonts w:ascii="Times New Roman" w:cs="Times New Roman" w:eastAsia="Times New Roman" w:hAnsi="Times New Roman"/>
          <w:sz w:val="18"/>
          <w:szCs w:val="18"/>
          <w:color w:val="auto"/>
        </w:rPr>
        <w:t xml:space="preserve"> In addition, pursuant to the Fifth Amendment, the Company will be required to make quarterly amortization payments equal to 5.0% of the principal amount of funded loans, together with applicable prepayment fees, beginning on March 31, 2026.</w:t>
      </w:r>
    </w:p>
    <w:p>
      <w:pPr>
        <w:spacing w:after="0" w:line="189" w:lineRule="exact"/>
        <w:rPr>
          <w:sz w:val="20"/>
          <w:szCs w:val="20"/>
          <w:color w:val="auto"/>
        </w:rPr>
      </w:pPr>
    </w:p>
    <w:p>
      <w:pPr>
        <w:jc w:val="both"/>
        <w:ind w:left="60" w:right="139" w:firstLine="324"/>
        <w:spacing w:after="0" w:line="261" w:lineRule="auto"/>
        <w:rPr>
          <w:sz w:val="20"/>
          <w:szCs w:val="20"/>
          <w:color w:val="auto"/>
        </w:rPr>
      </w:pPr>
      <w:r>
        <w:rPr>
          <w:rFonts w:ascii="Times New Roman" w:cs="Times New Roman" w:eastAsia="Times New Roman" w:hAnsi="Times New Roman"/>
          <w:sz w:val="18"/>
          <w:szCs w:val="18"/>
          <w:color w:val="202020"/>
        </w:rPr>
        <w:t>On the effective date of the Fifth Amendment and as a condition to effectiveness thereof, the Company’s wholly owned subsidiaries OnkosXcel Therapeutics, LLC and OnkosXcel Employee Holdings, LLC (collectively, “OnkosXcel”), which previously provided unsecured guarantees of the Company’s obligations under the Credit Agreement, granted security interests in substantially all of their assets to support such obligations.</w:t>
      </w:r>
    </w:p>
    <w:p>
      <w:pPr>
        <w:spacing w:after="0" w:line="180" w:lineRule="exact"/>
        <w:rPr>
          <w:sz w:val="20"/>
          <w:szCs w:val="20"/>
          <w:color w:val="auto"/>
        </w:rPr>
      </w:pPr>
    </w:p>
    <w:p>
      <w:pPr>
        <w:jc w:val="both"/>
        <w:ind w:left="60" w:right="139" w:firstLine="324"/>
        <w:spacing w:after="0" w:line="266" w:lineRule="auto"/>
        <w:rPr>
          <w:sz w:val="20"/>
          <w:szCs w:val="20"/>
          <w:color w:val="auto"/>
        </w:rPr>
      </w:pPr>
      <w:r>
        <w:rPr>
          <w:rFonts w:ascii="Times New Roman" w:cs="Times New Roman" w:eastAsia="Times New Roman" w:hAnsi="Times New Roman"/>
          <w:sz w:val="18"/>
          <w:szCs w:val="18"/>
          <w:color w:val="202020"/>
        </w:rPr>
        <w:t>The Fifth Amendment amended the negative covenants under the Credit Agreement to remove flexibility the Company and its subsidiaries previously had thereunder to undertake various transactions, including, without limitation, with respect to potential dispositions of OnkosXcel or out-licenses by OnkosXcel of its intellectual property.</w:t>
      </w:r>
    </w:p>
    <w:p>
      <w:pPr>
        <w:spacing w:after="0" w:line="176" w:lineRule="exact"/>
        <w:rPr>
          <w:sz w:val="20"/>
          <w:szCs w:val="20"/>
          <w:color w:val="auto"/>
        </w:rPr>
      </w:pPr>
    </w:p>
    <w:p>
      <w:pPr>
        <w:jc w:val="both"/>
        <w:ind w:left="60" w:right="139" w:firstLine="324"/>
        <w:spacing w:after="0" w:line="256" w:lineRule="auto"/>
        <w:rPr>
          <w:sz w:val="20"/>
          <w:szCs w:val="20"/>
          <w:color w:val="auto"/>
        </w:rPr>
      </w:pPr>
      <w:r>
        <w:rPr>
          <w:rFonts w:ascii="Times New Roman" w:cs="Times New Roman" w:eastAsia="Times New Roman" w:hAnsi="Times New Roman"/>
          <w:sz w:val="18"/>
          <w:szCs w:val="18"/>
          <w:color w:val="202020"/>
        </w:rPr>
        <w:t>Pursuant to the Fifth Amendment, the Company committed to appoint a new independent board director (subject to customary background checks, applicable law, confirmation of independence and Nasdaq rules), and to provide the independent director with various privileges and committee memberships on the board of directors of the Company (including the appointment of such director on committee to be formed to focus on capital raising and evaluate strategic options). The Company also agreed to engage an investment banker reasonably acceptable to OFA and the Lenders to assist the Company and its board of directors with evaluating and exploring strategic options.</w:t>
      </w:r>
    </w:p>
    <w:p>
      <w:pPr>
        <w:spacing w:after="0" w:line="187" w:lineRule="exact"/>
        <w:rPr>
          <w:sz w:val="20"/>
          <w:szCs w:val="20"/>
          <w:color w:val="auto"/>
        </w:rPr>
      </w:pPr>
    </w:p>
    <w:p>
      <w:pPr>
        <w:jc w:val="both"/>
        <w:ind w:left="60" w:right="139" w:firstLine="324"/>
        <w:spacing w:after="0" w:line="255" w:lineRule="auto"/>
        <w:rPr>
          <w:sz w:val="20"/>
          <w:szCs w:val="20"/>
          <w:color w:val="auto"/>
        </w:rPr>
      </w:pPr>
      <w:r>
        <w:rPr>
          <w:rFonts w:ascii="Times New Roman" w:cs="Times New Roman" w:eastAsia="Times New Roman" w:hAnsi="Times New Roman"/>
          <w:sz w:val="18"/>
          <w:szCs w:val="18"/>
          <w:color w:val="202020"/>
        </w:rPr>
        <w:t>The Company also agreed to covenants requiring that the Company’s cash expenditures be monitored by the Lenders according to a board-approved budget provided to the Lenders prior to the signing of the Fifth Amendment, which cash budget will be updated on a bi-weekly basis going forward. The Company will not be permitted to make disbursements for any two-week period in excess of 115% of the aggregate budgeted amount of disbursements for the applicable period. Finally, pursuant to the Fifth Amendment, the Company is restricted from paying cash bonuses its employees or executives during the fiscal years 2024 and 2025 without OFA’s consent or increasing the cash compensation for fiscal year 2025 for certain senior officers of the Company from their compensation for fiscal year 2024.</w:t>
      </w:r>
    </w:p>
    <w:p>
      <w:pPr>
        <w:spacing w:after="0" w:line="189" w:lineRule="exact"/>
        <w:rPr>
          <w:sz w:val="20"/>
          <w:szCs w:val="20"/>
          <w:color w:val="auto"/>
        </w:rPr>
      </w:pPr>
    </w:p>
    <w:p>
      <w:pPr>
        <w:jc w:val="both"/>
        <w:ind w:left="60" w:right="139" w:firstLine="324"/>
        <w:spacing w:after="0" w:line="266" w:lineRule="auto"/>
        <w:rPr>
          <w:sz w:val="20"/>
          <w:szCs w:val="20"/>
          <w:color w:val="auto"/>
        </w:rPr>
      </w:pPr>
      <w:r>
        <w:rPr>
          <w:rFonts w:ascii="Times New Roman" w:cs="Times New Roman" w:eastAsia="Times New Roman" w:hAnsi="Times New Roman"/>
          <w:sz w:val="18"/>
          <w:szCs w:val="18"/>
          <w:color w:val="auto"/>
        </w:rPr>
        <w:t>On March 4, 2025, the Company entered into the Sixth Amendment to our Credit Agreement (the “Sixth Amendment”), pursuant to which the Lenders agreed to, among other things, delay the date on which we are required to engage an investment banker (which date has been subsequently extended to July 31, 2025).</w:t>
      </w:r>
    </w:p>
    <w:p>
      <w:pPr>
        <w:spacing w:after="0" w:line="17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202020"/>
        </w:rPr>
        <w:t>As of March 31, 2025, we had aggregate principal indebtedness of $109,391 outstanding under the Credit Agreement.</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254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606415"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0" w:name="page61"/>
    <w:bookmarkEnd w:id="6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202020"/>
        </w:rPr>
        <w:t>Company Warrants and Registration Rights Agreement</w:t>
      </w:r>
    </w:p>
    <w:p>
      <w:pPr>
        <w:spacing w:after="0" w:line="229" w:lineRule="exact"/>
        <w:rPr>
          <w:sz w:val="20"/>
          <w:szCs w:val="20"/>
          <w:color w:val="auto"/>
        </w:rPr>
      </w:pPr>
    </w:p>
    <w:p>
      <w:pPr>
        <w:ind w:left="60" w:right="279" w:firstLine="324"/>
        <w:spacing w:after="0" w:line="254" w:lineRule="auto"/>
        <w:rPr>
          <w:sz w:val="20"/>
          <w:szCs w:val="20"/>
          <w:color w:val="auto"/>
        </w:rPr>
      </w:pPr>
      <w:r>
        <w:rPr>
          <w:rFonts w:ascii="Times New Roman" w:cs="Times New Roman" w:eastAsia="Times New Roman" w:hAnsi="Times New Roman"/>
          <w:sz w:val="18"/>
          <w:szCs w:val="18"/>
          <w:color w:val="auto"/>
        </w:rPr>
        <w:t>Prior to the Fifth Amendment, pursuant to the Credit Agreement, the Lenders had the right to purchase shares of our common stock, so long as borrowings under the Credit Agreement are outstanding, for a purchase price of $5,000 at a price per share equal to a 10% premium to the volume-weighted average price of the common stock over the 30 trading days prior to the Lenders’ election to proceed with such equity investment (the “Equity Investment Right”). The Equity Investment Right was terminated as part of the Fifth Amendment. Also, in connection with the closing of the Fifth Amendment, the Company agreed to, substantially concurrently with the closing of Raise 1, grant new warrants to the Lenders to purchase an aggregate of 313 shares of common stock, at an exercise price of $0.16 per share (the “New Warrants”). The New Warrants will expire on the seventh anniversary of their issuance.</w:t>
      </w:r>
    </w:p>
    <w:p>
      <w:pPr>
        <w:spacing w:after="0" w:line="165" w:lineRule="exact"/>
        <w:rPr>
          <w:sz w:val="20"/>
          <w:szCs w:val="20"/>
          <w:color w:val="auto"/>
        </w:rPr>
      </w:pPr>
    </w:p>
    <w:p>
      <w:pPr>
        <w:jc w:val="both"/>
        <w:ind w:left="60" w:right="139" w:firstLine="648"/>
        <w:spacing w:after="0" w:line="255" w:lineRule="auto"/>
        <w:rPr>
          <w:sz w:val="20"/>
          <w:szCs w:val="20"/>
          <w:color w:val="auto"/>
        </w:rPr>
      </w:pPr>
      <w:r>
        <w:rPr>
          <w:rFonts w:ascii="Times New Roman" w:cs="Times New Roman" w:eastAsia="Times New Roman" w:hAnsi="Times New Roman"/>
          <w:sz w:val="18"/>
          <w:szCs w:val="18"/>
          <w:color w:val="202020"/>
        </w:rPr>
        <w:t>In addition, the Company agreed to, substantially concurrently with the closing of Raise 1, amend and restate all warrants to purchase stock of the Company issued to the Lenders prior to the effective date of the Fifth Amendment, to revise the exercise price thereunder to an exercise price equal to the lower of (i) the price per share of the common stock of the Company issued in Raise 1 and (ii) arithmetic average of the volume-weighted average price of the Company’s common stock on the Nasdaq Capital Market during the 30 trading days preceding Raise 1 (such existing warrants, as amended and restated, the “Original Warrants”). The Original Warrants provide the Lenders with the right to purchase a total of 28 shares of common stock of the Company.</w:t>
      </w:r>
    </w:p>
    <w:p>
      <w:pPr>
        <w:spacing w:after="0" w:line="189" w:lineRule="exact"/>
        <w:rPr>
          <w:sz w:val="20"/>
          <w:szCs w:val="20"/>
          <w:color w:val="auto"/>
        </w:rPr>
      </w:pPr>
    </w:p>
    <w:p>
      <w:pPr>
        <w:jc w:val="both"/>
        <w:ind w:left="60" w:right="139" w:firstLine="648"/>
        <w:spacing w:after="0" w:line="255" w:lineRule="auto"/>
        <w:rPr>
          <w:sz w:val="20"/>
          <w:szCs w:val="20"/>
          <w:color w:val="auto"/>
        </w:rPr>
      </w:pPr>
      <w:r>
        <w:rPr>
          <w:rFonts w:ascii="Times New Roman" w:cs="Times New Roman" w:eastAsia="Times New Roman" w:hAnsi="Times New Roman"/>
          <w:sz w:val="18"/>
          <w:szCs w:val="18"/>
          <w:color w:val="auto"/>
        </w:rPr>
        <w:t>We entered into a registration rights agreement with the Lenders in connection with the original closing of the Credit Agreement, which has been amended and restated since in connection with each issuance of additional warrants to the Lenders, including most recently, in connection with the Fifth Amendment (as so amended and restated the “Amended and Restated Registration Rights Agreement”). Pursuant to the Amended and Restated Registration Rights Agreement, we have filed registration statements on Form S-3 to register the shares issuable upon exercise of the Original Warrants and the New Warrants for resale. The maximum shares of our common stock issuable under the Original Warrants and the New Warrants is 366.</w:t>
      </w:r>
    </w:p>
    <w:p>
      <w:pPr>
        <w:spacing w:after="0" w:line="189" w:lineRule="exact"/>
        <w:rPr>
          <w:sz w:val="20"/>
          <w:szCs w:val="20"/>
          <w:color w:val="auto"/>
        </w:rPr>
      </w:pPr>
    </w:p>
    <w:p>
      <w:pPr>
        <w:jc w:val="both"/>
        <w:ind w:left="60" w:right="139" w:firstLine="648"/>
        <w:spacing w:after="0" w:line="253" w:lineRule="auto"/>
        <w:rPr>
          <w:sz w:val="20"/>
          <w:szCs w:val="20"/>
          <w:color w:val="auto"/>
        </w:rPr>
      </w:pPr>
      <w:r>
        <w:rPr>
          <w:rFonts w:ascii="Times New Roman" w:cs="Times New Roman" w:eastAsia="Times New Roman" w:hAnsi="Times New Roman"/>
          <w:sz w:val="18"/>
          <w:szCs w:val="18"/>
          <w:color w:val="auto"/>
        </w:rPr>
        <w:t>As part of entering into the Credit Agreement, OnkosXcel, a wholly owned subsidiary of BTI, granted the OnkosXcel Warrants to the Lenders to purchase 175 individual limited liability company units. The strike price of the OnkosXcel Warrants is formulaic based on the value of OnkosXcel at the time of exercise and can only be exercised upon occurrence of an equity related liquidity event for OnkosXcel of at least $20,000. The exercise price per unit of the OnkosXcel Warrants will be set upon the earlier of the closing of the next sale (or series of related sales) by OnkosXcel of equity securities of OnkosXcel with aggregate proceeds of not less than $20,000 to unrelated third parties (the “Next Equity Financing”) at an exercise price per unit equal to a 10% premium over the price per unit of the equity securities sold by OnkosXcel in such Next Equity Financing or, in the event of a sale of OnkosXcel prior to the Next Equity Financing or an initial public offering constituting the Next Equity Financing, the lesser of (x) 75% of the fair value of the consideration to be paid for a unit upon the consummation of such transaction and (y) 150% of the valuation applicable to the initial profits units issued by OnkosXcel after the closing of the Credit Agreement. The OnkosXcel Warrants are transferable with approval from BTI, which cannot be unreasonably withheld, expire on April 19, 2029, and may be net exercised at the holder’s election.</w:t>
      </w:r>
    </w:p>
    <w:p>
      <w:pPr>
        <w:spacing w:after="0" w:line="185" w:lineRule="exact"/>
        <w:rPr>
          <w:sz w:val="20"/>
          <w:szCs w:val="20"/>
          <w:color w:val="auto"/>
        </w:rPr>
      </w:pPr>
    </w:p>
    <w:p>
      <w:pPr>
        <w:ind w:left="60" w:right="379" w:firstLine="324"/>
        <w:spacing w:after="0" w:line="261" w:lineRule="auto"/>
        <w:rPr>
          <w:sz w:val="20"/>
          <w:szCs w:val="20"/>
          <w:color w:val="auto"/>
        </w:rPr>
      </w:pPr>
      <w:r>
        <w:rPr>
          <w:rFonts w:ascii="Times New Roman" w:cs="Times New Roman" w:eastAsia="Times New Roman" w:hAnsi="Times New Roman"/>
          <w:sz w:val="18"/>
          <w:szCs w:val="18"/>
          <w:color w:val="auto"/>
        </w:rPr>
        <w:t xml:space="preserve">See Note 9, </w:t>
      </w:r>
      <w:r>
        <w:rPr>
          <w:rFonts w:ascii="Times New Roman" w:cs="Times New Roman" w:eastAsia="Times New Roman" w:hAnsi="Times New Roman"/>
          <w:sz w:val="18"/>
          <w:szCs w:val="18"/>
          <w:i w:val="1"/>
          <w:iCs w:val="1"/>
          <w:color w:val="auto"/>
        </w:rPr>
        <w:t>Debt and Credit Facilities</w:t>
      </w:r>
      <w:r>
        <w:rPr>
          <w:rFonts w:ascii="Times New Roman" w:cs="Times New Roman" w:eastAsia="Times New Roman" w:hAnsi="Times New Roman"/>
          <w:sz w:val="18"/>
          <w:szCs w:val="18"/>
          <w:color w:val="auto"/>
        </w:rPr>
        <w:t xml:space="preserve"> included elsewhere in this Quarterly Report on Form 10-Q for additional information relating to the Credit Agreement and RIFA, including applicable interest rates, payment obligations and certain restrictive and financial covenants thereunder. As of March 31, 2025, we were in compliance with all restrictive and financial covenants under the Credit Agreement.</w:t>
      </w:r>
    </w:p>
    <w:p>
      <w:pPr>
        <w:spacing w:after="0" w:line="13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ATM Program</w:t>
      </w:r>
    </w:p>
    <w:p>
      <w:pPr>
        <w:spacing w:after="0" w:line="18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In May 2021, we entered into the Sale Agreement with Jefferies pursuant to which we could offer and sell shares of</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our common stock, having an aggregate offering price of up to $100,000, from time to time, through an “at the market</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offering” program under which Jefferies will act as sale agent. On November 1, 2023, we entered into an amendment to</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Sale Agreement with Jefferies to increase the size of the “at the market offering” program; pursuant to the Sale</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Agreement, as amended, we can offer and sell shares of our common stock having an aggregate offering price of up to</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$150,000 (excluding any shares of common stock already sold in the “at the market offering” program prior to the date of</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amendment), from time to time, through an “at the market offering” program under which Jefferies will act as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2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260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606415"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1" w:name="page62"/>
    <w:bookmarkEnd w:id="6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259"/>
        <w:spacing w:after="0" w:line="261" w:lineRule="auto"/>
        <w:rPr>
          <w:sz w:val="20"/>
          <w:szCs w:val="20"/>
          <w:color w:val="auto"/>
        </w:rPr>
      </w:pPr>
      <w:r>
        <w:rPr>
          <w:rFonts w:ascii="Times New Roman" w:cs="Times New Roman" w:eastAsia="Times New Roman" w:hAnsi="Times New Roman"/>
          <w:sz w:val="18"/>
          <w:szCs w:val="18"/>
          <w:color w:val="auto"/>
        </w:rPr>
        <w:t>sale agent. We terminated the Sales Agreement with Jefferies on March 26, 2025. There were no sales of the Company’s common stock under the Sale Agreement for the three months ended March 31, 2025. For the three months ended March 31, 2024, we sold 40 shares under the Sale Agreement for gross proceeds of $1,743 and received proceeds of $1,691, net of issuance costs of $52.</w:t>
      </w:r>
    </w:p>
    <w:p>
      <w:pPr>
        <w:spacing w:after="0" w:line="14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Cash Flows</w:t>
      </w:r>
    </w:p>
    <w:p>
      <w:pPr>
        <w:spacing w:after="0" w:line="196"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64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060" w:type="dxa"/>
            <w:vAlign w:val="bottom"/>
            <w:tcBorders>
              <w:bottom w:val="single" w:sz="8" w:color="auto"/>
            </w:tcBorders>
            <w:gridSpan w:val="4"/>
          </w:tcPr>
          <w:p>
            <w:pPr>
              <w:jc w:val="right"/>
              <w:ind w:right="55"/>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142"/>
        </w:trPr>
        <w:tc>
          <w:tcPr>
            <w:tcW w:w="6480" w:type="dxa"/>
            <w:vAlign w:val="bottom"/>
            <w:tcBorders>
              <w:bottom w:val="single" w:sz="8" w:color="auto"/>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237"/>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7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r>
      <w:tr>
        <w:trPr>
          <w:trHeight w:val="209"/>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(used in) provided by:</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r>
      <w:tr>
        <w:trPr>
          <w:trHeight w:val="216"/>
        </w:trPr>
        <w:tc>
          <w:tcPr>
            <w:tcW w:w="66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Operating activities</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(12,043)</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(17,706)</w:t>
            </w:r>
          </w:p>
        </w:tc>
      </w:tr>
      <w:tr>
        <w:trPr>
          <w:trHeight w:val="216"/>
        </w:trPr>
        <w:tc>
          <w:tcPr>
            <w:tcW w:w="66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Investing activities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66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Financing activities</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13,202</w:t>
            </w:r>
          </w:p>
        </w:tc>
        <w:tc>
          <w:tcPr>
            <w:tcW w:w="20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26,626</w:t>
            </w:r>
          </w:p>
        </w:tc>
      </w:tr>
    </w:tbl>
    <w:p>
      <w:pPr>
        <w:spacing w:after="0" w:line="17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189" w:lineRule="exact"/>
        <w:rPr>
          <w:sz w:val="20"/>
          <w:szCs w:val="20"/>
          <w:color w:val="auto"/>
        </w:rPr>
      </w:pPr>
    </w:p>
    <w:p>
      <w:pPr>
        <w:ind w:left="60" w:right="279" w:firstLine="324"/>
        <w:spacing w:after="0" w:line="258" w:lineRule="auto"/>
        <w:rPr>
          <w:sz w:val="20"/>
          <w:szCs w:val="20"/>
          <w:color w:val="auto"/>
        </w:rPr>
      </w:pPr>
      <w:r>
        <w:rPr>
          <w:rFonts w:ascii="Times New Roman" w:cs="Times New Roman" w:eastAsia="Times New Roman" w:hAnsi="Times New Roman"/>
          <w:sz w:val="18"/>
          <w:szCs w:val="18"/>
          <w:color w:val="auto"/>
        </w:rPr>
        <w:t>Net cash used in operating activities for the three months ended March 31, 2025 was $12,043 and was primarily attributable to our net loss of $7,254, a $6,559 increase in the change in the fair value of our derivative liability, a $2,269 decrease in accounts payable, accrued expenses, due to related parties, and other current liabilities, offset by $2,668 in payable in kind interest on our credit agreement, a $608 decrease in prepaid expenses, and $180 in non-cash stock-based compensation.</w:t>
      </w:r>
    </w:p>
    <w:p>
      <w:pPr>
        <w:spacing w:after="0" w:line="156" w:lineRule="exact"/>
        <w:rPr>
          <w:sz w:val="20"/>
          <w:szCs w:val="20"/>
          <w:color w:val="auto"/>
        </w:rPr>
      </w:pPr>
    </w:p>
    <w:p>
      <w:pPr>
        <w:ind w:left="60" w:right="139" w:firstLine="324"/>
        <w:spacing w:after="0" w:line="256" w:lineRule="auto"/>
        <w:rPr>
          <w:sz w:val="20"/>
          <w:szCs w:val="20"/>
          <w:color w:val="auto"/>
        </w:rPr>
      </w:pPr>
      <w:r>
        <w:rPr>
          <w:rFonts w:ascii="Times New Roman" w:cs="Times New Roman" w:eastAsia="Times New Roman" w:hAnsi="Times New Roman"/>
          <w:sz w:val="18"/>
          <w:szCs w:val="18"/>
          <w:color w:val="auto"/>
        </w:rPr>
        <w:t>Net cash used in operating activities for the three months ended March 31, 2024 was $17,706 and was primarily attributable to our net loss of $26,791, a $448 increase in Inventory, a $307 increase in Accounts receivable and a $619 reduction in Accrued interest, in part offset by $3,433 of non-cash stock-based compensation, a $4,826 increase in accounts payable, accrued expenses due to related parties, and other current liabilities, and a $901 decrease in prepaid expenses, other current assets and other assets. The decrease in cash used in operating activities compared to the prior year reflects our actions taken under the Reprioritization.</w:t>
      </w:r>
    </w:p>
    <w:p>
      <w:pPr>
        <w:spacing w:after="0" w:line="14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189" w:lineRule="exact"/>
        <w:rPr>
          <w:sz w:val="20"/>
          <w:szCs w:val="20"/>
          <w:color w:val="auto"/>
        </w:rPr>
      </w:pPr>
    </w:p>
    <w:p>
      <w:pPr>
        <w:ind w:left="60" w:right="1059" w:firstLine="324"/>
        <w:spacing w:after="0" w:line="282" w:lineRule="auto"/>
        <w:rPr>
          <w:sz w:val="20"/>
          <w:szCs w:val="20"/>
          <w:color w:val="auto"/>
        </w:rPr>
      </w:pPr>
      <w:r>
        <w:rPr>
          <w:rFonts w:ascii="Times New Roman" w:cs="Times New Roman" w:eastAsia="Times New Roman" w:hAnsi="Times New Roman"/>
          <w:sz w:val="18"/>
          <w:szCs w:val="18"/>
          <w:color w:val="auto"/>
        </w:rPr>
        <w:t>Net cash used in investing activities for the three months ended March 31, 2025 and 2024 was $0 and $0, respectively.</w:t>
      </w:r>
    </w:p>
    <w:p>
      <w:pPr>
        <w:spacing w:after="0" w:line="13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189" w:lineRule="exact"/>
        <w:rPr>
          <w:sz w:val="20"/>
          <w:szCs w:val="20"/>
          <w:color w:val="auto"/>
        </w:rPr>
      </w:pPr>
    </w:p>
    <w:p>
      <w:pPr>
        <w:ind w:left="60" w:right="179" w:firstLine="324"/>
        <w:spacing w:after="0" w:line="282" w:lineRule="auto"/>
        <w:rPr>
          <w:sz w:val="20"/>
          <w:szCs w:val="20"/>
          <w:color w:val="auto"/>
        </w:rPr>
      </w:pPr>
      <w:r>
        <w:rPr>
          <w:rFonts w:ascii="Times New Roman" w:cs="Times New Roman" w:eastAsia="Times New Roman" w:hAnsi="Times New Roman"/>
          <w:sz w:val="18"/>
          <w:szCs w:val="18"/>
          <w:color w:val="auto"/>
        </w:rPr>
        <w:t>Net cash provided by financing activities for the three months ended March 31, 2025, was $13,202 and was primarily attributable to net proceeds of $12,957 received from the March 2025 registered direct offering.</w:t>
      </w:r>
    </w:p>
    <w:p>
      <w:pPr>
        <w:spacing w:after="0" w:line="121" w:lineRule="exact"/>
        <w:rPr>
          <w:sz w:val="20"/>
          <w:szCs w:val="20"/>
          <w:color w:val="auto"/>
        </w:rPr>
      </w:pPr>
    </w:p>
    <w:p>
      <w:pPr>
        <w:ind w:left="60" w:right="359" w:firstLine="324"/>
        <w:spacing w:after="0" w:line="312" w:lineRule="auto"/>
        <w:rPr>
          <w:sz w:val="20"/>
          <w:szCs w:val="20"/>
          <w:color w:val="auto"/>
        </w:rPr>
      </w:pPr>
      <w:r>
        <w:rPr>
          <w:rFonts w:ascii="Times New Roman" w:cs="Times New Roman" w:eastAsia="Times New Roman" w:hAnsi="Times New Roman"/>
          <w:sz w:val="17"/>
          <w:szCs w:val="17"/>
          <w:color w:val="auto"/>
        </w:rPr>
        <w:t>Net cash provided by financing activities for the three months ended March 31, 2024, was $26,626 and was attributable to $25,000 proceeds received from the sale of common stock and warrants under the March 2024 registered</w:t>
      </w:r>
    </w:p>
    <w:p>
      <w:pPr>
        <w:spacing w:after="0" w:line="35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260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606415"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2" w:name="page63"/>
    <w:bookmarkEnd w:id="6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359"/>
        <w:spacing w:after="0" w:line="282" w:lineRule="auto"/>
        <w:rPr>
          <w:sz w:val="20"/>
          <w:szCs w:val="20"/>
          <w:color w:val="auto"/>
        </w:rPr>
      </w:pPr>
      <w:r>
        <w:rPr>
          <w:rFonts w:ascii="Times New Roman" w:cs="Times New Roman" w:eastAsia="Times New Roman" w:hAnsi="Times New Roman"/>
          <w:sz w:val="18"/>
          <w:szCs w:val="18"/>
          <w:color w:val="auto"/>
        </w:rPr>
        <w:t>direct offering and the net proceeds received from the sale of common stock under the Sale Agreement with Jefferies of $1,691.</w:t>
      </w:r>
    </w:p>
    <w:p>
      <w:pPr>
        <w:spacing w:after="0" w:line="13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Operating Capital and Capital Expenditure Requirements</w:t>
      </w:r>
    </w:p>
    <w:p>
      <w:pPr>
        <w:spacing w:after="0" w:line="189" w:lineRule="exact"/>
        <w:rPr>
          <w:sz w:val="20"/>
          <w:szCs w:val="20"/>
          <w:color w:val="auto"/>
        </w:rPr>
      </w:pPr>
    </w:p>
    <w:p>
      <w:pPr>
        <w:ind w:left="60" w:right="139" w:firstLine="324"/>
        <w:spacing w:after="0" w:line="247" w:lineRule="auto"/>
        <w:rPr>
          <w:sz w:val="20"/>
          <w:szCs w:val="20"/>
          <w:color w:val="auto"/>
        </w:rPr>
      </w:pPr>
      <w:r>
        <w:rPr>
          <w:rFonts w:ascii="Times New Roman" w:cs="Times New Roman" w:eastAsia="Times New Roman" w:hAnsi="Times New Roman"/>
          <w:sz w:val="17"/>
          <w:szCs w:val="17"/>
          <w:color w:val="auto"/>
        </w:rPr>
        <w:t>We expect to continue to incur significant and increasing operating losses at least for the next several years as we commercialize IGALMI</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7"/>
          <w:szCs w:val="17"/>
          <w:color w:val="auto"/>
        </w:rPr>
        <w:t xml:space="preserve"> and as we expand our clinical trials of and seek marketing approval focused on BXCL501 while pursuing development of additional product candidates for BXCL502, BXCL701 and BXCL702. We expect to continue to incur net losses in the near term. Our net losses may fluctuate significantly from quarter-to-quarter and year-to-year, depending on the timing of our planned clinical trials and our expenditures on other research and development activities.</w:t>
      </w:r>
    </w:p>
    <w:p>
      <w:pPr>
        <w:spacing w:after="0" w:line="155" w:lineRule="exact"/>
        <w:rPr>
          <w:sz w:val="20"/>
          <w:szCs w:val="20"/>
          <w:color w:val="auto"/>
        </w:rPr>
      </w:pPr>
    </w:p>
    <w:p>
      <w:pPr>
        <w:jc w:val="both"/>
        <w:ind w:left="60" w:right="259" w:firstLine="324"/>
        <w:spacing w:after="0" w:line="281" w:lineRule="auto"/>
        <w:rPr>
          <w:sz w:val="20"/>
          <w:szCs w:val="20"/>
          <w:color w:val="auto"/>
        </w:rPr>
      </w:pPr>
      <w:r>
        <w:rPr>
          <w:rFonts w:ascii="Times New Roman" w:cs="Times New Roman" w:eastAsia="Times New Roman" w:hAnsi="Times New Roman"/>
          <w:sz w:val="17"/>
          <w:szCs w:val="17"/>
          <w:color w:val="auto"/>
        </w:rPr>
        <w:t>We have based our projections of operating capital requirements on assumptions that may prove to be incorrect, and we may use all of our available capital resources sooner than we expect. Because of the numerous risks and uncertainties associated with research, development, and commercialization of pharmaceutical products, we are unable to estimate the exact amount of our operating capital requirements. We anticipate that our expenses will increase substantially as we:</w:t>
      </w:r>
    </w:p>
    <w:p>
      <w:pPr>
        <w:spacing w:after="0" w:line="137" w:lineRule="exact"/>
        <w:rPr>
          <w:sz w:val="20"/>
          <w:szCs w:val="20"/>
          <w:color w:val="auto"/>
        </w:rPr>
      </w:pPr>
    </w:p>
    <w:p>
      <w:pPr>
        <w:ind w:left="720" w:hanging="319"/>
        <w:spacing w:after="0"/>
        <w:tabs>
          <w:tab w:leader="none" w:pos="7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initiate and continue our clinical development of our product candidates;</w:t>
      </w:r>
    </w:p>
    <w:p>
      <w:pPr>
        <w:spacing w:after="0" w:line="27"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 additional research and development with our product candidates;</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to identify, acquire, license, develop and commercialize product candidates;</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integrate acquired technologies into a comprehensive regulatory and product development strategy;</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expand and protect our intellectual property portfolio;</w:t>
      </w:r>
    </w:p>
    <w:p>
      <w:pPr>
        <w:spacing w:after="0" w:line="9" w:lineRule="exact"/>
        <w:rPr>
          <w:rFonts w:ascii="Times New Roman" w:cs="Times New Roman" w:eastAsia="Times New Roman" w:hAnsi="Times New Roman"/>
          <w:sz w:val="18"/>
          <w:szCs w:val="18"/>
          <w:color w:val="auto"/>
        </w:rPr>
      </w:pPr>
    </w:p>
    <w:p>
      <w:pPr>
        <w:ind w:left="720" w:right="299" w:hanging="319"/>
        <w:spacing w:after="0" w:line="250" w:lineRule="auto"/>
        <w:tabs>
          <w:tab w:leader="none" w:pos="7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hire scientific, clinical, quality control and administrative personnel and utilize professional services, including consultants, lawyers, and accountants;</w:t>
      </w:r>
    </w:p>
    <w:p>
      <w:pPr>
        <w:ind w:left="720" w:right="339" w:hanging="319"/>
        <w:spacing w:after="0" w:line="250" w:lineRule="auto"/>
        <w:tabs>
          <w:tab w:leader="none" w:pos="7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 operational, financial and management information systems and personnel, including personnel to support our drug development and commercial efforts;</w:t>
      </w:r>
    </w:p>
    <w:p>
      <w:pPr>
        <w:ind w:left="720" w:hanging="319"/>
        <w:spacing w:after="0"/>
        <w:tabs>
          <w:tab w:leader="none" w:pos="7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regulatory approvals for any product candidates that successfully complete clinical trials;</w:t>
      </w:r>
    </w:p>
    <w:p>
      <w:pPr>
        <w:spacing w:after="0" w:line="9" w:lineRule="exact"/>
        <w:rPr>
          <w:rFonts w:ascii="Times New Roman" w:cs="Times New Roman" w:eastAsia="Times New Roman" w:hAnsi="Times New Roman"/>
          <w:sz w:val="18"/>
          <w:szCs w:val="18"/>
          <w:color w:val="auto"/>
        </w:rPr>
      </w:pPr>
    </w:p>
    <w:p>
      <w:pPr>
        <w:ind w:left="720" w:right="299" w:hanging="319"/>
        <w:spacing w:after="0" w:line="215" w:lineRule="auto"/>
        <w:tabs>
          <w:tab w:leader="none" w:pos="72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fully develop a sales, marketing and distribution infrastructure and scale up external manufacturing capabilities to commercialize IGALMI</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7"/>
          <w:szCs w:val="17"/>
          <w:color w:val="auto"/>
        </w:rPr>
        <w:t xml:space="preserve"> and any product candidates for which we may obtain regulatory approval; and</w:t>
      </w:r>
    </w:p>
    <w:p>
      <w:pPr>
        <w:ind w:left="720" w:hanging="319"/>
        <w:spacing w:after="0"/>
        <w:tabs>
          <w:tab w:leader="none" w:pos="7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operate as a public company.</w:t>
      </w:r>
    </w:p>
    <w:p>
      <w:pPr>
        <w:spacing w:after="0" w:line="205" w:lineRule="exact"/>
        <w:rPr>
          <w:sz w:val="20"/>
          <w:szCs w:val="20"/>
          <w:color w:val="auto"/>
        </w:rPr>
      </w:pPr>
    </w:p>
    <w:p>
      <w:pPr>
        <w:ind w:left="60" w:right="159" w:firstLine="324"/>
        <w:spacing w:after="0" w:line="252" w:lineRule="auto"/>
        <w:rPr>
          <w:sz w:val="20"/>
          <w:szCs w:val="20"/>
          <w:color w:val="auto"/>
        </w:rPr>
      </w:pPr>
      <w:r>
        <w:rPr>
          <w:rFonts w:ascii="Times New Roman" w:cs="Times New Roman" w:eastAsia="Times New Roman" w:hAnsi="Times New Roman"/>
          <w:sz w:val="18"/>
          <w:szCs w:val="18"/>
          <w:color w:val="auto"/>
        </w:rPr>
        <w:t>We believe that our existing cash and cash equivalents as of March 31, 2025 will not be sufficient to enable us to fund operating expenses and capital expenditure requirements for at least the next 12 months from the date of the issuance of the condensed consolidated financial statements included in this Quarterly Report on Form 10-Q, including funding our ongoing research and development and commercialization efforts. In particular, we believe that our cash and cash equivalents of $31,013 as of March 31, 2025 will allow us to fund our operations and meet our liquidity requirements into the third quarter of 2025, assuming we are able to comply with the covenants under our Credit Agreement. We expect that we will need to obtain substantial additional funding to fund our ongoing operations. To the extent that we raise additional capital through the sale of common stock, convertible securities or other equity securities, the ownership interests of our existing stockholders may be materially diluted, and the terms of these securities could include liquidation or other preferences that could adversely affect the rights of our existing stockholders. In addition, debt financing, if available, would result in increased fixed payment obligations and may involve agreements that include restrictive covenants that limit our ability to take specific actions, such as incurring additional debt, making capital expenditures, or declaring dividends, which could adversely impact our ability to conduct our business. Our failure to raise capital as and when needed would have a negative impact on our financial condition and our ability to pursue our business strategy. If we are unable to raise capital when needed or on attractive terms, we could be forced to significantly delay, scale back or discontinue the development or commercialization of our product candidates, seek collaborators at an earlier stage than otherwise would be desirable or on terms that are less favorable than might otherwise be available, and relinquish or license, potentially on unfavorable terms, our rights to our product candidates that we otherwise would seek to develop or commercialize ourselves. To date, we have continued research and development activities while managing our cash position. However, we can provide no assurance that will be successful in obtaining additional necessary resources and, if we are unable to fund our</w:t>
      </w:r>
    </w:p>
    <w:p>
      <w:pPr>
        <w:spacing w:after="0" w:line="200" w:lineRule="exact"/>
        <w:rPr>
          <w:sz w:val="20"/>
          <w:szCs w:val="20"/>
          <w:color w:val="auto"/>
        </w:rPr>
      </w:pPr>
    </w:p>
    <w:p>
      <w:pPr>
        <w:spacing w:after="0" w:line="20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606415"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3" w:name="page64"/>
    <w:bookmarkEnd w:id="6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239"/>
        <w:spacing w:after="0" w:line="282" w:lineRule="auto"/>
        <w:rPr>
          <w:sz w:val="20"/>
          <w:szCs w:val="20"/>
          <w:color w:val="auto"/>
        </w:rPr>
      </w:pPr>
      <w:r>
        <w:rPr>
          <w:rFonts w:ascii="Times New Roman" w:cs="Times New Roman" w:eastAsia="Times New Roman" w:hAnsi="Times New Roman"/>
          <w:sz w:val="18"/>
          <w:szCs w:val="18"/>
          <w:color w:val="auto"/>
        </w:rPr>
        <w:t>operations, including our clinical trials, we may need to focus on advancing fewer of our product candidates or otherwise consider strategic alternatives.</w:t>
      </w:r>
    </w:p>
    <w:p>
      <w:pPr>
        <w:spacing w:after="0" w:line="1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Contractual Obligations and Commitments</w:t>
      </w:r>
    </w:p>
    <w:p>
      <w:pPr>
        <w:spacing w:after="0" w:line="189" w:lineRule="exact"/>
        <w:rPr>
          <w:sz w:val="20"/>
          <w:szCs w:val="20"/>
          <w:color w:val="auto"/>
        </w:rPr>
      </w:pPr>
    </w:p>
    <w:p>
      <w:pPr>
        <w:jc w:val="both"/>
        <w:ind w:left="60" w:right="259" w:firstLine="324"/>
        <w:spacing w:after="0" w:line="261" w:lineRule="auto"/>
        <w:rPr>
          <w:sz w:val="20"/>
          <w:szCs w:val="20"/>
          <w:color w:val="auto"/>
        </w:rPr>
      </w:pPr>
      <w:r>
        <w:rPr>
          <w:rFonts w:ascii="Times New Roman" w:cs="Times New Roman" w:eastAsia="Times New Roman" w:hAnsi="Times New Roman"/>
          <w:sz w:val="18"/>
          <w:szCs w:val="18"/>
          <w:color w:val="auto"/>
        </w:rPr>
        <w:t>In July 2024, the Company signed an amendment to its commercial supply agreement that requires minimum annual payments for the first five years of the agreement ending in 2026 that in aggregate total $10,000. The Company has met the minimum requirements for the first 3 years ending in 2024. The remaining minimum commitments for years 4 and 5 (2025 and 2026) is $2,000 each year.</w:t>
      </w:r>
    </w:p>
    <w:p>
      <w:pPr>
        <w:spacing w:after="0" w:line="139" w:lineRule="exact"/>
        <w:rPr>
          <w:sz w:val="20"/>
          <w:szCs w:val="20"/>
          <w:color w:val="auto"/>
        </w:rPr>
      </w:pPr>
    </w:p>
    <w:p>
      <w:pPr>
        <w:ind w:left="60" w:right="159" w:firstLine="324"/>
        <w:spacing w:after="0" w:line="261" w:lineRule="auto"/>
        <w:rPr>
          <w:sz w:val="20"/>
          <w:szCs w:val="20"/>
          <w:color w:val="auto"/>
        </w:rPr>
      </w:pPr>
      <w:r>
        <w:rPr>
          <w:rFonts w:ascii="Times New Roman" w:cs="Times New Roman" w:eastAsia="Times New Roman" w:hAnsi="Times New Roman"/>
          <w:sz w:val="18"/>
          <w:szCs w:val="18"/>
          <w:color w:val="auto"/>
        </w:rPr>
        <w:t>In February 2022, we signed a distribution agreement with a third-party to distribute product related to BXCL501 in the U.S. The distributor will be paid defined fees for its services under the agreement, which can be terminated by either party for cause. The distribution agreement can also be terminated by us without cause, subject to payment of agreed upon termination fees.</w:t>
      </w:r>
    </w:p>
    <w:p>
      <w:pPr>
        <w:spacing w:after="0" w:line="153" w:lineRule="exact"/>
        <w:rPr>
          <w:sz w:val="20"/>
          <w:szCs w:val="20"/>
          <w:color w:val="auto"/>
        </w:rPr>
      </w:pPr>
    </w:p>
    <w:p>
      <w:pPr>
        <w:ind w:left="60" w:right="279" w:firstLine="324"/>
        <w:spacing w:after="0" w:line="277" w:lineRule="auto"/>
        <w:rPr>
          <w:sz w:val="20"/>
          <w:szCs w:val="20"/>
          <w:color w:val="auto"/>
        </w:rPr>
      </w:pPr>
      <w:r>
        <w:rPr>
          <w:rFonts w:ascii="Times New Roman" w:cs="Times New Roman" w:eastAsia="Times New Roman" w:hAnsi="Times New Roman"/>
          <w:sz w:val="17"/>
          <w:szCs w:val="17"/>
          <w:color w:val="auto"/>
        </w:rPr>
        <w:t xml:space="preserve">BTI leases office space for its corporate headquarters at 555 Long Wharf Drive, New Haven, Connecticut (the “HQ Lease”). The HQ Lease expires in February 2026. The Company has an option to renew the HQ Lease for one additional five-year term. Payments under the HQ Lease are fixed. The Company has approximately $359 of payments remaining under the HQ Lease. For additional details, see Note 13, </w:t>
      </w:r>
      <w:r>
        <w:rPr>
          <w:rFonts w:ascii="Times New Roman" w:cs="Times New Roman" w:eastAsia="Times New Roman" w:hAnsi="Times New Roman"/>
          <w:sz w:val="17"/>
          <w:szCs w:val="17"/>
          <w:i w:val="1"/>
          <w:iCs w:val="1"/>
          <w:color w:val="auto"/>
        </w:rPr>
        <w:t>Leases</w:t>
      </w:r>
      <w:r>
        <w:rPr>
          <w:rFonts w:ascii="Times New Roman" w:cs="Times New Roman" w:eastAsia="Times New Roman" w:hAnsi="Times New Roman"/>
          <w:sz w:val="17"/>
          <w:szCs w:val="17"/>
          <w:color w:val="auto"/>
        </w:rPr>
        <w:t xml:space="preserve"> in the Notes to Condensed Consolidated Financial Statements included in this Quarterly Report on Form 10-Q for additional information relating to the Company’s leases.</w:t>
      </w:r>
    </w:p>
    <w:p>
      <w:pPr>
        <w:spacing w:after="0" w:line="127" w:lineRule="exact"/>
        <w:rPr>
          <w:sz w:val="20"/>
          <w:szCs w:val="20"/>
          <w:color w:val="auto"/>
        </w:rPr>
      </w:pPr>
    </w:p>
    <w:p>
      <w:pPr>
        <w:ind w:left="60" w:right="219" w:firstLine="324"/>
        <w:spacing w:after="0" w:line="266" w:lineRule="auto"/>
        <w:rPr>
          <w:sz w:val="20"/>
          <w:szCs w:val="20"/>
          <w:color w:val="auto"/>
        </w:rPr>
      </w:pPr>
      <w:r>
        <w:rPr>
          <w:rFonts w:ascii="Times New Roman" w:cs="Times New Roman" w:eastAsia="Times New Roman" w:hAnsi="Times New Roman"/>
          <w:sz w:val="18"/>
          <w:szCs w:val="18"/>
          <w:color w:val="auto"/>
        </w:rPr>
        <w:t xml:space="preserve">In addition, we are obligated to make quarterly interest payments under our Credit Agreement. For additional details, see Note 9, </w:t>
      </w:r>
      <w:r>
        <w:rPr>
          <w:rFonts w:ascii="Times New Roman" w:cs="Times New Roman" w:eastAsia="Times New Roman" w:hAnsi="Times New Roman"/>
          <w:sz w:val="18"/>
          <w:szCs w:val="18"/>
          <w:i w:val="1"/>
          <w:iCs w:val="1"/>
          <w:color w:val="auto"/>
        </w:rPr>
        <w:t>Debt and Credit Facilities</w:t>
      </w:r>
      <w:r>
        <w:rPr>
          <w:rFonts w:ascii="Times New Roman" w:cs="Times New Roman" w:eastAsia="Times New Roman" w:hAnsi="Times New Roman"/>
          <w:sz w:val="18"/>
          <w:szCs w:val="18"/>
          <w:color w:val="auto"/>
        </w:rPr>
        <w:t xml:space="preserve"> in the Notes to Condensed Consolidated Financial Statements included in this Quarterly Report on Form 10-Q for additional information relating to the Company’s debt payment obligations.</w:t>
      </w:r>
    </w:p>
    <w:p>
      <w:pPr>
        <w:spacing w:after="0" w:line="1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02" w:lineRule="exact"/>
        <w:rPr>
          <w:sz w:val="20"/>
          <w:szCs w:val="20"/>
          <w:color w:val="auto"/>
        </w:rPr>
      </w:pPr>
    </w:p>
    <w:p>
      <w:pPr>
        <w:ind w:left="60" w:right="139" w:firstLine="324"/>
        <w:spacing w:after="0" w:line="255" w:lineRule="auto"/>
        <w:rPr>
          <w:sz w:val="20"/>
          <w:szCs w:val="20"/>
          <w:color w:val="auto"/>
        </w:rPr>
      </w:pPr>
      <w:r>
        <w:rPr>
          <w:rFonts w:ascii="Times New Roman" w:cs="Times New Roman" w:eastAsia="Times New Roman" w:hAnsi="Times New Roman"/>
          <w:sz w:val="18"/>
          <w:szCs w:val="18"/>
          <w:color w:val="auto"/>
        </w:rPr>
        <w:t xml:space="preserve">Our critical accounting policies and estimates are described in “Management’s Discussion and Analysis of Financial Condition and Results of Operations-Critical Accounting Policies and Estimates” in our Annual Report on Form 10-K for the fiscal year ended December 31, 2024. We have reviewed and determined that those critical accounting policies and estimates remain our critical accounting policies and estimates as of and for the three months ended March 31, 2025. No material changes were made to our existing critical accounting policies and estimates during the period presented. Refer to Note 3, </w:t>
      </w:r>
      <w:r>
        <w:rPr>
          <w:rFonts w:ascii="Times New Roman" w:cs="Times New Roman" w:eastAsia="Times New Roman" w:hAnsi="Times New Roman"/>
          <w:sz w:val="18"/>
          <w:szCs w:val="18"/>
          <w:i w:val="1"/>
          <w:iCs w:val="1"/>
          <w:color w:val="auto"/>
        </w:rPr>
        <w:t>Summary of Significant Accounting Policies</w:t>
      </w:r>
      <w:r>
        <w:rPr>
          <w:rFonts w:ascii="Times New Roman" w:cs="Times New Roman" w:eastAsia="Times New Roman" w:hAnsi="Times New Roman"/>
          <w:sz w:val="18"/>
          <w:szCs w:val="18"/>
          <w:color w:val="auto"/>
        </w:rPr>
        <w:t xml:space="preserve"> in the Notes to Condensed Consolidated Financial Statements elsewhere in this Form 10-Q.</w:t>
      </w:r>
    </w:p>
    <w:p>
      <w:pPr>
        <w:spacing w:after="0" w:line="14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8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Not applicable.</w:t>
      </w:r>
    </w:p>
    <w:p>
      <w:pPr>
        <w:spacing w:after="0" w:line="16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89" w:lineRule="exact"/>
        <w:rPr>
          <w:sz w:val="20"/>
          <w:szCs w:val="20"/>
          <w:color w:val="auto"/>
        </w:rPr>
      </w:pPr>
    </w:p>
    <w:p>
      <w:pPr>
        <w:ind w:left="60" w:right="199" w:firstLine="324"/>
        <w:spacing w:after="0" w:line="253" w:lineRule="auto"/>
        <w:rPr>
          <w:sz w:val="20"/>
          <w:szCs w:val="20"/>
          <w:color w:val="auto"/>
        </w:rPr>
      </w:pPr>
      <w:r>
        <w:rPr>
          <w:rFonts w:ascii="Times New Roman" w:cs="Times New Roman" w:eastAsia="Times New Roman" w:hAnsi="Times New Roman"/>
          <w:sz w:val="18"/>
          <w:szCs w:val="18"/>
          <w:color w:val="auto"/>
        </w:rPr>
        <w:t>Our management, with the participation of our Chief Executive Officer and Chief Financial Officer (our principal executive officer and principal financial officer, respectively), evaluated the effectiveness of our disclosure controls and procedures as of March 31, 2025. The term “disclosure controls and procedures,” as defined in Rules 13a-15(e) and 15d-15(e) under the Securities Exchange Act of 1934, as amended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rules and forms of the SEC.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254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606415"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4" w:name="page65"/>
    <w:bookmarkEnd w:id="6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619"/>
        <w:spacing w:after="0" w:line="282" w:lineRule="auto"/>
        <w:rPr>
          <w:sz w:val="20"/>
          <w:szCs w:val="20"/>
          <w:color w:val="auto"/>
        </w:rPr>
      </w:pPr>
      <w:r>
        <w:rPr>
          <w:rFonts w:ascii="Times New Roman" w:cs="Times New Roman" w:eastAsia="Times New Roman" w:hAnsi="Times New Roman"/>
          <w:sz w:val="18"/>
          <w:szCs w:val="18"/>
          <w:color w:val="auto"/>
        </w:rPr>
        <w:t>provide only reasonable assurance of achieving their objectives and management necessarily applies its judgment in evaluating the cost-benefit relationship of possible controls and procedures.</w:t>
      </w:r>
    </w:p>
    <w:p>
      <w:pPr>
        <w:spacing w:after="0" w:line="135" w:lineRule="exact"/>
        <w:rPr>
          <w:sz w:val="20"/>
          <w:szCs w:val="20"/>
          <w:color w:val="auto"/>
        </w:rPr>
      </w:pPr>
    </w:p>
    <w:p>
      <w:pPr>
        <w:ind w:left="60" w:right="219" w:firstLine="324"/>
        <w:spacing w:after="0" w:line="266" w:lineRule="auto"/>
        <w:rPr>
          <w:sz w:val="20"/>
          <w:szCs w:val="20"/>
          <w:color w:val="auto"/>
        </w:rPr>
      </w:pPr>
      <w:r>
        <w:rPr>
          <w:rFonts w:ascii="Times New Roman" w:cs="Times New Roman" w:eastAsia="Times New Roman" w:hAnsi="Times New Roman"/>
          <w:sz w:val="18"/>
          <w:szCs w:val="18"/>
          <w:color w:val="auto"/>
        </w:rPr>
        <w:t>Based on the evaluation of our disclosure controls and procedures as of March 31, 2025, our Chief Executive Officer and Chief Financial Officer concluded that, as of such date, our disclosure controls and procedures were effective at the reasonable assurance level.</w:t>
      </w:r>
    </w:p>
    <w:p>
      <w:pPr>
        <w:spacing w:after="0" w:line="1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89" w:lineRule="exact"/>
        <w:rPr>
          <w:sz w:val="20"/>
          <w:szCs w:val="20"/>
          <w:color w:val="auto"/>
        </w:rPr>
      </w:pPr>
    </w:p>
    <w:p>
      <w:pPr>
        <w:ind w:left="60" w:right="419" w:firstLine="648"/>
        <w:spacing w:after="0" w:line="266"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(as defined in Rules 13a-15(f) and 15d-15(f) under the Exchange Act) during the three months ended March 31, 2025 that have materially affected, or are reasonably likely to materially affect, our internal control over financial reporting.</w:t>
      </w:r>
    </w:p>
    <w:p>
      <w:pPr>
        <w:spacing w:after="0" w:line="39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254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606415"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5" w:name="page66"/>
    <w:bookmarkEnd w:id="6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1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89" w:lineRule="exact"/>
        <w:rPr>
          <w:sz w:val="20"/>
          <w:szCs w:val="20"/>
          <w:color w:val="auto"/>
        </w:rPr>
      </w:pPr>
    </w:p>
    <w:p>
      <w:pPr>
        <w:ind w:left="60" w:right="139" w:firstLine="324"/>
        <w:spacing w:after="0" w:line="261" w:lineRule="auto"/>
        <w:rPr>
          <w:sz w:val="20"/>
          <w:szCs w:val="20"/>
          <w:color w:val="auto"/>
        </w:rPr>
      </w:pPr>
      <w:r>
        <w:rPr>
          <w:rFonts w:ascii="Times New Roman" w:cs="Times New Roman" w:eastAsia="Times New Roman" w:hAnsi="Times New Roman"/>
          <w:sz w:val="18"/>
          <w:szCs w:val="18"/>
          <w:color w:val="auto"/>
        </w:rPr>
        <w:t xml:space="preserve">From time to time, we may be subject to litigation and claims arising in the ordinary course of business, which could have a material adverse effect on our business, operating results, cash flows or financial condition. Please refer to Note 16, </w:t>
      </w:r>
      <w:r>
        <w:rPr>
          <w:rFonts w:ascii="Times New Roman" w:cs="Times New Roman" w:eastAsia="Times New Roman" w:hAnsi="Times New Roman"/>
          <w:sz w:val="18"/>
          <w:szCs w:val="18"/>
          <w:i w:val="1"/>
          <w:iCs w:val="1"/>
          <w:color w:val="auto"/>
        </w:rPr>
        <w:t xml:space="preserve">Commitments and Contingencies </w:t>
      </w:r>
      <w:r>
        <w:rPr>
          <w:rFonts w:ascii="Times New Roman" w:cs="Times New Roman" w:eastAsia="Times New Roman" w:hAnsi="Times New Roman"/>
          <w:sz w:val="18"/>
          <w:szCs w:val="18"/>
          <w:color w:val="auto"/>
        </w:rPr>
        <w:t>of our unaudited condensed consolidated financial statements in Part I, Item 1 of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Quarterly Report on Form 10-Q for information regarding material legal proceedings.</w:t>
      </w:r>
    </w:p>
    <w:p>
      <w:pPr>
        <w:spacing w:after="0" w:line="139" w:lineRule="exact"/>
        <w:rPr>
          <w:sz w:val="20"/>
          <w:szCs w:val="20"/>
          <w:color w:val="auto"/>
        </w:rPr>
      </w:pPr>
    </w:p>
    <w:p>
      <w:pPr>
        <w:ind w:left="60" w:right="259" w:firstLine="324"/>
        <w:spacing w:after="0" w:line="254" w:lineRule="auto"/>
        <w:rPr>
          <w:sz w:val="20"/>
          <w:szCs w:val="20"/>
          <w:color w:val="auto"/>
        </w:rPr>
      </w:pPr>
      <w:r>
        <w:rPr>
          <w:rFonts w:ascii="Times New Roman" w:cs="Times New Roman" w:eastAsia="Times New Roman" w:hAnsi="Times New Roman"/>
          <w:sz w:val="18"/>
          <w:szCs w:val="18"/>
          <w:color w:val="auto"/>
        </w:rPr>
        <w:t>In addition, in February 2024, we became aware that the SEC had initiated a formal investigation involving the Company and certain of its directors and officers. This formal investigation relates to the Company’s public disclosures, including about product sales and the receipt of a Form 483 by an investigator at one of the Company’s clinical trial sites in the TRANQUILITY II study, and trading in the securities of the Company. We are cooperating fully with the investigation including producing documents, and current and former officers and employees of the Company have testified before the SEC. We cannot predict or determine whether any proceeding may be instituted by the SEC in connection with its investigation or the outcome of any proceeding that may be instituted, or the effects any such proceeding could have on the Company’s business or financing efforts.</w:t>
      </w:r>
    </w:p>
    <w:p>
      <w:pPr>
        <w:spacing w:after="0" w:line="16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89" w:lineRule="exact"/>
        <w:rPr>
          <w:sz w:val="20"/>
          <w:szCs w:val="20"/>
          <w:color w:val="auto"/>
        </w:rPr>
      </w:pPr>
    </w:p>
    <w:p>
      <w:pPr>
        <w:ind w:left="60" w:right="199" w:firstLine="324"/>
        <w:spacing w:after="0" w:line="256" w:lineRule="auto"/>
        <w:rPr>
          <w:sz w:val="20"/>
          <w:szCs w:val="20"/>
          <w:color w:val="auto"/>
        </w:rPr>
      </w:pPr>
      <w:r>
        <w:rPr>
          <w:rFonts w:ascii="Times New Roman" w:cs="Times New Roman" w:eastAsia="Times New Roman" w:hAnsi="Times New Roman"/>
          <w:sz w:val="18"/>
          <w:szCs w:val="18"/>
          <w:color w:val="auto"/>
        </w:rPr>
        <w:t>You should carefully consider the risks described below, as well as general economic and business risks and the other information in this Quarterly Report on Form 10-Q and our Annual Report on Form 10-K for the fiscal year ended December 31, 2024. The occurrence of any of the events or circumstances described below or other adverse events could have a material adverse effect on our business, results of operations and financial condition and could cause the trading price of our common stock to decline. Additional risks or uncertainties not presently known to us or that we currently deem immaterial may also harm our business.</w:t>
      </w:r>
    </w:p>
    <w:p>
      <w:pPr>
        <w:spacing w:after="0" w:line="14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Risks Related to Financial Position and Need for Additional Capital</w:t>
      </w:r>
    </w:p>
    <w:p>
      <w:pPr>
        <w:spacing w:after="0" w:line="198" w:lineRule="exact"/>
        <w:rPr>
          <w:sz w:val="20"/>
          <w:szCs w:val="20"/>
          <w:color w:val="auto"/>
        </w:rPr>
      </w:pPr>
    </w:p>
    <w:p>
      <w:pPr>
        <w:ind w:left="60" w:right="3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a limited operating history and have not generated substantial product revenues to date, which may make it difficult to evaluate the success of our business and to assess our future viability.</w:t>
      </w:r>
    </w:p>
    <w:p>
      <w:pPr>
        <w:spacing w:after="0" w:line="118" w:lineRule="exact"/>
        <w:rPr>
          <w:sz w:val="20"/>
          <w:szCs w:val="20"/>
          <w:color w:val="auto"/>
        </w:rPr>
      </w:pPr>
    </w:p>
    <w:p>
      <w:pPr>
        <w:ind w:left="60" w:right="159" w:firstLine="324"/>
        <w:spacing w:after="0" w:line="255" w:lineRule="auto"/>
        <w:rPr>
          <w:sz w:val="20"/>
          <w:szCs w:val="20"/>
          <w:color w:val="auto"/>
        </w:rPr>
      </w:pPr>
      <w:r>
        <w:rPr>
          <w:rFonts w:ascii="Times New Roman" w:cs="Times New Roman" w:eastAsia="Times New Roman" w:hAnsi="Times New Roman"/>
          <w:sz w:val="18"/>
          <w:szCs w:val="18"/>
          <w:color w:val="auto"/>
        </w:rPr>
        <w:t>We were incorporated in March 2017 and our operations to date have been largely focused on staffing our Company, raising capital, advancing the development of our product candidates, including conducting clinical and preclinical studies and establishing our commercial organization. We have only one product approved for commercial sale, and have limited experience in obtaining marketing approvals, manufacturing products on a commercial scale, and conducting sales and marketing activities necessary for successful commercialization. Consequently, predictions about our future success or viability may not be as accurate as they could be if we had a longer operating history or a history of successfully commercializing products.</w:t>
      </w:r>
    </w:p>
    <w:p>
      <w:pPr>
        <w:spacing w:after="0" w:line="148" w:lineRule="exact"/>
        <w:rPr>
          <w:sz w:val="20"/>
          <w:szCs w:val="20"/>
          <w:color w:val="auto"/>
        </w:rPr>
      </w:pPr>
    </w:p>
    <w:p>
      <w:pPr>
        <w:ind w:left="60" w:right="419" w:firstLine="324"/>
        <w:spacing w:after="0" w:line="230" w:lineRule="auto"/>
        <w:rPr>
          <w:sz w:val="20"/>
          <w:szCs w:val="20"/>
          <w:color w:val="auto"/>
        </w:rPr>
      </w:pPr>
      <w:r>
        <w:rPr>
          <w:rFonts w:ascii="Times New Roman" w:cs="Times New Roman" w:eastAsia="Times New Roman" w:hAnsi="Times New Roman"/>
          <w:sz w:val="18"/>
          <w:szCs w:val="18"/>
          <w:color w:val="auto"/>
        </w:rPr>
        <w:t>We expect our financial condition and operating results to continue to fluctuate from quarter to quarter and year to year due to a variety of factors, many of which are beyond our control. We are focused primarily on research and development while continuing to support IGALMI</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commercial activities. We may encounter unforeseen expenses, difficulties, complications and delays, and may not be successful in such a transition.</w:t>
      </w:r>
    </w:p>
    <w:p>
      <w:pPr>
        <w:spacing w:after="0" w:line="167" w:lineRule="exact"/>
        <w:rPr>
          <w:sz w:val="20"/>
          <w:szCs w:val="20"/>
          <w:color w:val="auto"/>
        </w:rPr>
      </w:pPr>
    </w:p>
    <w:p>
      <w:pPr>
        <w:ind w:left="60" w:right="2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incurred significant operating losses since inception and anticipate that we will continue to incur substantial operating losses for the foreseeable future and may never achieve or maintain profitability.</w:t>
      </w:r>
    </w:p>
    <w:p>
      <w:pPr>
        <w:spacing w:after="0" w:line="118" w:lineRule="exact"/>
        <w:rPr>
          <w:sz w:val="20"/>
          <w:szCs w:val="20"/>
          <w:color w:val="auto"/>
        </w:rPr>
      </w:pPr>
    </w:p>
    <w:p>
      <w:pPr>
        <w:ind w:left="60" w:right="279" w:firstLine="324"/>
        <w:spacing w:after="0" w:line="238" w:lineRule="auto"/>
        <w:rPr>
          <w:sz w:val="20"/>
          <w:szCs w:val="20"/>
          <w:color w:val="auto"/>
        </w:rPr>
      </w:pPr>
      <w:r>
        <w:rPr>
          <w:rFonts w:ascii="Times New Roman" w:cs="Times New Roman" w:eastAsia="Times New Roman" w:hAnsi="Times New Roman"/>
          <w:sz w:val="18"/>
          <w:szCs w:val="18"/>
          <w:color w:val="auto"/>
        </w:rPr>
        <w:t>Since our inception, we have incurred significant operating losses. Our net loss was $7.3 million and $26.8 million for the three months ended March 31, 2025 and 2024, respectively. As of March 31, 2025, we had a stockholders’ deficit of approximately $90.2 million. We expect to continue to incur significant expenses and increasing operating losses for the foreseeable future. We have only one product candidate approved for marketing in the U.S., none in any other jurisdiction, and may never receive approval beyond the one product approved to date. It could be several years, if ever, before we have a commercialized product that generates significant revenues through sales of IGALMI</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or our product candidates, if approved. As a result, we are uncertain when or if we will achieve profitability and, if so, whether</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1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260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606415"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6" w:name="page67"/>
    <w:bookmarkEnd w:id="6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we will be able to sustain it. The net losses we incur may fluctuate significantly from quarter to quarter and year to year.</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We anticipate that our expenses may increase in the long term as we:</w:t>
      </w:r>
    </w:p>
    <w:p>
      <w:pPr>
        <w:spacing w:after="0" w:line="180" w:lineRule="exact"/>
        <w:rPr>
          <w:sz w:val="20"/>
          <w:szCs w:val="20"/>
          <w:color w:val="auto"/>
        </w:rPr>
      </w:pPr>
    </w:p>
    <w:p>
      <w:pPr>
        <w:ind w:left="720" w:hanging="319"/>
        <w:spacing w:after="0"/>
        <w:tabs>
          <w:tab w:leader="none" w:pos="7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 the development of our product candidates;</w:t>
      </w:r>
    </w:p>
    <w:p>
      <w:pPr>
        <w:spacing w:after="0" w:line="184" w:lineRule="exact"/>
        <w:rPr>
          <w:rFonts w:ascii="Times New Roman" w:cs="Times New Roman" w:eastAsia="Times New Roman" w:hAnsi="Times New Roman"/>
          <w:sz w:val="18"/>
          <w:szCs w:val="18"/>
          <w:color w:val="auto"/>
        </w:rPr>
      </w:pPr>
    </w:p>
    <w:p>
      <w:pPr>
        <w:ind w:left="720" w:right="919" w:hanging="319"/>
        <w:spacing w:after="0" w:line="282" w:lineRule="auto"/>
        <w:tabs>
          <w:tab w:leader="none" w:pos="7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 preclinical studies and clinical trials for our current product candidates and any future product candidates that we may pursue;</w:t>
      </w:r>
    </w:p>
    <w:p>
      <w:pPr>
        <w:spacing w:after="0" w:line="12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develop, maintain, expand and protect our intellectual property portfolio;</w:t>
      </w:r>
    </w:p>
    <w:p>
      <w:pPr>
        <w:spacing w:after="0" w:line="198" w:lineRule="exact"/>
        <w:rPr>
          <w:rFonts w:ascii="Times New Roman" w:cs="Times New Roman" w:eastAsia="Times New Roman" w:hAnsi="Times New Roman"/>
          <w:sz w:val="18"/>
          <w:szCs w:val="18"/>
          <w:color w:val="auto"/>
        </w:rPr>
      </w:pPr>
    </w:p>
    <w:p>
      <w:pPr>
        <w:ind w:left="720" w:right="499" w:hanging="319"/>
        <w:spacing w:after="0" w:line="282" w:lineRule="auto"/>
        <w:tabs>
          <w:tab w:leader="none" w:pos="7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pursue regulatory approvals for our current and future product candidates that successfully complete clinical trials;</w:t>
      </w:r>
    </w:p>
    <w:p>
      <w:pPr>
        <w:spacing w:after="0" w:line="113" w:lineRule="exact"/>
        <w:rPr>
          <w:rFonts w:ascii="Times New Roman" w:cs="Times New Roman" w:eastAsia="Times New Roman" w:hAnsi="Times New Roman"/>
          <w:sz w:val="18"/>
          <w:szCs w:val="18"/>
          <w:color w:val="auto"/>
        </w:rPr>
      </w:pPr>
    </w:p>
    <w:p>
      <w:pPr>
        <w:ind w:left="720" w:right="499" w:hanging="319"/>
        <w:spacing w:after="0" w:line="217" w:lineRule="auto"/>
        <w:tabs>
          <w:tab w:leader="none" w:pos="7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an appropriate sales, marketing, and distribution infrastructure to commercialize IGALMI</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and any other product candidates for which we may obtain marketing approval;</w:t>
      </w:r>
    </w:p>
    <w:p>
      <w:pPr>
        <w:spacing w:after="0" w:line="157"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potentially hire additional clinical, commercial, regulatory, scientific and finance personnel; and</w:t>
      </w:r>
    </w:p>
    <w:p>
      <w:pPr>
        <w:spacing w:after="0" w:line="198"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additional legal, accounting and other expenses in operating as a public company.</w:t>
      </w:r>
    </w:p>
    <w:p>
      <w:pPr>
        <w:spacing w:after="0" w:line="185" w:lineRule="exact"/>
        <w:rPr>
          <w:sz w:val="20"/>
          <w:szCs w:val="20"/>
          <w:color w:val="auto"/>
        </w:rPr>
      </w:pPr>
    </w:p>
    <w:p>
      <w:pPr>
        <w:ind w:left="60" w:right="159" w:firstLine="324"/>
        <w:spacing w:after="0" w:line="236" w:lineRule="auto"/>
        <w:rPr>
          <w:sz w:val="20"/>
          <w:szCs w:val="20"/>
          <w:color w:val="auto"/>
        </w:rPr>
      </w:pPr>
      <w:r>
        <w:rPr>
          <w:rFonts w:ascii="Times New Roman" w:cs="Times New Roman" w:eastAsia="Times New Roman" w:hAnsi="Times New Roman"/>
          <w:sz w:val="18"/>
          <w:szCs w:val="18"/>
          <w:color w:val="auto"/>
        </w:rPr>
        <w:t>To become and remain profitable, we must develop and commercialize more products or product candidates with significant market potential. This will require us to be successful in a range of challenging activities, including completing clinical trials of our product candidates, developing commercial scale manufacturing processes, obtaining marketing approval, manufacturing, marketing, and selling IGALMI</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and any current and future product candidates for which we may obtain marketing approval, and satisfying any post-marketing requirements. We may never succeed in any or all of these activities and, even if we do, we may never generate sufficient revenue to achieve profitability.</w:t>
      </w:r>
    </w:p>
    <w:p>
      <w:pPr>
        <w:spacing w:after="0" w:line="152" w:lineRule="exact"/>
        <w:rPr>
          <w:sz w:val="20"/>
          <w:szCs w:val="20"/>
          <w:color w:val="auto"/>
        </w:rPr>
      </w:pPr>
    </w:p>
    <w:p>
      <w:pPr>
        <w:ind w:left="60" w:right="179" w:firstLine="324"/>
        <w:spacing w:after="0" w:line="244" w:lineRule="auto"/>
        <w:rPr>
          <w:sz w:val="20"/>
          <w:szCs w:val="20"/>
          <w:color w:val="auto"/>
        </w:rPr>
      </w:pPr>
      <w:r>
        <w:rPr>
          <w:rFonts w:ascii="Times New Roman" w:cs="Times New Roman" w:eastAsia="Times New Roman" w:hAnsi="Times New Roman"/>
          <w:sz w:val="18"/>
          <w:szCs w:val="18"/>
          <w:color w:val="auto"/>
        </w:rPr>
        <w:t>Although we have obtained U.S. FDA approval for IGALMI</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because of the numerous risks and uncertainties associated with product development, we are unable to accurately predict the timing or amount of expenses or when, or if, we will obtain marketing approval to commercialize any additional product candidates. If we are required by the FDA, or other regulatory authorities such as the European Medicines Agency (“EMA”) to perform studies and trials in addition to those currently expected, or if there are any delays in the development, or in the completion of any planned or future preclinical studies or clinical trials of our current or future product candidates, our expenses could increase and profitability could be further delayed. For example, developments with respect to our TRANQUILITY program evaluating BXCL501 in patients with dementia due to probable Alzheimer’s disease may increase the likelihood that we experience such costs or delays, as discussed in the risk factor below entitled: “</w:t>
      </w:r>
      <w:r>
        <w:rPr>
          <w:rFonts w:ascii="Times New Roman" w:cs="Times New Roman" w:eastAsia="Times New Roman" w:hAnsi="Times New Roman"/>
          <w:sz w:val="18"/>
          <w:szCs w:val="18"/>
          <w:i w:val="1"/>
          <w:iCs w:val="1"/>
          <w:color w:val="auto"/>
        </w:rPr>
        <w:t>Developments relating to our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TRANQUILITY II Phase 3 trial may impact the timing of our development plans for, and prospects for seeking or obtaining regulatory approval of, BXCL501 for the acute treatment of agitation (non-daily) associated with dementia in patients with probable Alzheimer’s disease</w:t>
      </w:r>
      <w:r>
        <w:rPr>
          <w:rFonts w:ascii="Times New Roman" w:cs="Times New Roman" w:eastAsia="Times New Roman" w:hAnsi="Times New Roman"/>
          <w:sz w:val="18"/>
          <w:szCs w:val="18"/>
          <w:color w:val="auto"/>
        </w:rPr>
        <w:t>.”</w:t>
      </w:r>
    </w:p>
    <w:p>
      <w:pPr>
        <w:spacing w:after="0" w:line="170" w:lineRule="exact"/>
        <w:rPr>
          <w:sz w:val="20"/>
          <w:szCs w:val="20"/>
          <w:color w:val="auto"/>
        </w:rPr>
      </w:pPr>
    </w:p>
    <w:p>
      <w:pPr>
        <w:ind w:left="60" w:right="439" w:firstLine="324"/>
        <w:spacing w:after="0" w:line="282" w:lineRule="auto"/>
        <w:rPr>
          <w:sz w:val="20"/>
          <w:szCs w:val="20"/>
          <w:color w:val="auto"/>
        </w:rPr>
      </w:pPr>
      <w:r>
        <w:rPr>
          <w:rFonts w:ascii="Times New Roman" w:cs="Times New Roman" w:eastAsia="Times New Roman" w:hAnsi="Times New Roman"/>
          <w:sz w:val="18"/>
          <w:szCs w:val="18"/>
          <w:color w:val="auto"/>
        </w:rPr>
        <w:t>Even if we do achieve profitability, we may not be able to sustain or increase profitability on a quarterly or annual basis.</w:t>
      </w:r>
    </w:p>
    <w:p>
      <w:pPr>
        <w:spacing w:after="0" w:line="121" w:lineRule="exact"/>
        <w:rPr>
          <w:sz w:val="20"/>
          <w:szCs w:val="20"/>
          <w:color w:val="auto"/>
        </w:rPr>
      </w:pPr>
    </w:p>
    <w:p>
      <w:pPr>
        <w:jc w:val="both"/>
        <w:ind w:left="60" w:right="139" w:firstLine="324"/>
        <w:spacing w:after="0" w:line="266" w:lineRule="auto"/>
        <w:rPr>
          <w:sz w:val="20"/>
          <w:szCs w:val="20"/>
          <w:color w:val="auto"/>
        </w:rPr>
      </w:pPr>
      <w:r>
        <w:rPr>
          <w:rFonts w:ascii="Times New Roman" w:cs="Times New Roman" w:eastAsia="Times New Roman" w:hAnsi="Times New Roman"/>
          <w:sz w:val="18"/>
          <w:szCs w:val="18"/>
          <w:color w:val="auto"/>
        </w:rPr>
        <w:t>Our failure to become and remain profitable would decrease the value of our Company and could impair our ability to raise capital, maintain our research and development efforts, expand our business or continue our operations. A decline in the value of our Company also could cause you to lose all or part of your investment.</w:t>
      </w:r>
    </w:p>
    <w:p>
      <w:pPr>
        <w:spacing w:after="0" w:line="131" w:lineRule="exact"/>
        <w:rPr>
          <w:sz w:val="20"/>
          <w:szCs w:val="20"/>
          <w:color w:val="auto"/>
        </w:rPr>
      </w:pPr>
    </w:p>
    <w:p>
      <w:pPr>
        <w:ind w:left="60" w:right="3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could be delisted from The Nasdaq Capital Market, which could seriously harm the liquidity of our stock and our ability to raise capital or complete a strategic transaction.</w:t>
      </w:r>
    </w:p>
    <w:p>
      <w:pPr>
        <w:spacing w:after="0" w:line="159" w:lineRule="exact"/>
        <w:rPr>
          <w:sz w:val="20"/>
          <w:szCs w:val="20"/>
          <w:color w:val="auto"/>
        </w:rPr>
      </w:pPr>
    </w:p>
    <w:p>
      <w:pPr>
        <w:ind w:left="60" w:right="279" w:firstLine="324"/>
        <w:spacing w:after="0" w:line="258" w:lineRule="auto"/>
        <w:rPr>
          <w:sz w:val="20"/>
          <w:szCs w:val="20"/>
          <w:color w:val="auto"/>
        </w:rPr>
      </w:pPr>
      <w:r>
        <w:rPr>
          <w:rFonts w:ascii="Times New Roman" w:cs="Times New Roman" w:eastAsia="Times New Roman" w:hAnsi="Times New Roman"/>
          <w:sz w:val="18"/>
          <w:szCs w:val="18"/>
          <w:color w:val="auto"/>
        </w:rPr>
        <w:t>As previously reported, on September 20, 2024, we received a letter from Nasdaq Staff notifying us that for the 30 consecutive business days prior to the date of the letter, the Company’s market value of listed securities closed below the minimum $35 million requirement for continued listing on The Nasdaq Capital Market under Nasdaq Listing Rule 5550(b)(2). In accordance with Nasdaq Listing Rule 5810(c)(3)(C), the Company was granted a period of 180 calendar days, or until March 19, 2025, to regain compliance.</w:t>
      </w:r>
    </w:p>
    <w:p>
      <w:pPr>
        <w:sectPr>
          <w:pgSz w:w="11900" w:h="16838" w:orient="portrait"/>
          <w:cols w:equalWidth="0" w:num="1">
            <w:col w:w="9019"/>
          </w:cols>
          <w:pgMar w:left="1440" w:top="513" w:right="1440" w:bottom="1440" w:gutter="0" w:footer="0" w:header="0"/>
        </w:sectPr>
      </w:pPr>
    </w:p>
    <w:p>
      <w:pPr>
        <w:spacing w:after="0" w:line="39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260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606415"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7" w:name="page68"/>
    <w:bookmarkEnd w:id="6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60" w:right="199" w:firstLine="324"/>
        <w:spacing w:after="0" w:line="253" w:lineRule="auto"/>
        <w:rPr>
          <w:sz w:val="20"/>
          <w:szCs w:val="20"/>
          <w:color w:val="auto"/>
        </w:rPr>
      </w:pPr>
      <w:r>
        <w:rPr>
          <w:rFonts w:ascii="Times New Roman" w:cs="Times New Roman" w:eastAsia="Times New Roman" w:hAnsi="Times New Roman"/>
          <w:sz w:val="18"/>
          <w:szCs w:val="18"/>
          <w:color w:val="auto"/>
        </w:rPr>
        <w:t>As anticipated, on March 20, 2025, the Company received another letter from the Staff stating that, as a result of the Company’s continued non-compliance with the MVLS Requirement, its securities would be delisted from Nasdaq unless the Company appeals the Staff’s delisting determination by requesting a hearing before the Nasdaq Panel. The Company made timely request for a hearing before the Panel to appeal the Staff’s determination. The Company had a hearing with the Nasdaq Hearing Panel on May 1, 2025. At the hearing, we presented our plan for regaining compliance with the MVLS Requirement and requested a further extension so that we may complete the execution of our plan. Although we believe our plan will be sufficient to enable us to regain compliance, no assurance can be provided that Nasdaq will ultimately accept our plan or that we will ultimately regain compliance with the MVLS Requirement. As of the date hereof, we have not received a determination from the hearings panel. Our common stock will remain listed and eligible for trading on Nasdaq pending the ultimate conclusion of the hearing process; however, there can be no assurance that the Company will ultimately regain compliance and remain listed on Nasdaq.</w:t>
      </w:r>
    </w:p>
    <w:p>
      <w:pPr>
        <w:spacing w:after="0" w:line="192" w:lineRule="exact"/>
        <w:rPr>
          <w:sz w:val="20"/>
          <w:szCs w:val="20"/>
          <w:color w:val="auto"/>
        </w:rPr>
      </w:pPr>
    </w:p>
    <w:p>
      <w:pPr>
        <w:ind w:left="60" w:right="279" w:firstLine="324"/>
        <w:spacing w:after="0" w:line="277" w:lineRule="auto"/>
        <w:rPr>
          <w:sz w:val="20"/>
          <w:szCs w:val="20"/>
          <w:color w:val="auto"/>
        </w:rPr>
      </w:pPr>
      <w:r>
        <w:rPr>
          <w:rFonts w:ascii="Times New Roman" w:cs="Times New Roman" w:eastAsia="Times New Roman" w:hAnsi="Times New Roman"/>
          <w:sz w:val="17"/>
          <w:szCs w:val="17"/>
          <w:color w:val="auto"/>
        </w:rPr>
        <w:t>If our common stock is delisted by Nasdaq, the price of our common stock may decline and our common stock may be eligible to be quoted on the OTC Bulletin Board, another over-the-counter quotation system, or on the pink sheets, which would negatively affect the liquidity of our common stock and an investor may find it more difficult to dispose of their common stock or obtain accurate quotations as to the market value of our common stock. Any such delisting action may materially adversely affect our ability to raise capital or pursue strategic transactions on acceptable terms, or at all.</w:t>
      </w:r>
    </w:p>
    <w:p>
      <w:pPr>
        <w:spacing w:after="0" w:line="16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In addition, if our common stock is delisted from the Nasdaq Capital Market and the trading price remains below</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$5.00 per share, trading in our common stock might also become subject to the requirements of certain rules promulgated</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under the Exchange Act, which require additional disclosure by broker-dealers in connection with any trade involving a</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stock defined as a “penny stock” (generally, any equity security not listed on a national securities exchange that has a</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market price of less than $5.00 per share, subject to certain exceptions).</w:t>
      </w:r>
    </w:p>
    <w:p>
      <w:pPr>
        <w:spacing w:after="0" w:line="207" w:lineRule="exact"/>
        <w:rPr>
          <w:sz w:val="20"/>
          <w:szCs w:val="20"/>
          <w:color w:val="auto"/>
        </w:rPr>
      </w:pPr>
    </w:p>
    <w:p>
      <w:pPr>
        <w:ind w:left="60" w:right="239" w:firstLine="324"/>
        <w:spacing w:after="0" w:line="261" w:lineRule="auto"/>
        <w:rPr>
          <w:sz w:val="20"/>
          <w:szCs w:val="20"/>
          <w:color w:val="auto"/>
        </w:rPr>
      </w:pPr>
      <w:r>
        <w:rPr>
          <w:rFonts w:ascii="Times New Roman" w:cs="Times New Roman" w:eastAsia="Times New Roman" w:hAnsi="Times New Roman"/>
          <w:sz w:val="18"/>
          <w:szCs w:val="18"/>
          <w:color w:val="auto"/>
        </w:rPr>
        <w:t>We continue to actively monitor our performance with respect to the listing standards and will consider available options to resolve any deficiency and maintain compliance with the Nasdaq rules. There can be no assurance that we will be able to maintain compliance or, if we fall out of compliance, regain compliance with any deficiency, or if we implement an option that regains our compliance, maintain compliance thereafter.</w:t>
      </w:r>
    </w:p>
    <w:p>
      <w:pPr>
        <w:spacing w:after="0" w:line="176" w:lineRule="exact"/>
        <w:rPr>
          <w:sz w:val="20"/>
          <w:szCs w:val="20"/>
          <w:color w:val="auto"/>
        </w:rPr>
      </w:pPr>
    </w:p>
    <w:p>
      <w:pPr>
        <w:ind w:left="60" w:right="25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will need substantial additional funding, and if we are unable to raise capital when needed, we could be forced to delay, reduce or eliminate our product development programs or commercialization efforts or otherwise seek strategic alternatives. In addition, the failure to raise additional financing in accordance with the minimum capital raising requirements of our Credit Agreement (as defined herein) would trigger an event of default thereunder.</w:t>
      </w:r>
    </w:p>
    <w:p>
      <w:pPr>
        <w:spacing w:after="0" w:line="153" w:lineRule="exact"/>
        <w:rPr>
          <w:sz w:val="20"/>
          <w:szCs w:val="20"/>
          <w:color w:val="auto"/>
        </w:rPr>
      </w:pPr>
    </w:p>
    <w:p>
      <w:pPr>
        <w:ind w:left="60" w:right="179" w:firstLine="324"/>
        <w:spacing w:after="0" w:line="253" w:lineRule="auto"/>
        <w:rPr>
          <w:sz w:val="20"/>
          <w:szCs w:val="20"/>
          <w:color w:val="auto"/>
        </w:rPr>
      </w:pPr>
      <w:r>
        <w:rPr>
          <w:rFonts w:ascii="Times New Roman" w:cs="Times New Roman" w:eastAsia="Times New Roman" w:hAnsi="Times New Roman"/>
          <w:sz w:val="18"/>
          <w:szCs w:val="18"/>
          <w:color w:val="auto"/>
        </w:rPr>
        <w:t>We will require additional future funding to support current and anticipated future expenses. We currently anticipate continuing to develop and conduct clinical trials with respect to our current and any future product candidates; seek to identify and develop additional product candidates; acquire or in-license other product candidates or technologies; seek regulatory approvals for our product candidates that successfully complete clinical trials, if any; establish sales, marketing, distribution and other commercial infrastructure to support the commercialization of products for which we may obtain marketing approval; require the manufacture of larger quantities of product candidates for clinical development and, potentially, commercialization; maintain, expand and protect our intellectual property portfolio; hire and retain limited additional personnel, such as clinical, quality control and scientific personnel; add operational, financial and management information systems and personnel, including personnel to support our product development and help us comply with our obligations as a public company; and add equipment and physical infrastructure to support our research and development programs.</w:t>
      </w:r>
    </w:p>
    <w:p>
      <w:pPr>
        <w:spacing w:after="0" w:line="143" w:lineRule="exact"/>
        <w:rPr>
          <w:sz w:val="20"/>
          <w:szCs w:val="20"/>
          <w:color w:val="auto"/>
        </w:rPr>
      </w:pPr>
    </w:p>
    <w:p>
      <w:pPr>
        <w:ind w:left="60" w:right="159" w:firstLine="324"/>
        <w:spacing w:after="0" w:line="239" w:lineRule="auto"/>
        <w:rPr>
          <w:sz w:val="20"/>
          <w:szCs w:val="20"/>
          <w:color w:val="auto"/>
        </w:rPr>
      </w:pPr>
      <w:r>
        <w:rPr>
          <w:rFonts w:ascii="Times New Roman" w:cs="Times New Roman" w:eastAsia="Times New Roman" w:hAnsi="Times New Roman"/>
          <w:sz w:val="18"/>
          <w:szCs w:val="18"/>
          <w:color w:val="auto"/>
        </w:rPr>
        <w:t>We have been and may continue to be required to expend significant funds to continue to commercialize IGALMI</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in the U.S. and advance the development of BXCL501, BXCL701, BXCL502 and our other product candidates. In addition, while we may seek one or more collaborators for future development of our current product candidates or any future product candidates that we may develop for one or more indications, we may not be able to enter into a collaboration for any of our product candidates for such indications on suitable terms, on a timely basis or at all. In any event, our existing cash will not be sufficient to fund all of the efforts that we plan to undertake or to fund the completion of development of our product candidates or our other preclinical programs. Accordingly, we will be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1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254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606415"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8" w:name="page69"/>
    <w:bookmarkEnd w:id="6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19"/>
        <w:spacing w:after="0" w:line="253" w:lineRule="auto"/>
        <w:rPr>
          <w:sz w:val="20"/>
          <w:szCs w:val="20"/>
          <w:color w:val="auto"/>
        </w:rPr>
      </w:pPr>
      <w:r>
        <w:rPr>
          <w:rFonts w:ascii="Times New Roman" w:cs="Times New Roman" w:eastAsia="Times New Roman" w:hAnsi="Times New Roman"/>
          <w:sz w:val="18"/>
          <w:szCs w:val="18"/>
          <w:color w:val="auto"/>
        </w:rPr>
        <w:t>required to obtain further funding through public or private equity offerings, debt financings, collaborations and licensing arrangements or other sources. We may also seek third-party investments in or other strategic options for our subsidiary, OnkosXcel. Further financing may not be available to us on acceptable terms, or at all. In addition, we are reliant on the financial institutions with which we hold our cash and cash equivalents. If such institutions were to close, we may not be able to recover all of our cash or cash equivalents held at such institutions. Moreover, market volatility, credit crises, adverse macroeconomic conditions, such as high interest or inflation rates, or other factors, as well as Company-specific factors such as the progress of our development pipeline, adverse clinical events or results, regulatory investigations, or ongoing or potential legal proceedings, could also adversely impact our ability to access capital as and when needed. Our failure to raise capital as and when needed would have a negative impact on our financial condition and our ability to pursue our business strategy.</w:t>
      </w:r>
    </w:p>
    <w:p>
      <w:pPr>
        <w:spacing w:after="0" w:line="167" w:lineRule="exact"/>
        <w:rPr>
          <w:sz w:val="20"/>
          <w:szCs w:val="20"/>
          <w:color w:val="auto"/>
        </w:rPr>
      </w:pPr>
    </w:p>
    <w:p>
      <w:pPr>
        <w:ind w:left="60" w:right="179" w:firstLine="324"/>
        <w:spacing w:after="0" w:line="253" w:lineRule="auto"/>
        <w:rPr>
          <w:sz w:val="20"/>
          <w:szCs w:val="20"/>
          <w:color w:val="auto"/>
        </w:rPr>
      </w:pPr>
      <w:r>
        <w:rPr>
          <w:rFonts w:ascii="Times New Roman" w:cs="Times New Roman" w:eastAsia="Times New Roman" w:hAnsi="Times New Roman"/>
          <w:sz w:val="18"/>
          <w:szCs w:val="18"/>
          <w:color w:val="auto"/>
        </w:rPr>
        <w:t>Management believes that the Company’s cash and cash equivalents of $31.0 million as of March 31, 2025 will allow the Company to fund its operations and meet its liquidity requirements into the third quarter of 2025. However, there can be no assurance that we will be able to extend our cash runway by meeting the conditions for additional funding under the terms of our Credit Agreement (defined above) or otherwise. In addition, the failure to raise additional financing in accordance with the minimum capital raising requirements of our Credit Agreement would trigger an event of default thereunder. The Fifth Amendment to our Credit Agreement included a new capital raising covenant requiring, among other things, that the Company receive on or prior to the earlier of (x) August 15, 2025 and (y) the date that is 30 days after the final data readout of the SERENITY At-Home Phase 3 trial, an aggregate of at least $29.0 million in net cash proceeds (“Raise 3”) (including net proceeds raised in the interim). The Company has raised net proceeds of $19.1 million to date under these capital raising requirements.</w:t>
      </w:r>
    </w:p>
    <w:p>
      <w:pPr>
        <w:spacing w:after="0" w:line="154" w:lineRule="exact"/>
        <w:rPr>
          <w:sz w:val="20"/>
          <w:szCs w:val="20"/>
          <w:color w:val="auto"/>
        </w:rPr>
      </w:pPr>
    </w:p>
    <w:p>
      <w:pPr>
        <w:ind w:left="60" w:right="239" w:firstLine="324"/>
        <w:spacing w:after="0" w:line="258" w:lineRule="auto"/>
        <w:rPr>
          <w:sz w:val="20"/>
          <w:szCs w:val="20"/>
          <w:color w:val="auto"/>
        </w:rPr>
      </w:pPr>
      <w:r>
        <w:rPr>
          <w:rFonts w:ascii="Times New Roman" w:cs="Times New Roman" w:eastAsia="Times New Roman" w:hAnsi="Times New Roman"/>
          <w:sz w:val="18"/>
          <w:szCs w:val="18"/>
          <w:color w:val="auto"/>
        </w:rPr>
        <w:t>In connection with the Fifth Amendment and the required capital raises described in the preceding paragraph, the Lenders agreed to modify the Credit Agreement’s minimum liquidity covenant to require minimum cash liquidity of $7.5 million (instead of $25.0 million) from and after the closing of Raise 1 until March 30, 2025. On March 31, 2025, the minimum liquidity increased to $10.0 million, and on September 30, 2025, the minimum liquidity amount will further increase to $15.0 million.</w:t>
      </w:r>
    </w:p>
    <w:p>
      <w:pPr>
        <w:spacing w:after="0" w:line="143" w:lineRule="exact"/>
        <w:rPr>
          <w:sz w:val="20"/>
          <w:szCs w:val="20"/>
          <w:color w:val="auto"/>
        </w:rPr>
      </w:pPr>
    </w:p>
    <w:p>
      <w:pPr>
        <w:ind w:left="60" w:right="239" w:firstLine="324"/>
        <w:spacing w:after="0" w:line="258" w:lineRule="auto"/>
        <w:rPr>
          <w:sz w:val="20"/>
          <w:szCs w:val="20"/>
          <w:color w:val="auto"/>
        </w:rPr>
      </w:pPr>
      <w:r>
        <w:rPr>
          <w:rFonts w:ascii="Times New Roman" w:cs="Times New Roman" w:eastAsia="Times New Roman" w:hAnsi="Times New Roman"/>
          <w:sz w:val="18"/>
          <w:szCs w:val="18"/>
          <w:color w:val="auto"/>
        </w:rPr>
        <w:t>Furthermore, our estimate as to how long we expect our existing cash to be able to continue to fund our operations is based on assumptions that may prove to be wrong, and we could use our available capital resources sooner than we currently expect. Further, changing circumstances, some of which may be beyond our control, could cause us to consume capital significantly faster than we currently anticipate, and we may need to seek additional funds sooner than planned. Our future funding requirements, both short-term and long-term, will depend on many factors, including:</w:t>
      </w:r>
    </w:p>
    <w:p>
      <w:pPr>
        <w:spacing w:after="0" w:line="156" w:lineRule="exact"/>
        <w:rPr>
          <w:sz w:val="20"/>
          <w:szCs w:val="20"/>
          <w:color w:val="auto"/>
        </w:rPr>
      </w:pPr>
    </w:p>
    <w:p>
      <w:pPr>
        <w:ind w:left="720" w:right="419" w:hanging="319"/>
        <w:spacing w:after="0" w:line="282" w:lineRule="auto"/>
        <w:tabs>
          <w:tab w:leader="none" w:pos="7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progress, timing, costs, and results of clinical trials of our product candidates, including any delays that have occurred or may occur due to the recent developments with the TRANQUILITY program;</w:t>
      </w:r>
    </w:p>
    <w:p>
      <w:pPr>
        <w:spacing w:after="0" w:line="121" w:lineRule="exact"/>
        <w:rPr>
          <w:rFonts w:ascii="Times New Roman" w:cs="Times New Roman" w:eastAsia="Times New Roman" w:hAnsi="Times New Roman"/>
          <w:sz w:val="18"/>
          <w:szCs w:val="18"/>
          <w:color w:val="auto"/>
        </w:rPr>
      </w:pPr>
    </w:p>
    <w:p>
      <w:pPr>
        <w:ind w:left="720" w:right="1019" w:hanging="319"/>
        <w:spacing w:after="0" w:line="282" w:lineRule="auto"/>
        <w:tabs>
          <w:tab w:leader="none" w:pos="7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enter into and the terms and timing of any collaborations, licensing agreements or other arrangements;</w:t>
      </w:r>
    </w:p>
    <w:p>
      <w:pPr>
        <w:spacing w:after="0" w:line="12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timing and outcome of seeking regulatory approvals;</w:t>
      </w:r>
    </w:p>
    <w:p>
      <w:pPr>
        <w:spacing w:after="0" w:line="190" w:lineRule="exact"/>
        <w:rPr>
          <w:rFonts w:ascii="Times New Roman" w:cs="Times New Roman" w:eastAsia="Times New Roman" w:hAnsi="Times New Roman"/>
          <w:sz w:val="18"/>
          <w:szCs w:val="18"/>
          <w:color w:val="auto"/>
        </w:rPr>
      </w:pPr>
    </w:p>
    <w:p>
      <w:pPr>
        <w:ind w:left="720" w:right="299" w:hanging="319"/>
        <w:spacing w:after="0" w:line="226" w:lineRule="auto"/>
        <w:tabs>
          <w:tab w:leader="none" w:pos="7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commercialization activities for IGALMI</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and for any of our product candidates that receive marketing approval, to the extent such costs are not the responsibility of any future collaborators, including the costs and timing of establishing product sales, marketing, distribution and manufacturing capabilities;</w:t>
      </w:r>
    </w:p>
    <w:p>
      <w:pPr>
        <w:spacing w:after="0" w:line="152"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received from commercial sales of IGALMI</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and our current and future product candidates;</w:t>
      </w:r>
    </w:p>
    <w:p>
      <w:pPr>
        <w:spacing w:after="0" w:line="100" w:lineRule="exact"/>
        <w:rPr>
          <w:rFonts w:ascii="Times New Roman" w:cs="Times New Roman" w:eastAsia="Times New Roman" w:hAnsi="Times New Roman"/>
          <w:sz w:val="18"/>
          <w:szCs w:val="18"/>
          <w:color w:val="auto"/>
        </w:rPr>
      </w:pPr>
    </w:p>
    <w:p>
      <w:pPr>
        <w:ind w:left="720" w:right="519" w:hanging="319"/>
        <w:spacing w:after="0" w:line="282" w:lineRule="auto"/>
        <w:tabs>
          <w:tab w:leader="none" w:pos="7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preparing, filing and prosecuting patent applications, maintaining and protecting our intellectual property rights and defending against intellectual property related claims;</w:t>
      </w:r>
    </w:p>
    <w:p>
      <w:pPr>
        <w:spacing w:after="0" w:line="13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future product candidates that we pursue and their development requirements;</w:t>
      </w:r>
    </w:p>
    <w:p>
      <w:pPr>
        <w:spacing w:after="0" w:line="18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regulatory policies or laws that may affect our operations;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260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606415"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9" w:name="page70"/>
    <w:bookmarkEnd w:id="6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20" w:hanging="319"/>
        <w:spacing w:after="0"/>
        <w:tabs>
          <w:tab w:leader="none" w:pos="7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physician acceptance or medical society recommendations that may affect commercial efforts;</w:t>
      </w:r>
    </w:p>
    <w:p>
      <w:pPr>
        <w:spacing w:after="0" w:line="198"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acquiring potential new product candidates or technology;</w:t>
      </w:r>
    </w:p>
    <w:p>
      <w:pPr>
        <w:spacing w:after="0" w:line="18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operating as a public company;</w:t>
      </w:r>
    </w:p>
    <w:p>
      <w:pPr>
        <w:spacing w:after="0" w:line="18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our operations continue;</w:t>
      </w:r>
    </w:p>
    <w:p>
      <w:pPr>
        <w:spacing w:after="0" w:line="198"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legal proceedings and investigations; and</w:t>
      </w:r>
    </w:p>
    <w:p>
      <w:pPr>
        <w:spacing w:after="0" w:line="18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associated with any adverse market conditions or other macroeconomic factors.</w:t>
      </w:r>
    </w:p>
    <w:p>
      <w:pPr>
        <w:spacing w:after="0" w:line="185" w:lineRule="exact"/>
        <w:rPr>
          <w:sz w:val="20"/>
          <w:szCs w:val="20"/>
          <w:color w:val="auto"/>
        </w:rPr>
      </w:pPr>
    </w:p>
    <w:p>
      <w:pPr>
        <w:ind w:left="60" w:right="339" w:firstLine="324"/>
        <w:spacing w:after="0" w:line="256" w:lineRule="auto"/>
        <w:rPr>
          <w:sz w:val="20"/>
          <w:szCs w:val="20"/>
          <w:color w:val="auto"/>
        </w:rPr>
      </w:pPr>
      <w:r>
        <w:rPr>
          <w:rFonts w:ascii="Times New Roman" w:cs="Times New Roman" w:eastAsia="Times New Roman" w:hAnsi="Times New Roman"/>
          <w:sz w:val="18"/>
          <w:szCs w:val="18"/>
          <w:color w:val="auto"/>
        </w:rPr>
        <w:t>As we continue our research and development activities, we will require additional resources to continue as a going concern. We can provide no assurance that we will successfully obtain additional resources to improve our financial condition. If we are unable to obtain necessary additional capital, we could be compelled to pursue alternative options, including, without limitation, implementing further workforce reductions, reducing or ceasing product development programs and advancement of our clinical trials and product candidates, selling our assets or seeking other strategic alternatives.</w:t>
      </w:r>
    </w:p>
    <w:p>
      <w:pPr>
        <w:spacing w:after="0" w:line="156" w:lineRule="exact"/>
        <w:rPr>
          <w:sz w:val="20"/>
          <w:szCs w:val="20"/>
          <w:color w:val="auto"/>
        </w:rPr>
      </w:pPr>
    </w:p>
    <w:p>
      <w:pPr>
        <w:ind w:left="60" w:right="29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have significant indebtedness and other contractual obligations that could impair our liquidity, restrict our ability to do business and thereby harm our business, results of operations and financial condition. We may not have sufficient cash flow from operations to satisfy our obligations under the Credit Agreement.</w:t>
      </w:r>
    </w:p>
    <w:p>
      <w:pPr>
        <w:spacing w:after="0" w:line="175" w:lineRule="exact"/>
        <w:rPr>
          <w:sz w:val="20"/>
          <w:szCs w:val="20"/>
          <w:color w:val="auto"/>
        </w:rPr>
      </w:pPr>
    </w:p>
    <w:p>
      <w:pPr>
        <w:ind w:left="60" w:right="479" w:firstLine="324"/>
        <w:spacing w:after="0" w:line="261" w:lineRule="auto"/>
        <w:rPr>
          <w:sz w:val="20"/>
          <w:szCs w:val="20"/>
          <w:color w:val="auto"/>
        </w:rPr>
      </w:pPr>
      <w:r>
        <w:rPr>
          <w:rFonts w:ascii="Times New Roman" w:cs="Times New Roman" w:eastAsia="Times New Roman" w:hAnsi="Times New Roman"/>
          <w:sz w:val="18"/>
          <w:szCs w:val="18"/>
          <w:color w:val="auto"/>
        </w:rPr>
        <w:t>As of March 31, 2025, we had aggregate principal indebtedness of $109.4 million outstanding under our Credit Agreement and Guaranty (as amended, the “Credit Agreement”) by and among the Company, as the borrower, certain subsidiaries of the Company from time to time party thereto as subsidiary guarantors, the lenders party thereto (the “Lenders”), and Oaktree Fund Administration LLC (“OFA”) as administrative agent.</w:t>
      </w:r>
    </w:p>
    <w:p>
      <w:pPr>
        <w:spacing w:after="0" w:line="180" w:lineRule="exact"/>
        <w:rPr>
          <w:sz w:val="20"/>
          <w:szCs w:val="20"/>
          <w:color w:val="auto"/>
        </w:rPr>
      </w:pPr>
    </w:p>
    <w:p>
      <w:pPr>
        <w:ind w:left="60" w:right="179" w:firstLine="324"/>
        <w:spacing w:after="0" w:line="253" w:lineRule="auto"/>
        <w:rPr>
          <w:sz w:val="20"/>
          <w:szCs w:val="20"/>
          <w:color w:val="auto"/>
        </w:rPr>
      </w:pPr>
      <w:r>
        <w:rPr>
          <w:rFonts w:ascii="Times New Roman" w:cs="Times New Roman" w:eastAsia="Times New Roman" w:hAnsi="Times New Roman"/>
          <w:sz w:val="18"/>
          <w:szCs w:val="18"/>
          <w:color w:val="auto"/>
        </w:rPr>
        <w:t>Restrictive covenants in the Credit Agreement place limits on our ability to conduct our business. The Credit Agreement contains customary representations and warranties and customary affirmative and negative covenants, including, among other things, restrictions on indebtedness, liens, investments, mergers, dispositions, prepayment of other indebtedness, and dividends and other distributions, subject to certain exceptions, including specific exceptions with respect to product commercialization and development activities. In addition, certain events, including receipt of a warning letter from the FDA, may constitute an event of default. We must also comply with certain covenants under the Credit Agreement, including a financial covenant that requires we maintain certain minimum cash liquidity amounts. In addition, certain events, including certain regulatory events and any “going concern” or similar qualification in a report of the Company’s independent registered public accountants relating to the Company’s annual financial statements (except for the years ended December 31, 2024 and 2023, respectively), constitute an event of default under the Credit Agreement. The Credit Agreement also includes other covenants relating to certain change of control events can also trigger an event of default under the Credit Agreement, including control by any entity or group of entities, other than BioXcel LLC and its affiliates, that acquires 35% or more of our voting capital stock.</w:t>
      </w:r>
    </w:p>
    <w:p>
      <w:pPr>
        <w:spacing w:after="0" w:line="187" w:lineRule="exact"/>
        <w:rPr>
          <w:sz w:val="20"/>
          <w:szCs w:val="20"/>
          <w:color w:val="auto"/>
        </w:rPr>
      </w:pPr>
    </w:p>
    <w:p>
      <w:pPr>
        <w:ind w:left="60" w:right="319" w:firstLine="324"/>
        <w:spacing w:after="0" w:line="241" w:lineRule="auto"/>
        <w:rPr>
          <w:sz w:val="20"/>
          <w:szCs w:val="20"/>
          <w:color w:val="auto"/>
        </w:rPr>
      </w:pPr>
      <w:r>
        <w:rPr>
          <w:rFonts w:ascii="Times New Roman" w:cs="Times New Roman" w:eastAsia="Times New Roman" w:hAnsi="Times New Roman"/>
          <w:sz w:val="18"/>
          <w:szCs w:val="18"/>
          <w:color w:val="auto"/>
        </w:rPr>
        <w:t>Our ability to make scheduled payments or payments to maintain compliance with covenants or to restructure or refinance these and other outstanding debt obligations depends on our financial and operating performance, including growth in revenue from IGALMI</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and BXCL501, which will be affected by prevailing economic, industry and competitive conditions and by financial, business and other factors beyond our control. A failure to pay our debt, fixed costs and other obligations or a breach of our contractual obligations or other event of default could result in a variety of adverse consequences, including the acceleration of our obligations or the exercise of remedies by our creditors and lessors. In such a situation, it is unlikely that we would be able to cure our breach, fulfill our obligations, make required payments or otherwise cover our fixed costs, which would have a material adverse effect on our business, results of operations and financial condition.</w:t>
      </w:r>
    </w:p>
    <w:p>
      <w:pPr>
        <w:spacing w:after="0" w:line="197" w:lineRule="exact"/>
        <w:rPr>
          <w:sz w:val="20"/>
          <w:szCs w:val="20"/>
          <w:color w:val="auto"/>
        </w:rPr>
      </w:pPr>
    </w:p>
    <w:p>
      <w:pPr>
        <w:jc w:val="both"/>
        <w:ind w:left="60" w:right="199" w:firstLine="324"/>
        <w:spacing w:after="0" w:line="266" w:lineRule="auto"/>
        <w:rPr>
          <w:sz w:val="20"/>
          <w:szCs w:val="20"/>
          <w:color w:val="auto"/>
        </w:rPr>
      </w:pPr>
      <w:r>
        <w:rPr>
          <w:rFonts w:ascii="Times New Roman" w:cs="Times New Roman" w:eastAsia="Times New Roman" w:hAnsi="Times New Roman"/>
          <w:sz w:val="18"/>
          <w:szCs w:val="18"/>
          <w:color w:val="auto"/>
        </w:rPr>
        <w:t>In addition, historically we have relied on debt and equity financings as our primary sources of liquidity. If our future cash flows and capital resources are insufficient to fund our debt service obligations, we may be forced to reduce or delay expenditures, sell assets, seek additional capital or seek to restructure or refinance our indebtedness. Any</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606415"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0" w:name="page71"/>
    <w:bookmarkEnd w:id="7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79"/>
        <w:spacing w:after="0" w:line="258" w:lineRule="auto"/>
        <w:rPr>
          <w:sz w:val="20"/>
          <w:szCs w:val="20"/>
          <w:color w:val="auto"/>
        </w:rPr>
      </w:pPr>
      <w:r>
        <w:rPr>
          <w:rFonts w:ascii="Times New Roman" w:cs="Times New Roman" w:eastAsia="Times New Roman" w:hAnsi="Times New Roman"/>
          <w:sz w:val="18"/>
          <w:szCs w:val="18"/>
          <w:color w:val="auto"/>
        </w:rPr>
        <w:t>refinancing or restructuring of our indebtedness could be at higher interest rates and may require us to comply with more onerous covenants. These alternative measures may not be successful and may not permit us to meet our scheduled or any accelerated debt service obligations. In the absence of such cash flows and resources, we could face substantial liquidity problems and might be required to sell material assets or pursue other strategic alternatives to attempt to meet our debt service obligations.</w:t>
      </w:r>
    </w:p>
    <w:p>
      <w:pPr>
        <w:spacing w:after="0" w:line="179" w:lineRule="exact"/>
        <w:rPr>
          <w:sz w:val="20"/>
          <w:szCs w:val="20"/>
          <w:color w:val="auto"/>
        </w:rPr>
      </w:pPr>
    </w:p>
    <w:p>
      <w:pPr>
        <w:ind w:left="60" w:right="63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identified conditions and events that raise substantial doubt regarding our ability to continue as a going concern.</w:t>
      </w:r>
    </w:p>
    <w:p>
      <w:pPr>
        <w:spacing w:after="0" w:line="132" w:lineRule="exact"/>
        <w:rPr>
          <w:sz w:val="20"/>
          <w:szCs w:val="20"/>
          <w:color w:val="auto"/>
        </w:rPr>
      </w:pPr>
    </w:p>
    <w:p>
      <w:pPr>
        <w:ind w:left="60" w:right="139" w:firstLine="324"/>
        <w:spacing w:after="0" w:line="252" w:lineRule="auto"/>
        <w:rPr>
          <w:sz w:val="20"/>
          <w:szCs w:val="20"/>
          <w:color w:val="auto"/>
        </w:rPr>
      </w:pPr>
      <w:r>
        <w:rPr>
          <w:rFonts w:ascii="Times New Roman" w:cs="Times New Roman" w:eastAsia="Times New Roman" w:hAnsi="Times New Roman"/>
          <w:sz w:val="18"/>
          <w:szCs w:val="18"/>
          <w:color w:val="auto"/>
        </w:rPr>
        <w:t xml:space="preserve">As of March 31, 2025, we had $31.0 million in cash and cash equivalents. Based on our existing cash, cash equivalents and lack of current availability under our funding facilities, we do not believe we have sufficient cash on hand to support current operations and service our debt obligations for at least one year from the date of issuance of the audited consolidated financial statements appearing in this Quarterly Report on Form 10-Q. This condition raises substantial doubt about our ability to continue as a going concern for at least one year from the date that our financial statements for the quarter ended March 31, 2025 are issued. In order to mitigate liquidity issues, we have undertaken the Reprioritization and other restructuring actions, and may, among other things, seek to raise capital through the issuance of common stock, or by restructuring, refinancing, and/or amending the terms of the Credit Agreement (including with respect to regulatory related events of default that do not contain a cure period) or pursue other strategic alternatives. However, such transactions may not be successful and we may not be able to raise additional equity and/or financing necessary to meet our obligations. Moreover, our Credit Agreement contains covenants that we may be unable to comply with and which could result in the acceleration of our debt service obligations, further reducing our capital resources and ability to fund our operations. As such, there can be no assurance that we will be able to continue as a going concern and we may be forced to delay, reduce or discontinue our product development programs or commercialization efforts in order to preserve cash. For additional cost-saving and other strategic initiatives we may be compelled to pursue, see the risk factor entitled, </w:t>
      </w:r>
      <w:r>
        <w:rPr>
          <w:rFonts w:ascii="Times New Roman" w:cs="Times New Roman" w:eastAsia="Times New Roman" w:hAnsi="Times New Roman"/>
          <w:sz w:val="18"/>
          <w:szCs w:val="18"/>
          <w:i w:val="1"/>
          <w:iCs w:val="1"/>
          <w:color w:val="auto"/>
        </w:rPr>
        <w:t>“We will need substantial additional funding, and if we are unable to raise capital when needed, we could be forced to delay, reduce or eliminate our product development programs or commercialization efforts or otherwise seek strategic alternatives.”</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Our strategic reprioritization and other workforce reductions may not achieve our intended outcome.</w:t>
      </w:r>
    </w:p>
    <w:p>
      <w:pPr>
        <w:spacing w:after="0" w:line="229" w:lineRule="exact"/>
        <w:rPr>
          <w:sz w:val="20"/>
          <w:szCs w:val="20"/>
          <w:color w:val="auto"/>
        </w:rPr>
      </w:pPr>
    </w:p>
    <w:p>
      <w:pPr>
        <w:ind w:left="60" w:right="139" w:firstLine="324"/>
        <w:spacing w:after="0" w:line="239" w:lineRule="auto"/>
        <w:rPr>
          <w:sz w:val="20"/>
          <w:szCs w:val="20"/>
          <w:color w:val="auto"/>
        </w:rPr>
      </w:pPr>
      <w:r>
        <w:rPr>
          <w:rFonts w:ascii="Times New Roman" w:cs="Times New Roman" w:eastAsia="Times New Roman" w:hAnsi="Times New Roman"/>
          <w:sz w:val="18"/>
          <w:szCs w:val="18"/>
          <w:color w:val="auto"/>
        </w:rPr>
        <w:t>In August 2023, we announced a broad-based strategic reprioritization (the “Reprioritization”) and have taken further restructuring actions since then. As part of these efforts, we have taken actions to reduce certain operational and workforce expenses that are no longer deemed core to our ongoing operations in order to extend our cash runway and drive innovation and growth in high potential clinical development and value creating opportunities. These actions include a shift in commercial strategy for IGALMI</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in the institutional setting, a reduction of in-hospital commercialization expenses, a suspension of programs no longer determined to be core to ongoing operations, and a prioritization on at-home treatment setting opportunities for BXCL501. As part of this strategy, we reduced our workforce in 2023 by approximately 60%.</w:t>
      </w:r>
    </w:p>
    <w:p>
      <w:pPr>
        <w:spacing w:after="0" w:line="203" w:lineRule="exact"/>
        <w:rPr>
          <w:sz w:val="20"/>
          <w:szCs w:val="20"/>
          <w:color w:val="auto"/>
        </w:rPr>
      </w:pPr>
    </w:p>
    <w:p>
      <w:pPr>
        <w:ind w:left="60" w:right="239" w:firstLine="324"/>
        <w:spacing w:after="0" w:line="258" w:lineRule="auto"/>
        <w:rPr>
          <w:sz w:val="20"/>
          <w:szCs w:val="20"/>
          <w:color w:val="auto"/>
        </w:rPr>
      </w:pPr>
      <w:r>
        <w:rPr>
          <w:rFonts w:ascii="Times New Roman" w:cs="Times New Roman" w:eastAsia="Times New Roman" w:hAnsi="Times New Roman"/>
          <w:sz w:val="18"/>
          <w:szCs w:val="18"/>
          <w:color w:val="auto"/>
        </w:rPr>
        <w:t>In May and September 2024, we initiated further workforce reductions, and we may undertake further similar cost-saving initiatives, which may include additional restructuring or workforce reductions. These types of cost-reduction activities can be complex and result in unintended consequences and costs, including decreased employee morale, loss of institutional knowledge and expertise and adversely impact our business. We completed these additional restructuring actions to further reduce the workforce by 50%, ending the year ended December 31, 2024 with 37 full-time employees.</w:t>
      </w:r>
    </w:p>
    <w:p>
      <w:pPr>
        <w:spacing w:after="0" w:line="183" w:lineRule="exact"/>
        <w:rPr>
          <w:sz w:val="20"/>
          <w:szCs w:val="20"/>
          <w:color w:val="auto"/>
        </w:rPr>
      </w:pPr>
    </w:p>
    <w:p>
      <w:pPr>
        <w:ind w:left="60" w:right="139" w:firstLine="324"/>
        <w:spacing w:after="0" w:line="254" w:lineRule="auto"/>
        <w:rPr>
          <w:sz w:val="20"/>
          <w:szCs w:val="20"/>
          <w:color w:val="auto"/>
        </w:rPr>
      </w:pPr>
      <w:r>
        <w:rPr>
          <w:rFonts w:ascii="Times New Roman" w:cs="Times New Roman" w:eastAsia="Times New Roman" w:hAnsi="Times New Roman"/>
          <w:sz w:val="18"/>
          <w:szCs w:val="18"/>
          <w:color w:val="auto"/>
        </w:rPr>
        <w:t>The reduction in force may result in unintended consequences and costs, such as the loss of institutional knowledge and expertise, attrition beyond the intended number of employees, decreased morale among our remaining employees, and the risk that we may not achieve the anticipated benefits of the reduction in force. In addition, while positions have been eliminated, certain functions necessary to our operations remain, and we may be unsuccessful in distributing the duties and obligations of departed employees among our remaining employees. The reduction in workforce could also make it difficult for us to pursue, or prevent us from pursuing, new opportunities and initiatives due to insufficient personnel, or require us to incur additional and unanticipated costs to hire new personnel to pursue such opportunities or initiatives. The workforce reduction could also harm our reputation, making our ability to recruit skilled personnel</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606415"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1" w:name="page72"/>
    <w:bookmarkEnd w:id="7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399"/>
        <w:spacing w:after="0" w:line="266" w:lineRule="auto"/>
        <w:rPr>
          <w:sz w:val="20"/>
          <w:szCs w:val="20"/>
          <w:color w:val="auto"/>
        </w:rPr>
      </w:pPr>
      <w:r>
        <w:rPr>
          <w:rFonts w:ascii="Times New Roman" w:cs="Times New Roman" w:eastAsia="Times New Roman" w:hAnsi="Times New Roman"/>
          <w:sz w:val="18"/>
          <w:szCs w:val="18"/>
          <w:color w:val="auto"/>
        </w:rPr>
        <w:t>difficult. If we are unable to realize the anticipated benefits from the reduction in force, or if we experience significant adverse consequences from the reduction in force, our business, financial condition, and results of operations may be materially adversely affected.</w:t>
      </w:r>
    </w:p>
    <w:p>
      <w:pPr>
        <w:spacing w:after="0" w:line="176" w:lineRule="exact"/>
        <w:rPr>
          <w:sz w:val="20"/>
          <w:szCs w:val="20"/>
          <w:color w:val="auto"/>
        </w:rPr>
      </w:pPr>
    </w:p>
    <w:p>
      <w:pPr>
        <w:ind w:left="60" w:right="139" w:firstLine="324"/>
        <w:spacing w:after="0" w:line="224" w:lineRule="auto"/>
        <w:rPr>
          <w:sz w:val="20"/>
          <w:szCs w:val="20"/>
          <w:color w:val="auto"/>
        </w:rPr>
      </w:pPr>
      <w:r>
        <w:rPr>
          <w:rFonts w:ascii="Times New Roman" w:cs="Times New Roman" w:eastAsia="Times New Roman" w:hAnsi="Times New Roman"/>
          <w:sz w:val="18"/>
          <w:szCs w:val="18"/>
          <w:color w:val="auto"/>
        </w:rPr>
        <w:t>In addition, we may not realize the benefits of or there may be unanticipated costs associated with our Reprioritization. As a result of the Reprioritization, including our strategic refocus, we may not generate material revenues from IGALMI</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in the near term because our commercial force will be significantly reduced. If we are unable to commercialize IGALMI</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in a different setting or unable to develop, receive marketing approval for and successfully commercialize BXCL501, BXCL701 and any of our other product candidates on our own or with any future collaborator, or experience delays because of any of these factors or otherwise, our business could be materially and substantially harmed.</w:t>
      </w:r>
    </w:p>
    <w:p>
      <w:pPr>
        <w:spacing w:after="0" w:line="204" w:lineRule="exact"/>
        <w:rPr>
          <w:sz w:val="20"/>
          <w:szCs w:val="20"/>
          <w:color w:val="auto"/>
        </w:rPr>
      </w:pPr>
    </w:p>
    <w:p>
      <w:pPr>
        <w:ind w:left="60" w:right="179" w:firstLine="324"/>
        <w:spacing w:after="0" w:line="253" w:lineRule="auto"/>
        <w:rPr>
          <w:sz w:val="20"/>
          <w:szCs w:val="20"/>
          <w:color w:val="auto"/>
        </w:rPr>
      </w:pPr>
      <w:r>
        <w:rPr>
          <w:rFonts w:ascii="Times New Roman" w:cs="Times New Roman" w:eastAsia="Times New Roman" w:hAnsi="Times New Roman"/>
          <w:sz w:val="18"/>
          <w:szCs w:val="18"/>
          <w:color w:val="auto"/>
        </w:rPr>
        <w:t>In addition, because we have limited financial and managerial resources, under our Reprioritization, we intend to focus on specific product candidates, indications and development programs. We may also conduct several clinical trials for our product candidates in parallel over the next several years, which may make our decision as to which product candidates to focus on more difficult. As a result, we may forgo or delay pursuit of opportunities with other product candidates or other indications that could have had greater commercial potential or likelihood of success. Our resource allocation decisions may cause us to fail to capitalize on viable commercial products or profitable market opportunities. Our spending on current and future research and development programs and product candidates for specific indications may not yield any commercially viable products. If we do not accurately evaluate the commercial potential or target market for a particular product candidate, we may relinquish valuable rights to that product candidate through future collaborations, licenses and other similar arrangements in cases in which it would have been more advantageous for us to retain sole development and commercialization rights to such product candidate. If we are not successful in increasing our efficiency as a result of this Reprioritization, our efforts to develop and commercialize our product candidates may be delayed or halted and our business could be materially adversely impacted.</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Risks Related to the Discovery and Development of Product Candidates</w:t>
      </w:r>
    </w:p>
    <w:p>
      <w:pPr>
        <w:spacing w:after="0" w:line="1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We have limited experience in drug discovery and drug development.</w:t>
      </w:r>
    </w:p>
    <w:p>
      <w:pPr>
        <w:spacing w:after="0" w:line="189" w:lineRule="exact"/>
        <w:rPr>
          <w:sz w:val="20"/>
          <w:szCs w:val="20"/>
          <w:color w:val="auto"/>
        </w:rPr>
      </w:pPr>
    </w:p>
    <w:p>
      <w:pPr>
        <w:ind w:left="60" w:right="179" w:firstLine="324"/>
        <w:spacing w:after="0" w:line="255" w:lineRule="auto"/>
        <w:rPr>
          <w:sz w:val="20"/>
          <w:szCs w:val="20"/>
          <w:color w:val="auto"/>
        </w:rPr>
      </w:pPr>
      <w:r>
        <w:rPr>
          <w:rFonts w:ascii="Times New Roman" w:cs="Times New Roman" w:eastAsia="Times New Roman" w:hAnsi="Times New Roman"/>
          <w:sz w:val="18"/>
          <w:szCs w:val="18"/>
          <w:color w:val="auto"/>
        </w:rPr>
        <w:t>Prior to the acquisition of our product and product candidates, we were not involved in and had no control over their preclinical and clinical development. In addition, we are relying upon the parties we acquired our product candidates from to have conducted research and development in accordance with the applicable protocol, legal, regulatory and scientific standards, accurately reported the results of all clinical trials conducted prior to our acquisition of the applicable product candidate, and correctly collected and interpreted the data from these studies and trials. To the extent any of these activities did not occur, our expected development time and costs could increase, which could adversely affect our prospects for marketing approval of, and receiving any future revenue from, these product candidates.</w:t>
      </w:r>
    </w:p>
    <w:p>
      <w:pPr>
        <w:spacing w:after="0" w:line="144" w:lineRule="exact"/>
        <w:rPr>
          <w:sz w:val="20"/>
          <w:szCs w:val="20"/>
          <w:color w:val="auto"/>
        </w:rPr>
      </w:pPr>
    </w:p>
    <w:p>
      <w:pPr>
        <w:ind w:left="60" w:right="13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Developments relating to our TRANQUILITY II Phase 3 trial may impact the timing of our development plans for, and prospects for seeking or obtaining regulatory approval of, BXCL501 for the acute treatment of agitation (non-daily) associated with dementia in patients with probable Alzheimer’s disease.</w:t>
      </w:r>
    </w:p>
    <w:p>
      <w:pPr>
        <w:spacing w:after="0" w:line="148" w:lineRule="exact"/>
        <w:rPr>
          <w:sz w:val="20"/>
          <w:szCs w:val="20"/>
          <w:color w:val="auto"/>
        </w:rPr>
      </w:pPr>
    </w:p>
    <w:p>
      <w:pPr>
        <w:ind w:left="60" w:right="159" w:firstLine="324"/>
        <w:spacing w:after="0" w:line="253" w:lineRule="auto"/>
        <w:rPr>
          <w:sz w:val="20"/>
          <w:szCs w:val="20"/>
          <w:color w:val="auto"/>
        </w:rPr>
      </w:pPr>
      <w:r>
        <w:rPr>
          <w:rFonts w:ascii="Times New Roman" w:cs="Times New Roman" w:eastAsia="Times New Roman" w:hAnsi="Times New Roman"/>
          <w:sz w:val="18"/>
          <w:szCs w:val="18"/>
          <w:color w:val="auto"/>
        </w:rPr>
        <w:t>Following our discovery of principal investigator misconduct at one of the clinical sites in our TRANQUILITY II Phase 3 clinical trial, we initiated an investigation into the issues associated with the trial. This principal investigator had previously been subject to a December 2022 FDA inspection of her clinical site in connection with the TRANQUILITY II clinical trial. At the conclusion of this inspection, the FDA issued an FDA Form-483 identifying three inspectional observations. These observations related to the principal investigator’s failure to adhere to the informed consent form approved by the Institutional Review Board for a limited number of subjects whose records the FDA reviewed, maintain adequate case histories for certain patients whose records the FDA reviewed, and adhere to the investigational plan in certain instances. For example, the FDA cited the principal investigator’s delay in informing the sponsor’s medical monitor or pharmacovigilance safety vendor of an SAE, for one of the subjects, which report was made to our vendor outside of the 24 hour time period prescribed by the clinical trial protocol. The principal investigator for this clinical site responded to the FDA observations within the time period requested. The FDA</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606415"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2" w:name="page73"/>
    <w:bookmarkEnd w:id="7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339"/>
        <w:spacing w:after="0" w:line="312" w:lineRule="auto"/>
        <w:rPr>
          <w:sz w:val="20"/>
          <w:szCs w:val="20"/>
          <w:color w:val="auto"/>
        </w:rPr>
      </w:pPr>
      <w:r>
        <w:rPr>
          <w:rFonts w:ascii="Times New Roman" w:cs="Times New Roman" w:eastAsia="Times New Roman" w:hAnsi="Times New Roman"/>
          <w:sz w:val="17"/>
          <w:szCs w:val="17"/>
          <w:color w:val="auto"/>
        </w:rPr>
        <w:t>concluded that the inspection of a single site in its TRANQUILITY II Phase 3 trial is closed under 21 C.F.R.20.64(d)(3) and released the Establishment Inspection Report. The FDA has designated “Voluntary Action Indicated” for the site.</w:t>
      </w:r>
    </w:p>
    <w:p>
      <w:pPr>
        <w:spacing w:after="0" w:line="113" w:lineRule="exact"/>
        <w:rPr>
          <w:sz w:val="20"/>
          <w:szCs w:val="20"/>
          <w:color w:val="auto"/>
        </w:rPr>
      </w:pPr>
    </w:p>
    <w:p>
      <w:pPr>
        <w:ind w:left="60" w:right="179" w:firstLine="324"/>
        <w:spacing w:after="0" w:line="254" w:lineRule="auto"/>
        <w:rPr>
          <w:sz w:val="20"/>
          <w:szCs w:val="20"/>
          <w:color w:val="auto"/>
        </w:rPr>
      </w:pPr>
      <w:r>
        <w:rPr>
          <w:rFonts w:ascii="Times New Roman" w:cs="Times New Roman" w:eastAsia="Times New Roman" w:hAnsi="Times New Roman"/>
          <w:sz w:val="18"/>
          <w:szCs w:val="18"/>
          <w:color w:val="auto"/>
        </w:rPr>
        <w:t>In May 2023, it came to our attention that this same principal investigator in the TRANQUILITY II clinical trial may have fabricated email correspondence around the time of the FDA inspection, purporting to demonstrate that the investigator timely submitted to our pharmacovigilance safety vendor a report of an SAE from a different subject than the one cited in the FDA Form-483, and purporting to show that the vendor had confirmed receipt. Upon receipt of this information, we promptly initiated an investigation and received confirmation that the principal investigator fabricated the email correspondence related to the timing of the reporting of this SAE to our pharmacovigilance vendor to make it appear as though this SAE had been timely reported as required by the clinical trial protocol. This principal investigator has not participated in any other clinical trial sponsored or conducted by us. Both we and the principal investigator’s employer have reported this incident to the FDA.</w:t>
      </w:r>
    </w:p>
    <w:p>
      <w:pPr>
        <w:spacing w:after="0" w:line="148" w:lineRule="exact"/>
        <w:rPr>
          <w:sz w:val="20"/>
          <w:szCs w:val="20"/>
          <w:color w:val="auto"/>
        </w:rPr>
      </w:pPr>
    </w:p>
    <w:p>
      <w:pPr>
        <w:jc w:val="both"/>
        <w:ind w:left="60" w:right="239" w:firstLine="324"/>
        <w:spacing w:after="0" w:line="261" w:lineRule="auto"/>
        <w:rPr>
          <w:sz w:val="20"/>
          <w:szCs w:val="20"/>
          <w:color w:val="auto"/>
        </w:rPr>
      </w:pPr>
      <w:r>
        <w:rPr>
          <w:rFonts w:ascii="Times New Roman" w:cs="Times New Roman" w:eastAsia="Times New Roman" w:hAnsi="Times New Roman"/>
          <w:sz w:val="18"/>
          <w:szCs w:val="18"/>
          <w:color w:val="auto"/>
        </w:rPr>
        <w:t>Since that time, we have taken steps to further investigate and evaluate the conduct of the TRANQUILITY II trial at this clinical site. Based on these steps to date, we believe that there have been no further instances of misconduct or fraud or other findings that adversely impact the data integrity or reliability of the eligibility, safety, and efficacy data obtained at the clinical trial site in question.</w:t>
      </w:r>
    </w:p>
    <w:p>
      <w:pPr>
        <w:spacing w:after="0" w:line="139" w:lineRule="exact"/>
        <w:rPr>
          <w:sz w:val="20"/>
          <w:szCs w:val="20"/>
          <w:color w:val="auto"/>
        </w:rPr>
      </w:pPr>
    </w:p>
    <w:p>
      <w:pPr>
        <w:ind w:left="60" w:right="159" w:firstLine="324"/>
        <w:spacing w:after="0" w:line="246" w:lineRule="auto"/>
        <w:rPr>
          <w:sz w:val="20"/>
          <w:szCs w:val="20"/>
          <w:color w:val="auto"/>
        </w:rPr>
      </w:pPr>
      <w:r>
        <w:rPr>
          <w:rFonts w:ascii="Times New Roman" w:cs="Times New Roman" w:eastAsia="Times New Roman" w:hAnsi="Times New Roman"/>
          <w:sz w:val="18"/>
          <w:szCs w:val="18"/>
          <w:color w:val="auto"/>
        </w:rPr>
        <w:t>The primary efficacy endpoint in TRANQUILITY II was the change in PEC score, which is a measurement of agitation severity captured by trained raters during an agitation episode. While change in PEC score has been used to support the approval of IGALMI</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for the acute treatment of agitation associated with schizophrenia or bipolar I or II disorder in adults, it has not been used as a primary endpoint to support the approval of a drug candidate for the treatment of agitation associated with Alzheimer’s Disease. Prior to initiating our TRANQUILITY II trial, we believe we reached alignment with FDA regarding the use of PEC scores as a primary endpoint to assess individual agitation episodes in dementia patients. In the normal course, we have been in communication with the FDA regarding the data and information needed to further support the consistency of the measurement of PEC ratings, and we believe that we have generated sufficient data to demonstrate such consistency. Following submission of certain data on PEC score from a separate study of raters assessing video vignettes, the FDA expressed certain concerns with respect to the reliability of PEC scores in that study. The FDA has requested that we provide additional information to support the consistency of the measurement of PEC ratings to assess the treatment of agitation associated with Alzheimer’s Disease. While we believe that we have generated sufficient data to demonstrate such consistency, and we plan to submit these data and analyses to the FDA, if the FDA disagrees, it may require that we provide more information to demonstrate reliability in the measurement of PEC scores and/or may require that we generate additional data to support the reliability of PEC score measurements in our TRANQUILITY II trial. There can be no assurances that any information or data we provide to FDA will sufficiently demonstrate the consistency and reliability of the PEC-score data from our TRANQUILITY II trial, or that our PEC-score data will not represent a potential review issue in connection with any application we may submit to FDA.</w:t>
      </w:r>
    </w:p>
    <w:p>
      <w:pPr>
        <w:spacing w:after="0" w:line="168" w:lineRule="exact"/>
        <w:rPr>
          <w:sz w:val="20"/>
          <w:szCs w:val="20"/>
          <w:color w:val="auto"/>
        </w:rPr>
      </w:pPr>
    </w:p>
    <w:p>
      <w:pPr>
        <w:ind w:left="60" w:right="159" w:firstLine="324"/>
        <w:spacing w:after="0" w:line="252" w:lineRule="auto"/>
        <w:rPr>
          <w:sz w:val="20"/>
          <w:szCs w:val="20"/>
          <w:color w:val="auto"/>
        </w:rPr>
      </w:pPr>
      <w:r>
        <w:rPr>
          <w:rFonts w:ascii="Times New Roman" w:cs="Times New Roman" w:eastAsia="Times New Roman" w:hAnsi="Times New Roman"/>
          <w:sz w:val="18"/>
          <w:szCs w:val="18"/>
          <w:color w:val="auto"/>
        </w:rPr>
        <w:t>In addition, we are continuing to seek feedback from the FDA with respect to our TRANQUILITY program. For example, on February 20, 2024, we held a Type B/Breakthrough Therapy designation meeting with the FDA. The original purpose of this meeting was to obtain feedback on the design of a proposed at-home study that did not include caregiver-collected efficacy endpoints, based on our belief that obtaining caregiver assessments of efficacy would be challenging. We believe there are no validated caregiver endpoints for assessing efficacy in Alzheimer’s disease patients in the at-home setting. As a result, we focused on requesting feedback from the FDA regarding our proposal for an at-home clinical study with safety as the primary objective, and to better understand what additional data would be required to submit an sNDA to support labeling for BXCL501 to include the acute treatment of agitation associated with dementia in probable Alzheimer’s disease or, in the alternative, in this population in the care setting only. In its preliminary responses, the FDA reiterated its prior comments that we generate additional efficacy data, including repeat-dose efficacy data, to support an sNDA submission, as the FDA indicated that our proposed efficacy database, which currently includes the 70 patients who have been treated with 60 mcg of BXCL501 in TRANQUILITY I and TRANQUILITY II, would not contain substantial evidence of effectiveness absent additional data. The FDA advised that we generate the necessary efficacy data in care facilities prior to conducting any trials in the at-home setting. In addition, the FDA indicated the need to generate long-term safety data to support an sNDA submission, including from probable Alzheimer’s disease patients exposed to BXCL501, for up to one year. We have received the final meeting minutes from the FDA, which we believe are consistent with the FDA’s preliminary responses and the subsequent</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606415"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3" w:name="page74"/>
    <w:bookmarkEnd w:id="7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19"/>
        <w:spacing w:after="0" w:line="252" w:lineRule="auto"/>
        <w:rPr>
          <w:sz w:val="20"/>
          <w:szCs w:val="20"/>
          <w:color w:val="auto"/>
        </w:rPr>
      </w:pPr>
      <w:r>
        <w:rPr>
          <w:rFonts w:ascii="Times New Roman" w:cs="Times New Roman" w:eastAsia="Times New Roman" w:hAnsi="Times New Roman"/>
          <w:sz w:val="18"/>
          <w:szCs w:val="18"/>
          <w:color w:val="auto"/>
        </w:rPr>
        <w:t>meeting discussion. Based on the FDA’s feedback, we are currently planning to generate additional Phase 3 efficacy and safety data, in a variety of relevant care-facility settings and across severity of dementia, including through, among other things, conducting our planned TRANQULITY In-Care Phase 3 trial. In addition, we plan to discuss the details of the requirement for long-term safety data at a future meeting with the FDA. Also, although we announced in November 2023 that we were planning to conduct a Phase 3 trial in the at-home setting, with safety as the primary objective (TRANQUILITY At Home), given the priority to expand the database to generate additional efficacy and safety data in care facilities, we are re-evaluating the timing for initiating TRANQUILITY At Home. Conducting any new clinical trial can take significant time, funding and resources, and there are no assurances we could raise sufficient capital or have the liquidity and resources to conduct further clinical trials in our TRANQUILITY program, including our planned TRANQUILITY In-Care Trial. Any new clinical trials conducted in our target patient populations may have different safety or efficacy results from the topline data the Company previously announced for the TRANQUILITY II clinical trial. Further, any government investigation, disqualification, or debarment of, or proceeding or action against the principal investigator, or any government investigation, proceeding or action against us, could further delay development and approval of BXCL501 for this indication, and otherwise have a material adverse effect on us, our financial condition (including triggering a potential event of default under our Credit Agreement), results of operations and prospects.</w:t>
      </w:r>
    </w:p>
    <w:p>
      <w:pPr>
        <w:spacing w:after="0" w:line="165" w:lineRule="exact"/>
        <w:rPr>
          <w:sz w:val="20"/>
          <w:szCs w:val="20"/>
          <w:color w:val="auto"/>
        </w:rPr>
      </w:pPr>
    </w:p>
    <w:p>
      <w:pPr>
        <w:ind w:left="60" w:right="3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limited clinical data supporting potential safety or efficacy of BXCL501 for use in the at-home setting in the acute treatment of agitation in patients with dementia due to probable Alzheimer’s disease.</w:t>
      </w:r>
    </w:p>
    <w:p>
      <w:pPr>
        <w:spacing w:after="0" w:line="118" w:lineRule="exact"/>
        <w:rPr>
          <w:sz w:val="20"/>
          <w:szCs w:val="20"/>
          <w:color w:val="auto"/>
        </w:rPr>
      </w:pPr>
    </w:p>
    <w:p>
      <w:pPr>
        <w:ind w:left="60" w:right="139" w:firstLine="324"/>
        <w:spacing w:after="0" w:line="254" w:lineRule="auto"/>
        <w:rPr>
          <w:sz w:val="20"/>
          <w:szCs w:val="20"/>
          <w:color w:val="auto"/>
        </w:rPr>
      </w:pPr>
      <w:r>
        <w:rPr>
          <w:rFonts w:ascii="Times New Roman" w:cs="Times New Roman" w:eastAsia="Times New Roman" w:hAnsi="Times New Roman"/>
          <w:sz w:val="18"/>
          <w:szCs w:val="18"/>
          <w:color w:val="auto"/>
        </w:rPr>
        <w:t>In August 2023, we announced our intention to pursue the Reprioritization, including among other things, a shift in focus to primarily develop BXCL501 for use in expanded settings, including the at-home setting and care facilities, for the acute treatment of agitation in patients with dementia due to probable Alzheimer’s disease and the acute treatment of agitation in schizophrenia and bipolar patients in the at-home setting. Although we have conducted several clinical trials that evaluated BXCL501 in the institutional setting, and we are conducting the SERENITY At-Home Phase 3 trial evaluating the safety of BXCL501 for the acute treatment of agitation associated with bipolar disorders or schizophrenia in the at-home setting, but we have not conducted a clinical trial evaluating the at-home use of BXCL501 in the acute treatment of agitation in patients with dementia due to probable Alzheimer’s disease.</w:t>
      </w:r>
    </w:p>
    <w:p>
      <w:pPr>
        <w:spacing w:after="0" w:line="151" w:lineRule="exact"/>
        <w:rPr>
          <w:sz w:val="20"/>
          <w:szCs w:val="20"/>
          <w:color w:val="auto"/>
        </w:rPr>
      </w:pPr>
    </w:p>
    <w:p>
      <w:pPr>
        <w:ind w:left="60" w:right="139" w:firstLine="324"/>
        <w:spacing w:after="0" w:line="254" w:lineRule="auto"/>
        <w:rPr>
          <w:sz w:val="20"/>
          <w:szCs w:val="20"/>
          <w:color w:val="auto"/>
        </w:rPr>
      </w:pPr>
      <w:r>
        <w:rPr>
          <w:rFonts w:ascii="Times New Roman" w:cs="Times New Roman" w:eastAsia="Times New Roman" w:hAnsi="Times New Roman"/>
          <w:sz w:val="18"/>
          <w:szCs w:val="18"/>
          <w:color w:val="auto"/>
        </w:rPr>
        <w:t>Although we will seek additional feedback from the FDA regarding the potential of its ongoing or completed clinical trials to support submission of one or more sNDAs and to support a label for use in the home, it is possible that the FDA may not consider our available data adequate to support such submissions. For example, on October 11, 2023, we received feedback from the FDA that TRANQUILITY I and TRANQUILITY II alone are not sufficient to support an sNDA submission for the use of BXCL501 to treat acute agitation (non-daily) in patients with dementia due to probable Alzheimer’s disease in either the at-home setting or care facilities, and the FDA indicated that we should, among other things, conduct a further clinical trial to evaluate safety and collect efficacy data of BXCL501 before we are able to submit an sNDA seeking approval of BXCL501 for use in such populations.</w:t>
      </w:r>
    </w:p>
    <w:p>
      <w:pPr>
        <w:spacing w:after="0" w:line="165" w:lineRule="exact"/>
        <w:rPr>
          <w:sz w:val="20"/>
          <w:szCs w:val="20"/>
          <w:color w:val="auto"/>
        </w:rPr>
      </w:pPr>
    </w:p>
    <w:p>
      <w:pPr>
        <w:ind w:left="60" w:right="359" w:firstLine="324"/>
        <w:spacing w:after="0" w:line="256" w:lineRule="auto"/>
        <w:rPr>
          <w:sz w:val="20"/>
          <w:szCs w:val="20"/>
          <w:color w:val="auto"/>
        </w:rPr>
      </w:pPr>
      <w:r>
        <w:rPr>
          <w:rFonts w:ascii="Times New Roman" w:cs="Times New Roman" w:eastAsia="Times New Roman" w:hAnsi="Times New Roman"/>
          <w:sz w:val="18"/>
          <w:szCs w:val="18"/>
          <w:color w:val="auto"/>
        </w:rPr>
        <w:t>For a description of recent developments relating to our TRANQUILITY program, please see the prior risk factor, “</w:t>
      </w:r>
      <w:r>
        <w:rPr>
          <w:rFonts w:ascii="Times New Roman" w:cs="Times New Roman" w:eastAsia="Times New Roman" w:hAnsi="Times New Roman"/>
          <w:sz w:val="18"/>
          <w:szCs w:val="18"/>
          <w:i w:val="1"/>
          <w:iCs w:val="1"/>
          <w:color w:val="auto"/>
        </w:rPr>
        <w:t>Developments relating to our TRANQUILITY II Phase 3 trial may impact the timing of our development plans for,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prospects for seeking or obtaining regulatory approval of, BXCL501 for the acute treatment of agitation (non-daily) associated with dementia in patients with probable Alzheimer’s disease.</w:t>
      </w:r>
      <w:r>
        <w:rPr>
          <w:rFonts w:ascii="Times New Roman" w:cs="Times New Roman" w:eastAsia="Times New Roman" w:hAnsi="Times New Roman"/>
          <w:sz w:val="18"/>
          <w:szCs w:val="18"/>
          <w:color w:val="auto"/>
        </w:rPr>
        <w:t>” We cannot provide assurance that we will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able to seek or obtain approval of BXCL501 for treatment of agitation in patients with dementia due to probable Alzheimer’s disease in the at-home setting based on this updated development plan.</w:t>
      </w:r>
    </w:p>
    <w:p>
      <w:pPr>
        <w:spacing w:after="0" w:line="147" w:lineRule="exact"/>
        <w:rPr>
          <w:sz w:val="20"/>
          <w:szCs w:val="20"/>
          <w:color w:val="auto"/>
        </w:rPr>
      </w:pPr>
    </w:p>
    <w:p>
      <w:pPr>
        <w:ind w:left="60" w:right="139" w:firstLine="324"/>
        <w:spacing w:after="0" w:line="253" w:lineRule="auto"/>
        <w:rPr>
          <w:sz w:val="20"/>
          <w:szCs w:val="20"/>
          <w:color w:val="auto"/>
        </w:rPr>
      </w:pPr>
      <w:r>
        <w:rPr>
          <w:rFonts w:ascii="Times New Roman" w:cs="Times New Roman" w:eastAsia="Times New Roman" w:hAnsi="Times New Roman"/>
          <w:sz w:val="18"/>
          <w:szCs w:val="18"/>
          <w:color w:val="auto"/>
        </w:rPr>
        <w:t>Although we continue to seek feedback from the FDA with respect to our TRANQUILITY program, the FDA may not agree that any trial designs we propose are sufficient to establish both the safety and efficacy of BXCL501 for the acute treatment of agitation associated with dementia due to probable Alzheimer’s disease in either a care setting or an at-home setting. For example, to assess safety, the FDA has indicated that we need to expose more patients to BXCL501 for a longer period of time and that an efficacy trial of a shorter duration, combined with the patients in its previous trials, would not support submissions of an sNDA. Further, to assess efficacy in the home setting, the FDA may determine that we cannot rely on our previous studies of BXCL501 for this proposed indication since those studies were conducted in assisted living facilities and they are not comparable to the at-home setting. The FDA may also require us to seek approval for BXCL501 for use in care facilities prior to seeking any approval for at-home use in the targeted AD patient population. In particular, we are planning to generate additional Phase 3 safety and efficacy data in</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1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254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606415"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4" w:name="page75"/>
    <w:bookmarkEnd w:id="7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19"/>
        <w:spacing w:after="0" w:line="252" w:lineRule="auto"/>
        <w:rPr>
          <w:sz w:val="20"/>
          <w:szCs w:val="20"/>
          <w:color w:val="auto"/>
        </w:rPr>
      </w:pPr>
      <w:r>
        <w:rPr>
          <w:rFonts w:ascii="Times New Roman" w:cs="Times New Roman" w:eastAsia="Times New Roman" w:hAnsi="Times New Roman"/>
          <w:sz w:val="18"/>
          <w:szCs w:val="18"/>
          <w:color w:val="auto"/>
        </w:rPr>
        <w:t xml:space="preserve">a variety of relevant care-facility settings, but even if our planned clinical efforts are successful and even if we are able to obtain approval of BXCL501 for use in patients with dementia due to probable Alzheimer's disease, we cannot provide assurance that we will be able to seek or obtain approval of BXCL501 for the treatment of agitation in patients with dementia due to probable Alzheimer’s disease in the at-home setting based on this data and we will be required to generate additional data to evaluate the at-home use of BXCL501 in our targeted Alzheimer's dementia population before we are able to seek approval for such at-home use in this population, if ever. In addition, the FDA may determine that we cannot rely on the data from our prior TRANQUILITY II Phase 3 trial to support an sNDA as a result of potential data integrity issues at the trial site, as the FDA may not agree with our belief that data reliability and integrity remain intact. See Part II, Item 1A, “Risk Factors—Risks Related to the Discovery and Development of Product Candidates— </w:t>
      </w:r>
      <w:r>
        <w:rPr>
          <w:rFonts w:ascii="Times New Roman" w:cs="Times New Roman" w:eastAsia="Times New Roman" w:hAnsi="Times New Roman"/>
          <w:sz w:val="18"/>
          <w:szCs w:val="18"/>
          <w:i w:val="1"/>
          <w:iCs w:val="1"/>
          <w:color w:val="auto"/>
        </w:rPr>
        <w:t>Developments relating to its TRANQUILITY II Phase 3 trial may impact the timing of its development plans for, and prospects for seeking or obtaining regulatory approval of, BXCL501 for the acute treatment of agitation (non-daily) associated with dementia in patients with probable Alzheimer’s disease</w:t>
      </w:r>
      <w:r>
        <w:rPr>
          <w:rFonts w:ascii="Times New Roman" w:cs="Times New Roman" w:eastAsia="Times New Roman" w:hAnsi="Times New Roman"/>
          <w:sz w:val="18"/>
          <w:szCs w:val="18"/>
          <w:color w:val="auto"/>
        </w:rPr>
        <w:t>” for additional information. If the FDA does not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accept the data from our prior TRANQUILITY II Phase 3 trial, we could be required to conduct additional clinical trials beyond those we currently contemplate, which would increase our costs and delay potential submission of an sNDA for BXCL501 which in turn would adversely affect our financial position and operations.</w:t>
      </w:r>
    </w:p>
    <w:p>
      <w:pPr>
        <w:spacing w:after="0" w:line="169" w:lineRule="exact"/>
        <w:rPr>
          <w:sz w:val="20"/>
          <w:szCs w:val="20"/>
          <w:color w:val="auto"/>
        </w:rPr>
      </w:pPr>
    </w:p>
    <w:p>
      <w:pPr>
        <w:ind w:left="60" w:right="199" w:firstLine="324"/>
        <w:spacing w:after="0" w:line="261" w:lineRule="auto"/>
        <w:rPr>
          <w:sz w:val="20"/>
          <w:szCs w:val="20"/>
          <w:color w:val="auto"/>
        </w:rPr>
      </w:pPr>
      <w:r>
        <w:rPr>
          <w:rFonts w:ascii="Times New Roman" w:cs="Times New Roman" w:eastAsia="Times New Roman" w:hAnsi="Times New Roman"/>
          <w:sz w:val="18"/>
          <w:szCs w:val="18"/>
          <w:color w:val="auto"/>
        </w:rPr>
        <w:t>Accordingly, if the FDA reaches these conclusions or otherwise finds that our proposed clinical studies would not adequately evaluate the safety and efficacy of BXCL501 for the acute treatment of agitation associated with dementia due to probable Alzheimer’s disease in an at-home setting and/or care setting, we may need to evaluate more patients for a longer period of time to demonstrate the safety and efficacy of BXCL501.</w:t>
      </w:r>
    </w:p>
    <w:p>
      <w:pPr>
        <w:spacing w:after="0" w:line="139" w:lineRule="exact"/>
        <w:rPr>
          <w:sz w:val="20"/>
          <w:szCs w:val="20"/>
          <w:color w:val="auto"/>
        </w:rPr>
      </w:pPr>
    </w:p>
    <w:p>
      <w:pPr>
        <w:ind w:left="60" w:right="159" w:firstLine="324"/>
        <w:spacing w:after="0" w:line="222" w:lineRule="auto"/>
        <w:rPr>
          <w:sz w:val="20"/>
          <w:szCs w:val="20"/>
          <w:color w:val="auto"/>
        </w:rPr>
      </w:pPr>
      <w:r>
        <w:rPr>
          <w:rFonts w:ascii="Times New Roman" w:cs="Times New Roman" w:eastAsia="Times New Roman" w:hAnsi="Times New Roman"/>
          <w:sz w:val="18"/>
          <w:szCs w:val="18"/>
          <w:color w:val="auto"/>
        </w:rPr>
        <w:t>With respect to our SERENITY program, we also held a Type C Meeting with the FDA on March 6, 2024 to obtain further feedback on our proposed changes to the design of SERENITY III Part 2, including with respect to the trial endpoints, and to discuss the content and format of a potential sNDA submission to expand the label of IGALMI</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120 micrograms to the acute treatment of agitation associated with schizophrenia and bipolar disorders in the outpatient setting. IGALMI</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is already approved at the 120 mcg dose based on efficacy data that we previously generated in treating a single episode of agitation. Consistent with the data generated to date, the label for IGALMI</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currently includes a limitation on use (“LOU”), noting the lack of efficacy or safety data beyond 24 hours following the first dose. During our March 6, 2024 Type C meeting with the FDA, we discussed, among other things, whether evaluating the at-home use of BXCL501 120 mcg, with safety as the primary objective and efficacy measures as exploratory endpoints, if successful, could support the submission of an sNDA seeking expansion of the current label for IGALMI</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120 mcg to allow at-home use and labeling without the current LOU. Based on current FDA feedback, we have amended the Part 2 of the SERENITY III protocol to evaluate the safety and efficacy of the 120 mg dose in the at-home setting, and now refer to this revised trial as the SERENITY At-Home trial. We believe that our ability to seek labeling without the current LOU will depend, in part, on the number of agitation episodes we observe during our planned study period. Even if our planned SERENITY At-home trial is successful in demonstrating safety in the at-home setting, and even if the IGALMI</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120 mcg label is expanded to allow outpatient use, there is no guarantee that we will observe and/or treat a sufficient number of agitation episodes during the study period to support removal of the current LOU.</w:t>
      </w:r>
    </w:p>
    <w:p>
      <w:pPr>
        <w:spacing w:after="0" w:line="167" w:lineRule="exact"/>
        <w:rPr>
          <w:sz w:val="20"/>
          <w:szCs w:val="20"/>
          <w:color w:val="auto"/>
        </w:rPr>
      </w:pPr>
    </w:p>
    <w:p>
      <w:pPr>
        <w:ind w:left="60" w:right="279" w:firstLine="324"/>
        <w:spacing w:after="0" w:line="256" w:lineRule="auto"/>
        <w:rPr>
          <w:sz w:val="20"/>
          <w:szCs w:val="20"/>
          <w:color w:val="auto"/>
        </w:rPr>
      </w:pPr>
      <w:r>
        <w:rPr>
          <w:rFonts w:ascii="Times New Roman" w:cs="Times New Roman" w:eastAsia="Times New Roman" w:hAnsi="Times New Roman"/>
          <w:sz w:val="18"/>
          <w:szCs w:val="18"/>
          <w:color w:val="auto"/>
        </w:rPr>
        <w:t>Any modifications to our proposed trial designs, whether by us or by the FDA would delay our initiation of such proposed trials, increase the costs of any trial that we do conduct and delay any potential submission of an sNDAs for BXCL501. Requirements to conduct additional clinical trials evaluating BXCL501 in support of our planned sNDAs seeking approvals for BXCL501 for our targeted patient populations in at-home settings would increase our costs, and in either case, such modifications or requirements could have a material adverse effect on our prospects and results of operations.</w:t>
      </w:r>
    </w:p>
    <w:p>
      <w:pPr>
        <w:spacing w:after="0" w:line="148" w:lineRule="exact"/>
        <w:rPr>
          <w:sz w:val="20"/>
          <w:szCs w:val="20"/>
          <w:color w:val="auto"/>
        </w:rPr>
      </w:pPr>
    </w:p>
    <w:p>
      <w:pPr>
        <w:ind w:left="60" w:right="139"/>
        <w:spacing w:after="0" w:line="218" w:lineRule="auto"/>
        <w:rPr>
          <w:sz w:val="20"/>
          <w:szCs w:val="20"/>
          <w:color w:val="auto"/>
        </w:rPr>
      </w:pPr>
      <w:r>
        <w:rPr>
          <w:rFonts w:ascii="Times New Roman" w:cs="Times New Roman" w:eastAsia="Times New Roman" w:hAnsi="Times New Roman"/>
          <w:sz w:val="18"/>
          <w:szCs w:val="18"/>
          <w:b w:val="1"/>
          <w:bCs w:val="1"/>
          <w:i w:val="1"/>
          <w:iCs w:val="1"/>
          <w:color w:val="auto"/>
        </w:rPr>
        <w:t>In the near term, we are dependent on the success of IGALMI</w:t>
      </w:r>
      <w:r>
        <w:rPr>
          <w:rFonts w:ascii="Times New Roman" w:cs="Times New Roman" w:eastAsia="Times New Roman" w:hAnsi="Times New Roman"/>
          <w:sz w:val="26"/>
          <w:szCs w:val="26"/>
          <w:b w:val="1"/>
          <w:bCs w:val="1"/>
          <w:i w:val="1"/>
          <w:iCs w:val="1"/>
          <w:color w:val="auto"/>
          <w:vertAlign w:val="superscript"/>
        </w:rPr>
        <w:t>®</w:t>
      </w:r>
      <w:r>
        <w:rPr>
          <w:rFonts w:ascii="Times New Roman" w:cs="Times New Roman" w:eastAsia="Times New Roman" w:hAnsi="Times New Roman"/>
          <w:sz w:val="18"/>
          <w:szCs w:val="18"/>
          <w:b w:val="1"/>
          <w:bCs w:val="1"/>
          <w:i w:val="1"/>
          <w:iCs w:val="1"/>
          <w:color w:val="auto"/>
        </w:rPr>
        <w:t>, and the development of four of our product candidates, BXCL501, BXCL502, BXCL701 and BXCL702. If we are unable to complete the clinical development of or obtain marketing approval for our product candidates or successfully commercialize IGALMI</w:t>
      </w:r>
      <w:r>
        <w:rPr>
          <w:rFonts w:ascii="Times New Roman" w:cs="Times New Roman" w:eastAsia="Times New Roman" w:hAnsi="Times New Roman"/>
          <w:sz w:val="26"/>
          <w:szCs w:val="26"/>
          <w:b w:val="1"/>
          <w:bCs w:val="1"/>
          <w:i w:val="1"/>
          <w:iCs w:val="1"/>
          <w:color w:val="auto"/>
          <w:vertAlign w:val="superscript"/>
        </w:rPr>
        <w:t>®</w:t>
      </w:r>
      <w:r>
        <w:rPr>
          <w:rFonts w:ascii="Times New Roman" w:cs="Times New Roman" w:eastAsia="Times New Roman" w:hAnsi="Times New Roman"/>
          <w:sz w:val="18"/>
          <w:szCs w:val="18"/>
          <w:b w:val="1"/>
          <w:bCs w:val="1"/>
          <w:i w:val="1"/>
          <w:iCs w:val="1"/>
          <w:color w:val="auto"/>
        </w:rPr>
        <w:t xml:space="preserve"> and our other product candidates, either alone or with a collaborator, or if we experience significant delays in doing so, our business could be substantially harmed.</w:t>
      </w:r>
    </w:p>
    <w:p>
      <w:pPr>
        <w:spacing w:after="0" w:line="160" w:lineRule="exact"/>
        <w:rPr>
          <w:sz w:val="20"/>
          <w:szCs w:val="20"/>
          <w:color w:val="auto"/>
        </w:rPr>
      </w:pPr>
    </w:p>
    <w:p>
      <w:pPr>
        <w:ind w:left="60" w:right="479" w:firstLine="324"/>
        <w:spacing w:after="0" w:line="312" w:lineRule="auto"/>
        <w:rPr>
          <w:sz w:val="20"/>
          <w:szCs w:val="20"/>
          <w:color w:val="auto"/>
        </w:rPr>
      </w:pPr>
      <w:r>
        <w:rPr>
          <w:rFonts w:ascii="Times New Roman" w:cs="Times New Roman" w:eastAsia="Times New Roman" w:hAnsi="Times New Roman"/>
          <w:sz w:val="17"/>
          <w:szCs w:val="17"/>
          <w:color w:val="auto"/>
        </w:rPr>
        <w:t>We currently have only one product that has received regulatory approval and may never be able to develop additional marketable product candidates. We are continuing to invest a significant portion of our efforts and financial</w:t>
      </w:r>
    </w:p>
    <w:p>
      <w:pPr>
        <w:sectPr>
          <w:pgSz w:w="11900" w:h="16838" w:orient="portrait"/>
          <w:cols w:equalWidth="0" w:num="1">
            <w:col w:w="9019"/>
          </w:cols>
          <w:pgMar w:left="1440" w:top="513" w:right="1440" w:bottom="1440" w:gutter="0" w:footer="0" w:header="0"/>
        </w:sectPr>
      </w:pPr>
    </w:p>
    <w:p>
      <w:pPr>
        <w:spacing w:after="0" w:line="35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260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606415"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5" w:name="page76"/>
    <w:bookmarkEnd w:id="7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60" w:right="199"/>
        <w:spacing w:after="0" w:line="217" w:lineRule="auto"/>
        <w:rPr>
          <w:sz w:val="20"/>
          <w:szCs w:val="20"/>
          <w:color w:val="auto"/>
        </w:rPr>
      </w:pPr>
      <w:r>
        <w:rPr>
          <w:rFonts w:ascii="Times New Roman" w:cs="Times New Roman" w:eastAsia="Times New Roman" w:hAnsi="Times New Roman"/>
          <w:sz w:val="18"/>
          <w:szCs w:val="18"/>
          <w:color w:val="auto"/>
        </w:rPr>
        <w:t>resources in the commercialization of IGALMI</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and development of our four product candidates, BXCL501, BXCL502, BXCL701 and BXCL702, as well as other product candidates. In connection with the Reprioritization, we have significantly reduced the resources devoted to commercialization of IGALMI</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and it is possible that will have adverse consequences on the revenue that we are able to generate from IGALMI</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in the near term. As part of the Company’s Reprioritization, the IGALMI</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commercial team shifted focus to a hospital/Integrated Delivery Network (“IDN”) contracting strategy with a Corporate Account Director (CAD) team. The goal of the realigned CAD team is to work with large IDNs and drive sales utilizing a top-down approach. Over time, the revised commercial effort is expected to allow the Company to continue to make inroads into the institutional market in a more cost-efficient manner. However, we have limited experience in drug development and commercialization, and our prospects are substantially dependent on our ability, or that of any future collaborator, to develop, obtain marketing approval for and successfully commercialize product candidates in one or more additional disease indications.</w:t>
      </w:r>
    </w:p>
    <w:p>
      <w:pPr>
        <w:spacing w:after="0" w:line="174" w:lineRule="exact"/>
        <w:rPr>
          <w:sz w:val="20"/>
          <w:szCs w:val="20"/>
          <w:color w:val="auto"/>
        </w:rPr>
      </w:pPr>
    </w:p>
    <w:p>
      <w:pPr>
        <w:ind w:left="60" w:right="199" w:firstLine="324"/>
        <w:spacing w:after="0" w:line="217" w:lineRule="auto"/>
        <w:rPr>
          <w:sz w:val="20"/>
          <w:szCs w:val="20"/>
          <w:color w:val="auto"/>
        </w:rPr>
      </w:pPr>
      <w:r>
        <w:rPr>
          <w:rFonts w:ascii="Times New Roman" w:cs="Times New Roman" w:eastAsia="Times New Roman" w:hAnsi="Times New Roman"/>
          <w:sz w:val="18"/>
          <w:szCs w:val="18"/>
          <w:color w:val="auto"/>
        </w:rPr>
        <w:t>The success of IGALMI</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and of BXCL501, BXCL701, BXCL502 and our other product candidates will depend on several factors, including the following:</w:t>
      </w:r>
    </w:p>
    <w:p>
      <w:pPr>
        <w:spacing w:after="0" w:line="158" w:lineRule="exact"/>
        <w:rPr>
          <w:sz w:val="20"/>
          <w:szCs w:val="20"/>
          <w:color w:val="auto"/>
        </w:rPr>
      </w:pPr>
    </w:p>
    <w:p>
      <w:pPr>
        <w:ind w:left="720" w:right="319" w:hanging="319"/>
        <w:spacing w:after="0" w:line="266" w:lineRule="auto"/>
        <w:tabs>
          <w:tab w:leader="none" w:pos="7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acceptance of an investigational new drug application (“IND”) by the FDA or acceptance of comparable applications by foreign regulatory authorities allowing us to conduct clinical trials of our product candidates in the U.S. or in foreign jurisdictions;</w:t>
      </w:r>
    </w:p>
    <w:p>
      <w:pPr>
        <w:spacing w:after="0" w:line="135" w:lineRule="exact"/>
        <w:rPr>
          <w:rFonts w:ascii="Times New Roman" w:cs="Times New Roman" w:eastAsia="Times New Roman" w:hAnsi="Times New Roman"/>
          <w:sz w:val="18"/>
          <w:szCs w:val="18"/>
          <w:color w:val="auto"/>
        </w:rPr>
      </w:pPr>
    </w:p>
    <w:p>
      <w:pPr>
        <w:ind w:left="720" w:right="259" w:hanging="319"/>
        <w:spacing w:after="0" w:line="261" w:lineRule="auto"/>
        <w:tabs>
          <w:tab w:leader="none" w:pos="7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initiation, progress, timing, costs and results of clinical trials of our product candidates and potential product candidates, including any delays caused by the developments relating to the TRANQUILITY program, and any additional trials we may need to conduct prior to seeking approvals for BXCL501 in at-home and/or care facilities;</w:t>
      </w:r>
    </w:p>
    <w:p>
      <w:pPr>
        <w:spacing w:after="0" w:line="152" w:lineRule="exact"/>
        <w:rPr>
          <w:rFonts w:ascii="Times New Roman" w:cs="Times New Roman" w:eastAsia="Times New Roman" w:hAnsi="Times New Roman"/>
          <w:sz w:val="18"/>
          <w:szCs w:val="18"/>
          <w:color w:val="auto"/>
        </w:rPr>
      </w:pPr>
    </w:p>
    <w:p>
      <w:pPr>
        <w:ind w:left="720" w:right="179" w:hanging="319"/>
        <w:spacing w:after="0" w:line="282" w:lineRule="auto"/>
        <w:tabs>
          <w:tab w:leader="none" w:pos="7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demonstration of safety and efficacy of our product candidates to the satisfaction of the FDA, or any comparable foreign regulatory authority, and sufficient for marketing approval;</w:t>
      </w:r>
    </w:p>
    <w:p>
      <w:pPr>
        <w:spacing w:after="0" w:line="12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performance of our current and future collaborators;</w:t>
      </w:r>
    </w:p>
    <w:p>
      <w:pPr>
        <w:spacing w:after="0" w:line="184" w:lineRule="exact"/>
        <w:rPr>
          <w:rFonts w:ascii="Times New Roman" w:cs="Times New Roman" w:eastAsia="Times New Roman" w:hAnsi="Times New Roman"/>
          <w:sz w:val="18"/>
          <w:szCs w:val="18"/>
          <w:color w:val="auto"/>
        </w:rPr>
      </w:pPr>
    </w:p>
    <w:p>
      <w:pPr>
        <w:ind w:left="720" w:right="939" w:hanging="319"/>
        <w:spacing w:after="0" w:line="282" w:lineRule="auto"/>
        <w:tabs>
          <w:tab w:leader="none" w:pos="7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nature of any required post-marketing clinical trials or other commitments to applicable regulatory authorities;</w:t>
      </w:r>
    </w:p>
    <w:p>
      <w:pPr>
        <w:spacing w:after="0" w:line="13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establishment of supply arrangements with third-party raw materials suppliers and manufacturers;</w:t>
      </w:r>
    </w:p>
    <w:p>
      <w:pPr>
        <w:spacing w:after="0" w:line="184" w:lineRule="exact"/>
        <w:rPr>
          <w:rFonts w:ascii="Times New Roman" w:cs="Times New Roman" w:eastAsia="Times New Roman" w:hAnsi="Times New Roman"/>
          <w:sz w:val="18"/>
          <w:szCs w:val="18"/>
          <w:color w:val="auto"/>
        </w:rPr>
      </w:pPr>
    </w:p>
    <w:p>
      <w:pPr>
        <w:ind w:left="720" w:right="1079" w:hanging="319"/>
        <w:spacing w:after="0" w:line="282" w:lineRule="auto"/>
        <w:tabs>
          <w:tab w:leader="none" w:pos="7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establishment of arrangements with third-party manufacturers to obtain finished drug product that is appropriately packaged for sale;</w:t>
      </w:r>
    </w:p>
    <w:p>
      <w:pPr>
        <w:spacing w:after="0" w:line="121" w:lineRule="exact"/>
        <w:rPr>
          <w:rFonts w:ascii="Times New Roman" w:cs="Times New Roman" w:eastAsia="Times New Roman" w:hAnsi="Times New Roman"/>
          <w:sz w:val="18"/>
          <w:szCs w:val="18"/>
          <w:color w:val="auto"/>
        </w:rPr>
      </w:pPr>
    </w:p>
    <w:p>
      <w:pPr>
        <w:ind w:left="720" w:right="379" w:hanging="319"/>
        <w:spacing w:after="0" w:line="282" w:lineRule="auto"/>
        <w:tabs>
          <w:tab w:leader="none" w:pos="7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adequate ongoing availability of raw materials and drug product for clinical development and any commercial sales;</w:t>
      </w:r>
    </w:p>
    <w:p>
      <w:pPr>
        <w:spacing w:after="0" w:line="134" w:lineRule="exact"/>
        <w:rPr>
          <w:rFonts w:ascii="Times New Roman" w:cs="Times New Roman" w:eastAsia="Times New Roman" w:hAnsi="Times New Roman"/>
          <w:sz w:val="18"/>
          <w:szCs w:val="18"/>
          <w:color w:val="auto"/>
        </w:rPr>
      </w:pPr>
    </w:p>
    <w:p>
      <w:pPr>
        <w:ind w:left="720" w:right="799" w:hanging="319"/>
        <w:spacing w:after="0" w:line="282" w:lineRule="auto"/>
        <w:tabs>
          <w:tab w:leader="none" w:pos="7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and maintaining patent, trade secret protection and regulatory exclusivity, both in the U.S. and internationally;</w:t>
      </w:r>
    </w:p>
    <w:p>
      <w:pPr>
        <w:spacing w:after="0" w:line="12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protection of our rights in our intellectual property portfolio;</w:t>
      </w:r>
    </w:p>
    <w:p>
      <w:pPr>
        <w:spacing w:after="0" w:line="18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 launch of commercial sales following any marketing approval;</w:t>
      </w:r>
    </w:p>
    <w:p>
      <w:pPr>
        <w:spacing w:after="0" w:line="198"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continued acceptable safety profile following any marketing approval;</w:t>
      </w:r>
    </w:p>
    <w:p>
      <w:pPr>
        <w:spacing w:after="0" w:line="18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commercial acceptance by patients, the medical community and third-party payors; and</w:t>
      </w:r>
    </w:p>
    <w:p>
      <w:pPr>
        <w:spacing w:after="0" w:line="18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compete with other therapies.</w:t>
      </w:r>
    </w:p>
    <w:p>
      <w:pPr>
        <w:spacing w:after="0" w:line="198" w:lineRule="exact"/>
        <w:rPr>
          <w:sz w:val="20"/>
          <w:szCs w:val="20"/>
          <w:color w:val="auto"/>
        </w:rPr>
      </w:pPr>
    </w:p>
    <w:p>
      <w:pPr>
        <w:ind w:left="60" w:right="199" w:firstLine="324"/>
        <w:spacing w:after="0" w:line="282" w:lineRule="auto"/>
        <w:rPr>
          <w:sz w:val="20"/>
          <w:szCs w:val="20"/>
          <w:color w:val="auto"/>
        </w:rPr>
      </w:pPr>
      <w:r>
        <w:rPr>
          <w:rFonts w:ascii="Times New Roman" w:cs="Times New Roman" w:eastAsia="Times New Roman" w:hAnsi="Times New Roman"/>
          <w:sz w:val="18"/>
          <w:szCs w:val="18"/>
          <w:color w:val="auto"/>
        </w:rPr>
        <w:t>Many of these factors are beyond our control, including the results of clinical trials, the time required for the FDA, or any comparable foreign regulatory authorities, to review any regulatory submissions we may make, potential threats</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606415"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6" w:name="page77"/>
    <w:bookmarkEnd w:id="7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59"/>
        <w:spacing w:after="0" w:line="230" w:lineRule="auto"/>
        <w:rPr>
          <w:sz w:val="20"/>
          <w:szCs w:val="20"/>
          <w:color w:val="auto"/>
        </w:rPr>
      </w:pPr>
      <w:r>
        <w:rPr>
          <w:rFonts w:ascii="Times New Roman" w:cs="Times New Roman" w:eastAsia="Times New Roman" w:hAnsi="Times New Roman"/>
          <w:sz w:val="18"/>
          <w:szCs w:val="18"/>
          <w:color w:val="auto"/>
        </w:rPr>
        <w:t>to our intellectual property rights and the manufacturing, marketing and sales efforts of any future collaborator. If we are unable to commercialize IGALMI</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or develop, receive marketing approval for and successfully commercialize BXCL501, BXCL701 and our other product candidates, on our own or with any future collaborator, or experience delays because of any of these factors or otherwise, our business could be substantially harmed.</w:t>
      </w:r>
    </w:p>
    <w:p>
      <w:pPr>
        <w:spacing w:after="0" w:line="167" w:lineRule="exact"/>
        <w:rPr>
          <w:sz w:val="20"/>
          <w:szCs w:val="20"/>
          <w:color w:val="auto"/>
        </w:rPr>
      </w:pPr>
    </w:p>
    <w:p>
      <w:pPr>
        <w:ind w:left="60" w:right="23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Interim “top-line” and preliminary data from our clinical trials, that we announce or publish from time to time, may change as more patient data become available and are subject to audit and verification procedures that could result in material changes in the final data.</w:t>
      </w:r>
    </w:p>
    <w:p>
      <w:pPr>
        <w:spacing w:after="0" w:line="134" w:lineRule="exact"/>
        <w:rPr>
          <w:sz w:val="20"/>
          <w:szCs w:val="20"/>
          <w:color w:val="auto"/>
        </w:rPr>
      </w:pPr>
    </w:p>
    <w:p>
      <w:pPr>
        <w:ind w:left="60" w:right="159" w:firstLine="324"/>
        <w:spacing w:after="0" w:line="253" w:lineRule="auto"/>
        <w:rPr>
          <w:sz w:val="20"/>
          <w:szCs w:val="20"/>
          <w:color w:val="auto"/>
        </w:rPr>
      </w:pPr>
      <w:r>
        <w:rPr>
          <w:rFonts w:ascii="Times New Roman" w:cs="Times New Roman" w:eastAsia="Times New Roman" w:hAnsi="Times New Roman"/>
          <w:sz w:val="18"/>
          <w:szCs w:val="18"/>
          <w:color w:val="auto"/>
        </w:rPr>
        <w:t>From time to time, we may publicly disclose top-line or preliminary data from our clinical trials, which is based on a preliminary analysis of then-available data. The results and related findings and conclusions based on such preliminary data are subject to change, and have in the past changed, following a more comprehensive review of the data related to the particular study or trial. We also make assumptions, estimations, calculations and conclusions as part of our analyses of data, and we may not have received or had the opportunity to fully and carefully evaluate all data. As a result, the top-line or preliminary results that we report may differ from future results of the same studies, or different conclusions or considerations may qualify such results, once additional data have been received and fully evaluated. Top-line or preliminary data also remain subject to audit and verification procedures that may result in the final data being materially different from the top-line or preliminary data we previously published. As a result, top-line and preliminary data should be viewed with caution until the final data are available.</w:t>
      </w:r>
    </w:p>
    <w:p>
      <w:pPr>
        <w:spacing w:after="0" w:line="154" w:lineRule="exact"/>
        <w:rPr>
          <w:sz w:val="20"/>
          <w:szCs w:val="20"/>
          <w:color w:val="auto"/>
        </w:rPr>
      </w:pPr>
    </w:p>
    <w:p>
      <w:pPr>
        <w:ind w:left="60" w:right="139" w:firstLine="324"/>
        <w:spacing w:after="0" w:line="258" w:lineRule="auto"/>
        <w:rPr>
          <w:sz w:val="20"/>
          <w:szCs w:val="20"/>
          <w:color w:val="auto"/>
        </w:rPr>
      </w:pPr>
      <w:r>
        <w:rPr>
          <w:rFonts w:ascii="Times New Roman" w:cs="Times New Roman" w:eastAsia="Times New Roman" w:hAnsi="Times New Roman"/>
          <w:sz w:val="18"/>
          <w:szCs w:val="18"/>
          <w:color w:val="auto"/>
        </w:rPr>
        <w:t>From time to time, we may also disclose interim data from our preclinical studies and clinical trials. Interim data from clinical trials that we may complete are subject to the risk that one or more of the clinical outcomes may materially change as patient enrollment continues and more patient data become available. Adverse differences between interim data and final data could significantly harm our business prospects. Further, disclosure of interim data by us or by our competitors could result in volatility in the price of our common stock.</w:t>
      </w:r>
    </w:p>
    <w:p>
      <w:pPr>
        <w:spacing w:after="0" w:line="156" w:lineRule="exact"/>
        <w:rPr>
          <w:sz w:val="20"/>
          <w:szCs w:val="20"/>
          <w:color w:val="auto"/>
        </w:rPr>
      </w:pPr>
    </w:p>
    <w:p>
      <w:pPr>
        <w:ind w:left="60" w:right="219" w:firstLine="324"/>
        <w:spacing w:after="0" w:line="256" w:lineRule="auto"/>
        <w:rPr>
          <w:sz w:val="20"/>
          <w:szCs w:val="20"/>
          <w:color w:val="auto"/>
        </w:rPr>
      </w:pPr>
      <w:r>
        <w:rPr>
          <w:rFonts w:ascii="Times New Roman" w:cs="Times New Roman" w:eastAsia="Times New Roman" w:hAnsi="Times New Roman"/>
          <w:sz w:val="18"/>
          <w:szCs w:val="18"/>
          <w:color w:val="auto"/>
        </w:rPr>
        <w:t>Further, others, including regulatory agencies, may not accept or agree with our assumptions, estimates, calculations, conclusions or analyses or may interpret or weigh the importance of data differently, which could impact the value of the particular program, the approvability or commercialization of the particular product candidate or product and our Company in general. In addition, the information we choose to publicly disclose regarding a particular study or clinical trial is based on what is typically extensive information, and you or others may not agree with what we determine is material or otherwise appropriate information to include in our disclosure.</w:t>
      </w:r>
    </w:p>
    <w:p>
      <w:pPr>
        <w:spacing w:after="0" w:line="147" w:lineRule="exact"/>
        <w:rPr>
          <w:sz w:val="20"/>
          <w:szCs w:val="20"/>
          <w:color w:val="auto"/>
        </w:rPr>
      </w:pPr>
    </w:p>
    <w:p>
      <w:pPr>
        <w:ind w:left="60" w:right="319" w:firstLine="324"/>
        <w:spacing w:after="0" w:line="266" w:lineRule="auto"/>
        <w:rPr>
          <w:sz w:val="20"/>
          <w:szCs w:val="20"/>
          <w:color w:val="auto"/>
        </w:rPr>
      </w:pPr>
      <w:r>
        <w:rPr>
          <w:rFonts w:ascii="Times New Roman" w:cs="Times New Roman" w:eastAsia="Times New Roman" w:hAnsi="Times New Roman"/>
          <w:sz w:val="18"/>
          <w:szCs w:val="18"/>
          <w:color w:val="auto"/>
        </w:rPr>
        <w:t>If the interim, top-line or preliminary data that we report differ from actual results, or if others, including regulatory authorities, disagree with the conclusions reached, our ability to obtain approval for, and commercialize, our product candidates may be harmed, which could harm our business, operating results, prospects or financial condition.</w:t>
      </w:r>
    </w:p>
    <w:p>
      <w:pPr>
        <w:spacing w:after="0" w:line="131" w:lineRule="exact"/>
        <w:rPr>
          <w:sz w:val="20"/>
          <w:szCs w:val="20"/>
          <w:color w:val="auto"/>
        </w:rPr>
      </w:pPr>
    </w:p>
    <w:p>
      <w:pPr>
        <w:ind w:left="60" w:right="17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regulatory approval processes of the FDA and comparable foreign authorities are lengthy, expensive and inherently unpredictable, and if we are ultimately unable to obtain regulatory approval for our product candidates, our business will be substantially harmed.</w:t>
      </w:r>
    </w:p>
    <w:p>
      <w:pPr>
        <w:spacing w:after="0" w:line="148" w:lineRule="exact"/>
        <w:rPr>
          <w:sz w:val="20"/>
          <w:szCs w:val="20"/>
          <w:color w:val="auto"/>
        </w:rPr>
      </w:pPr>
    </w:p>
    <w:p>
      <w:pPr>
        <w:ind w:left="60" w:right="199" w:firstLine="324"/>
        <w:spacing w:after="0" w:line="253" w:lineRule="auto"/>
        <w:rPr>
          <w:sz w:val="20"/>
          <w:szCs w:val="20"/>
          <w:color w:val="auto"/>
        </w:rPr>
      </w:pPr>
      <w:r>
        <w:rPr>
          <w:rFonts w:ascii="Times New Roman" w:cs="Times New Roman" w:eastAsia="Times New Roman" w:hAnsi="Times New Roman"/>
          <w:sz w:val="18"/>
          <w:szCs w:val="18"/>
          <w:color w:val="auto"/>
        </w:rPr>
        <w:t>The time required to obtain approval by the FDA and comparable foreign authorities is unpredictable but typically takes many years following the commencement of clinical trials and depends upon numerous factors, including the substantial discretion of the regulatory authorities. The results of preclinical studies and early clinical trials of our product candidates may not be predictive of the results of later-stage clinical trials. Product candidates in later stages of clinical trials may fail to show the desired safety and efficacy traits despite having progressed through preclinical studies and initial clinical trials. It is not uncommon for companies in the biopharmaceutical industry to suffer significant setbacks in advanced clinical trials due to nonclinical findings made while clinical studies are underway and safety or efficacy observations made in clinical studies, including previously unreported adverse events. Our future clinical trial results may not be successful, and notwithstanding any potential promising results in earlier studies, we cannot be certain that we will not face similar setbacks. The historical failure rate for product candidates in our industry is high. In addition, approval policies, regulations, or the type and amount of clinical data necessary to gain approval may change during a product candidate’s clinical development and may vary among jurisdictions. We obtained regulatory approval for our first product candidate for the acute treatment of agitation associated with schizophrenia or</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606415"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7" w:name="page78"/>
    <w:bookmarkEnd w:id="7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59"/>
        <w:spacing w:after="0" w:line="312" w:lineRule="auto"/>
        <w:rPr>
          <w:sz w:val="20"/>
          <w:szCs w:val="20"/>
          <w:color w:val="auto"/>
        </w:rPr>
      </w:pPr>
      <w:r>
        <w:rPr>
          <w:rFonts w:ascii="Times New Roman" w:cs="Times New Roman" w:eastAsia="Times New Roman" w:hAnsi="Times New Roman"/>
          <w:sz w:val="17"/>
          <w:szCs w:val="17"/>
          <w:color w:val="auto"/>
        </w:rPr>
        <w:t>bipolar I or II disorder, which is in the early stages of commercialization. It is possible that none of our other product candidates, or any product candidates we may seek to develop in the future, will ever obtain regulatory approval.</w:t>
      </w:r>
    </w:p>
    <w:p>
      <w:pPr>
        <w:spacing w:after="0" w:line="113" w:lineRule="exact"/>
        <w:rPr>
          <w:sz w:val="20"/>
          <w:szCs w:val="20"/>
          <w:color w:val="auto"/>
        </w:rPr>
      </w:pPr>
    </w:p>
    <w:p>
      <w:pPr>
        <w:ind w:left="60" w:right="299" w:firstLine="324"/>
        <w:spacing w:after="0" w:line="282" w:lineRule="auto"/>
        <w:rPr>
          <w:sz w:val="20"/>
          <w:szCs w:val="20"/>
          <w:color w:val="auto"/>
        </w:rPr>
      </w:pPr>
      <w:r>
        <w:rPr>
          <w:rFonts w:ascii="Times New Roman" w:cs="Times New Roman" w:eastAsia="Times New Roman" w:hAnsi="Times New Roman"/>
          <w:sz w:val="18"/>
          <w:szCs w:val="18"/>
          <w:color w:val="auto"/>
        </w:rPr>
        <w:t>Our current product candidates, or any that may be developed in the future, could fail to receive regulatory approval for many reasons, including the following:</w:t>
      </w:r>
    </w:p>
    <w:p>
      <w:pPr>
        <w:spacing w:after="0" w:line="121" w:lineRule="exact"/>
        <w:rPr>
          <w:sz w:val="20"/>
          <w:szCs w:val="20"/>
          <w:color w:val="auto"/>
        </w:rPr>
      </w:pPr>
    </w:p>
    <w:p>
      <w:pPr>
        <w:ind w:left="720" w:right="359" w:hanging="319"/>
        <w:spacing w:after="0" w:line="282" w:lineRule="auto"/>
        <w:tabs>
          <w:tab w:leader="none" w:pos="7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comparable foreign regulatory authorities, may disagree with the design or implementation of our clinical trials;</w:t>
      </w:r>
    </w:p>
    <w:p>
      <w:pPr>
        <w:spacing w:after="0" w:line="121" w:lineRule="exact"/>
        <w:rPr>
          <w:rFonts w:ascii="Times New Roman" w:cs="Times New Roman" w:eastAsia="Times New Roman" w:hAnsi="Times New Roman"/>
          <w:sz w:val="18"/>
          <w:szCs w:val="18"/>
          <w:color w:val="auto"/>
        </w:rPr>
      </w:pPr>
    </w:p>
    <w:p>
      <w:pPr>
        <w:ind w:left="720" w:right="379" w:hanging="319"/>
        <w:spacing w:after="0" w:line="282" w:lineRule="auto"/>
        <w:tabs>
          <w:tab w:leader="none" w:pos="7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demonstrate to the satisfaction of the FDA, or comparable foreign regulatory authorities, that a product candidate is safe and effective for its proposed indication;</w:t>
      </w:r>
    </w:p>
    <w:p>
      <w:pPr>
        <w:spacing w:after="0" w:line="134" w:lineRule="exact"/>
        <w:rPr>
          <w:rFonts w:ascii="Times New Roman" w:cs="Times New Roman" w:eastAsia="Times New Roman" w:hAnsi="Times New Roman"/>
          <w:sz w:val="18"/>
          <w:szCs w:val="18"/>
          <w:color w:val="auto"/>
        </w:rPr>
      </w:pPr>
    </w:p>
    <w:p>
      <w:pPr>
        <w:ind w:left="720" w:right="199" w:hanging="319"/>
        <w:spacing w:after="0" w:line="282" w:lineRule="auto"/>
        <w:tabs>
          <w:tab w:leader="none" w:pos="7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of clinical trials may not meet the level of statistical significance required by the FDA, or comparable foreign regulatory authorities, for approval;</w:t>
      </w:r>
    </w:p>
    <w:p>
      <w:pPr>
        <w:spacing w:after="0" w:line="121" w:lineRule="exact"/>
        <w:rPr>
          <w:rFonts w:ascii="Times New Roman" w:cs="Times New Roman" w:eastAsia="Times New Roman" w:hAnsi="Times New Roman"/>
          <w:sz w:val="18"/>
          <w:szCs w:val="18"/>
          <w:color w:val="auto"/>
        </w:rPr>
      </w:pPr>
    </w:p>
    <w:p>
      <w:pPr>
        <w:ind w:left="720" w:right="739" w:hanging="319"/>
        <w:spacing w:after="0" w:line="282" w:lineRule="auto"/>
        <w:tabs>
          <w:tab w:leader="none" w:pos="7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comparable foreign regulatory authorities, may disagree with our interpretation of data from preclinical studies or clinical trials;</w:t>
      </w:r>
    </w:p>
    <w:p>
      <w:pPr>
        <w:spacing w:after="0" w:line="121" w:lineRule="exact"/>
        <w:rPr>
          <w:rFonts w:ascii="Times New Roman" w:cs="Times New Roman" w:eastAsia="Times New Roman" w:hAnsi="Times New Roman"/>
          <w:sz w:val="18"/>
          <w:szCs w:val="18"/>
          <w:color w:val="auto"/>
        </w:rPr>
      </w:pPr>
    </w:p>
    <w:p>
      <w:pPr>
        <w:ind w:left="720" w:right="319" w:hanging="319"/>
        <w:spacing w:after="0" w:line="282" w:lineRule="auto"/>
        <w:tabs>
          <w:tab w:leader="none" w:pos="7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data collected from clinical trials of our product candidates may not be sufficient to support the submission of an NDA or other submission or to obtain regulatory approval in the U.S. or elsewhere;</w:t>
      </w:r>
    </w:p>
    <w:p>
      <w:pPr>
        <w:spacing w:after="0" w:line="134" w:lineRule="exact"/>
        <w:rPr>
          <w:rFonts w:ascii="Times New Roman" w:cs="Times New Roman" w:eastAsia="Times New Roman" w:hAnsi="Times New Roman"/>
          <w:sz w:val="18"/>
          <w:szCs w:val="18"/>
          <w:color w:val="auto"/>
        </w:rPr>
      </w:pPr>
    </w:p>
    <w:p>
      <w:pPr>
        <w:ind w:left="720" w:right="159" w:hanging="319"/>
        <w:spacing w:after="0" w:line="282" w:lineRule="auto"/>
        <w:tabs>
          <w:tab w:leader="none" w:pos="7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comparable foreign regulatory authorities, may disagree that our changes to branded reference drugs meet the criteria for the 505(b)(2) regulatory pathway or comparable foreign regulatory pathways;</w:t>
      </w:r>
    </w:p>
    <w:p>
      <w:pPr>
        <w:spacing w:after="0" w:line="121" w:lineRule="exact"/>
        <w:rPr>
          <w:rFonts w:ascii="Times New Roman" w:cs="Times New Roman" w:eastAsia="Times New Roman" w:hAnsi="Times New Roman"/>
          <w:sz w:val="18"/>
          <w:szCs w:val="18"/>
          <w:color w:val="auto"/>
        </w:rPr>
      </w:pPr>
    </w:p>
    <w:p>
      <w:pPr>
        <w:ind w:left="720" w:right="599" w:hanging="319"/>
        <w:spacing w:after="0" w:line="282" w:lineRule="auto"/>
        <w:tabs>
          <w:tab w:leader="none" w:pos="7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comparable foreign regulatory authorities, may fail to approve the manufacturing processes or facilities of third-party manufacturers with which we contract for clinical and commercial supplies; and</w:t>
      </w:r>
    </w:p>
    <w:p>
      <w:pPr>
        <w:spacing w:after="0" w:line="121" w:lineRule="exact"/>
        <w:rPr>
          <w:rFonts w:ascii="Times New Roman" w:cs="Times New Roman" w:eastAsia="Times New Roman" w:hAnsi="Times New Roman"/>
          <w:sz w:val="18"/>
          <w:szCs w:val="18"/>
          <w:color w:val="auto"/>
        </w:rPr>
      </w:pPr>
    </w:p>
    <w:p>
      <w:pPr>
        <w:ind w:left="720" w:right="259" w:hanging="319"/>
        <w:spacing w:after="0" w:line="282" w:lineRule="auto"/>
        <w:tabs>
          <w:tab w:leader="none" w:pos="7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approval policies or regulations of the FDA, or comparable foreign regulatory authorities, may significantly change in a manner rendering our clinical data insufficient for approval.</w:t>
      </w:r>
    </w:p>
    <w:p>
      <w:pPr>
        <w:spacing w:after="0" w:line="135" w:lineRule="exact"/>
        <w:rPr>
          <w:sz w:val="20"/>
          <w:szCs w:val="20"/>
          <w:color w:val="auto"/>
        </w:rPr>
      </w:pPr>
    </w:p>
    <w:p>
      <w:pPr>
        <w:ind w:left="60" w:right="179" w:firstLine="324"/>
        <w:spacing w:after="0" w:line="256" w:lineRule="auto"/>
        <w:rPr>
          <w:sz w:val="20"/>
          <w:szCs w:val="20"/>
          <w:color w:val="auto"/>
        </w:rPr>
      </w:pPr>
      <w:r>
        <w:rPr>
          <w:rFonts w:ascii="Times New Roman" w:cs="Times New Roman" w:eastAsia="Times New Roman" w:hAnsi="Times New Roman"/>
          <w:sz w:val="18"/>
          <w:szCs w:val="18"/>
          <w:color w:val="auto"/>
        </w:rPr>
        <w:t>We have limited experience in completing clinical trials of product candidates. Consequently, we may not have the necessary capabilities, including adequate staffing, to successfully manage the execution and completion of clinical trials we initiate in a way that leads to our obtaining marketing approval for our product candidates in a timely manner, or at all. This lengthy approval process as well as the unpredictability of future clinical trial results may result in our failing to obtain regulatory approval to market our product candidates, which would significantly harm our business, results of operations and prospects.</w:t>
      </w:r>
    </w:p>
    <w:p>
      <w:pPr>
        <w:spacing w:after="0" w:line="147" w:lineRule="exact"/>
        <w:rPr>
          <w:sz w:val="20"/>
          <w:szCs w:val="20"/>
          <w:color w:val="auto"/>
        </w:rPr>
      </w:pPr>
    </w:p>
    <w:p>
      <w:pPr>
        <w:ind w:left="60" w:right="259" w:firstLine="324"/>
        <w:spacing w:after="0" w:line="256" w:lineRule="auto"/>
        <w:rPr>
          <w:sz w:val="20"/>
          <w:szCs w:val="20"/>
          <w:color w:val="auto"/>
        </w:rPr>
      </w:pPr>
      <w:r>
        <w:rPr>
          <w:rFonts w:ascii="Times New Roman" w:cs="Times New Roman" w:eastAsia="Times New Roman" w:hAnsi="Times New Roman"/>
          <w:sz w:val="18"/>
          <w:szCs w:val="18"/>
          <w:color w:val="auto"/>
        </w:rPr>
        <w:t>In addition, even if we were to obtain approval, regulatory authorities may approve our product candidates for fewer or more limited indications than we request, may not approve the price we intend to charge for our products, may grant approval contingent on the performance of costly post-marketing clinical trials, may approve a product candidate with a label that does not include the labeling claims necessary or desirable for the successful commercialization of that product candidate or may restrict its distribution. Any of the foregoing scenarios could materially harm the commercial prospects for our product candidates.</w:t>
      </w:r>
    </w:p>
    <w:p>
      <w:pPr>
        <w:spacing w:after="0" w:line="147" w:lineRule="exact"/>
        <w:rPr>
          <w:sz w:val="20"/>
          <w:szCs w:val="20"/>
          <w:color w:val="auto"/>
        </w:rPr>
      </w:pPr>
    </w:p>
    <w:p>
      <w:pPr>
        <w:ind w:left="60" w:right="259" w:firstLine="324"/>
        <w:spacing w:after="0" w:line="244" w:lineRule="auto"/>
        <w:rPr>
          <w:sz w:val="20"/>
          <w:szCs w:val="20"/>
          <w:color w:val="auto"/>
        </w:rPr>
      </w:pPr>
      <w:r>
        <w:rPr>
          <w:rFonts w:ascii="Times New Roman" w:cs="Times New Roman" w:eastAsia="Times New Roman" w:hAnsi="Times New Roman"/>
          <w:sz w:val="18"/>
          <w:szCs w:val="18"/>
          <w:color w:val="auto"/>
        </w:rPr>
        <w:t>We have only submitted one NDA to the FDA and have not submitted any similar marketing applications to comparable foreign authorities, for any product candidate, and we cannot be certain that our product candidates currently in development, or any than may be developed in the future, will be successful in clinical trials or receive regulatory approval. Further, our product candidates currently in development, or any that may be developed in the future, may not receive regulatory approval even if we believe they are successful in clinical trials. If we do not receive regulatory approvals for additional product candidates, we may not be able to continue our operations. For any regulatory approvals to market one or more of our product candidates, our revenues will be dependent, in part, upon the size of the markets in the territories for which we gain regulatory approval and have commercial rights. If the markets for patients that we are targeting for IGALMI</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or our other product candidates are not as significant as we estimate, we may not generate significant revenues from sales of IGALMI</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or such other product candidates, if approved.</w:t>
      </w:r>
    </w:p>
    <w:p>
      <w:pPr>
        <w:sectPr>
          <w:pgSz w:w="11900" w:h="16838" w:orient="portrait"/>
          <w:cols w:equalWidth="0" w:num="1">
            <w:col w:w="9019"/>
          </w:cols>
          <w:pgMar w:left="1440" w:top="513" w:right="1440" w:bottom="1440" w:gutter="0" w:footer="0" w:header="0"/>
        </w:sectPr>
      </w:pPr>
    </w:p>
    <w:p>
      <w:pPr>
        <w:spacing w:after="0" w:line="30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254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606415"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8" w:name="page79"/>
    <w:bookmarkEnd w:id="7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59" w:firstLine="324"/>
        <w:spacing w:after="0" w:line="258" w:lineRule="auto"/>
        <w:rPr>
          <w:sz w:val="20"/>
          <w:szCs w:val="20"/>
          <w:color w:val="auto"/>
        </w:rPr>
      </w:pPr>
      <w:r>
        <w:rPr>
          <w:rFonts w:ascii="Times New Roman" w:cs="Times New Roman" w:eastAsia="Times New Roman" w:hAnsi="Times New Roman"/>
          <w:sz w:val="18"/>
          <w:szCs w:val="18"/>
          <w:color w:val="auto"/>
        </w:rPr>
        <w:t>We plan to seek regulatory approval to commercialize our product candidates in the U.S., the European Union (“EU”) and in additional foreign countries. While the scope of regulatory approval is similar in other countries, to obtain separate regulatory approval in many other countries we must comply with numerous and varying regulatory requirements of such countries regarding safety and efficacy and governing, among other things, clinical trials and commercial sales, pricing and distribution of our product candidates, and we cannot predict success in these jurisdictions.</w:t>
      </w:r>
    </w:p>
    <w:p>
      <w:pPr>
        <w:spacing w:after="0" w:line="156" w:lineRule="exact"/>
        <w:rPr>
          <w:sz w:val="20"/>
          <w:szCs w:val="20"/>
          <w:color w:val="auto"/>
        </w:rPr>
      </w:pPr>
    </w:p>
    <w:p>
      <w:pPr>
        <w:ind w:left="60" w:right="179" w:firstLine="324"/>
        <w:spacing w:after="0" w:line="252" w:lineRule="auto"/>
        <w:rPr>
          <w:sz w:val="20"/>
          <w:szCs w:val="20"/>
          <w:color w:val="auto"/>
        </w:rPr>
      </w:pPr>
      <w:r>
        <w:rPr>
          <w:rFonts w:ascii="Times New Roman" w:cs="Times New Roman" w:eastAsia="Times New Roman" w:hAnsi="Times New Roman"/>
          <w:sz w:val="18"/>
          <w:szCs w:val="18"/>
          <w:color w:val="auto"/>
        </w:rPr>
        <w:t>In addition, the FDA’s and other regulatory authorities’ policies with respect to clinical trials may change and additional government regulations may be enacted. For instance, the regulatory landscape related to clinical trials in the EU recently evolved. The EU Clinical Trials Regulation (“CTR”), which was adopted in April 2014 and repeals the EU Clinical Trials Directive, became applicable on January 31, 2022. While the Clinical Trials Directive required a separate clinical trial application (“CTA”), to be submitted in each member state in which the clinical trial takes place, to both the competent national health authority and an independent ethics committee, the CTR introduces a centralized process and only requires the submission of a single application for multi-center trials. The CTR allows sponsors to make a single submission to both the competent authority and an ethics committee in each member state, leading to a single decision per member state. The assessment procedure of the CTA has been harmonized as well, including a joint assessment by all member states concerned, and a separate assessment by each member state with respect to specific requirements related to its own territory, including ethics rules. Each member state’s decision is communicated to the sponsor via the centralized EU portal. Once the CTA is approved, clinical study development may proceed. The CTR foresees a three-year transition period. The extent to which ongoing and new clinical trials will be governed by the CTR varies. For clinical trials whose CTA was made under the Clinical Trials Directive before January 31, 2022, the Clinical Trials Directive will continue to apply on a transitional basis for three years. The CTR transition period ended on January 31, 2025, and all clinical trials (and related applications) are now fully subject to the provisions of the CTR.</w:t>
      </w:r>
    </w:p>
    <w:p>
      <w:pPr>
        <w:spacing w:after="0" w:line="154" w:lineRule="exact"/>
        <w:rPr>
          <w:sz w:val="20"/>
          <w:szCs w:val="20"/>
          <w:color w:val="auto"/>
        </w:rPr>
      </w:pPr>
    </w:p>
    <w:p>
      <w:pPr>
        <w:ind w:left="60" w:right="239" w:firstLine="324"/>
        <w:spacing w:after="0" w:line="282" w:lineRule="auto"/>
        <w:rPr>
          <w:sz w:val="20"/>
          <w:szCs w:val="20"/>
          <w:color w:val="auto"/>
        </w:rPr>
      </w:pPr>
      <w:r>
        <w:rPr>
          <w:rFonts w:ascii="Times New Roman" w:cs="Times New Roman" w:eastAsia="Times New Roman" w:hAnsi="Times New Roman"/>
          <w:sz w:val="18"/>
          <w:szCs w:val="18"/>
          <w:color w:val="auto"/>
        </w:rPr>
        <w:t>If we are slow or unable to adapt to changes in existing requirements or the adoption of new requirements or policies governing clinical trials, our development plans may be impacted.</w:t>
      </w:r>
    </w:p>
    <w:p>
      <w:pPr>
        <w:spacing w:after="0" w:line="117" w:lineRule="exact"/>
        <w:rPr>
          <w:sz w:val="20"/>
          <w:szCs w:val="20"/>
          <w:color w:val="auto"/>
        </w:rPr>
      </w:pPr>
    </w:p>
    <w:p>
      <w:pPr>
        <w:ind w:left="60" w:right="7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Clinical trials are expensive, time-consuming, difficult to design, difficult to conduct, and involve an uncertain outcome.</w:t>
      </w:r>
    </w:p>
    <w:p>
      <w:pPr>
        <w:spacing w:after="0" w:line="132" w:lineRule="exact"/>
        <w:rPr>
          <w:sz w:val="20"/>
          <w:szCs w:val="20"/>
          <w:color w:val="auto"/>
        </w:rPr>
      </w:pPr>
    </w:p>
    <w:p>
      <w:pPr>
        <w:ind w:left="60" w:right="139" w:firstLine="324"/>
        <w:spacing w:after="0" w:line="255" w:lineRule="auto"/>
        <w:rPr>
          <w:sz w:val="20"/>
          <w:szCs w:val="20"/>
          <w:color w:val="auto"/>
        </w:rPr>
      </w:pPr>
      <w:r>
        <w:rPr>
          <w:rFonts w:ascii="Times New Roman" w:cs="Times New Roman" w:eastAsia="Times New Roman" w:hAnsi="Times New Roman"/>
          <w:sz w:val="18"/>
          <w:szCs w:val="18"/>
          <w:color w:val="auto"/>
        </w:rPr>
        <w:t>Before obtaining marketing approval from the FDA, or other comparable foreign regulatory authorities, for the sale of our product candidates, we must complete preclinical development and extensive clinical trials to demonstrate the safety and efficacy of our product candidates, in accordance with applicable law and regulations. Failure can occur at any time during the clinical trial process. Although we are planning for certain clinical trials relating to BXCL501, BXCL701, BXCL502 and our other product candidates, there can be no assurance that the FDA, or other comparable foreign regulatory authorities, will accept our proposed trial designs as sufficient to establish the safety and/or efficacy of our product candidates.</w:t>
      </w:r>
    </w:p>
    <w:p>
      <w:pPr>
        <w:spacing w:after="0" w:line="148" w:lineRule="exact"/>
        <w:rPr>
          <w:sz w:val="20"/>
          <w:szCs w:val="20"/>
          <w:color w:val="auto"/>
        </w:rPr>
      </w:pPr>
    </w:p>
    <w:p>
      <w:pPr>
        <w:ind w:left="60" w:right="159" w:firstLine="324"/>
        <w:spacing w:after="0" w:line="266" w:lineRule="auto"/>
        <w:rPr>
          <w:sz w:val="20"/>
          <w:szCs w:val="20"/>
          <w:color w:val="auto"/>
        </w:rPr>
      </w:pPr>
      <w:r>
        <w:rPr>
          <w:rFonts w:ascii="Times New Roman" w:cs="Times New Roman" w:eastAsia="Times New Roman" w:hAnsi="Times New Roman"/>
          <w:sz w:val="18"/>
          <w:szCs w:val="18"/>
          <w:color w:val="auto"/>
        </w:rPr>
        <w:t>We may experience delays in our clinical trials and we do not know whether planned clinical trials will begin on time, need to be redesigned, enroll patients on time or be completed on schedule, if at all. Clinical trials can be delayed for a variety of reasons, including delays related to:</w:t>
      </w:r>
    </w:p>
    <w:p>
      <w:pPr>
        <w:spacing w:after="0" w:line="135" w:lineRule="exact"/>
        <w:rPr>
          <w:sz w:val="20"/>
          <w:szCs w:val="20"/>
          <w:color w:val="auto"/>
        </w:rPr>
      </w:pPr>
    </w:p>
    <w:p>
      <w:pPr>
        <w:ind w:left="720" w:right="459" w:hanging="319"/>
        <w:spacing w:after="0" w:line="282" w:lineRule="auto"/>
        <w:tabs>
          <w:tab w:leader="none" w:pos="7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comparable foreign regulatory authorities, disagreeing as to the design or implementation of our clinical studies;</w:t>
      </w:r>
    </w:p>
    <w:p>
      <w:pPr>
        <w:spacing w:after="0" w:line="134" w:lineRule="exact"/>
        <w:rPr>
          <w:rFonts w:ascii="Times New Roman" w:cs="Times New Roman" w:eastAsia="Times New Roman" w:hAnsi="Times New Roman"/>
          <w:sz w:val="18"/>
          <w:szCs w:val="18"/>
          <w:color w:val="auto"/>
        </w:rPr>
      </w:pPr>
    </w:p>
    <w:p>
      <w:pPr>
        <w:ind w:left="720" w:right="339" w:hanging="319"/>
        <w:spacing w:after="0" w:line="282" w:lineRule="auto"/>
        <w:tabs>
          <w:tab w:leader="none" w:pos="7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regulatory allowances or authorizations to commence a trial or consensus with regulatory authorities on trial designs;</w:t>
      </w:r>
    </w:p>
    <w:p>
      <w:pPr>
        <w:spacing w:after="0" w:line="121" w:lineRule="exact"/>
        <w:rPr>
          <w:rFonts w:ascii="Times New Roman" w:cs="Times New Roman" w:eastAsia="Times New Roman" w:hAnsi="Times New Roman"/>
          <w:sz w:val="18"/>
          <w:szCs w:val="18"/>
          <w:color w:val="auto"/>
        </w:rPr>
      </w:pPr>
    </w:p>
    <w:p>
      <w:pPr>
        <w:jc w:val="both"/>
        <w:ind w:left="720" w:right="219" w:hanging="319"/>
        <w:spacing w:after="0" w:line="266" w:lineRule="auto"/>
        <w:tabs>
          <w:tab w:leader="none" w:pos="7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reaching agreement on acceptable terms with prospective contract research organizations (“CROs”) and clinical trial sites, the terms of which can be subject to extensive negotiation and may vary significantly among different CROs and trial sites;</w:t>
      </w:r>
    </w:p>
    <w:p>
      <w:pPr>
        <w:spacing w:after="0" w:line="135" w:lineRule="exact"/>
        <w:rPr>
          <w:rFonts w:ascii="Times New Roman" w:cs="Times New Roman" w:eastAsia="Times New Roman" w:hAnsi="Times New Roman"/>
          <w:sz w:val="18"/>
          <w:szCs w:val="18"/>
          <w:color w:val="auto"/>
        </w:rPr>
      </w:pPr>
    </w:p>
    <w:p>
      <w:pPr>
        <w:ind w:left="720" w:right="259" w:hanging="319"/>
        <w:spacing w:after="0" w:line="282" w:lineRule="auto"/>
        <w:tabs>
          <w:tab w:leader="none" w:pos="7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institutional review board approval at each site, or independent ethics committee approval at any sites outside the U.S.;</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260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606415"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9" w:name="page80"/>
    <w:bookmarkEnd w:id="7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20" w:hanging="319"/>
        <w:spacing w:after="0"/>
        <w:tabs>
          <w:tab w:leader="none" w:pos="7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dependence on the needs and timing of third-party collaborators;</w:t>
      </w:r>
    </w:p>
    <w:p>
      <w:pPr>
        <w:spacing w:after="0" w:line="198"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to clinical trial protocols;</w:t>
      </w:r>
    </w:p>
    <w:p>
      <w:pPr>
        <w:spacing w:after="0" w:line="18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recruiting suitable patients to participate in a trial in a timely manner and in sufficient numbers;</w:t>
      </w:r>
    </w:p>
    <w:p>
      <w:pPr>
        <w:spacing w:after="0" w:line="18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sites deviating from trial protocol or dropping out of a trial;</w:t>
      </w:r>
    </w:p>
    <w:p>
      <w:pPr>
        <w:spacing w:after="0" w:line="198"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addressing patient safety concerns that arise during the course of a trial;</w:t>
      </w:r>
    </w:p>
    <w:p>
      <w:pPr>
        <w:spacing w:after="0" w:line="18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having patients complete a trial or return for post-treatment follow-up;</w:t>
      </w:r>
    </w:p>
    <w:p>
      <w:pPr>
        <w:spacing w:after="0" w:line="184" w:lineRule="exact"/>
        <w:rPr>
          <w:rFonts w:ascii="Times New Roman" w:cs="Times New Roman" w:eastAsia="Times New Roman" w:hAnsi="Times New Roman"/>
          <w:sz w:val="18"/>
          <w:szCs w:val="18"/>
          <w:color w:val="auto"/>
        </w:rPr>
      </w:pPr>
    </w:p>
    <w:p>
      <w:pPr>
        <w:ind w:left="720" w:right="399" w:hanging="319"/>
        <w:spacing w:after="0" w:line="282" w:lineRule="auto"/>
        <w:tabs>
          <w:tab w:leader="none" w:pos="7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imposition of a clinical hold by regulatory authorities, including as a result of unforeseen safety issues or side effects or failure of trial sites to adhere to regulatory requirements;</w:t>
      </w:r>
    </w:p>
    <w:p>
      <w:pPr>
        <w:spacing w:after="0" w:line="13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occurrence of SAEs in trials of the same class of agents conducted by other companies or institutions;</w:t>
      </w:r>
    </w:p>
    <w:p>
      <w:pPr>
        <w:spacing w:after="0" w:line="184" w:lineRule="exact"/>
        <w:rPr>
          <w:rFonts w:ascii="Times New Roman" w:cs="Times New Roman" w:eastAsia="Times New Roman" w:hAnsi="Times New Roman"/>
          <w:sz w:val="18"/>
          <w:szCs w:val="18"/>
          <w:color w:val="auto"/>
        </w:rPr>
      </w:pPr>
    </w:p>
    <w:p>
      <w:pPr>
        <w:ind w:left="720" w:right="939" w:hanging="319"/>
        <w:spacing w:after="0" w:line="282" w:lineRule="auto"/>
        <w:tabs>
          <w:tab w:leader="none" w:pos="7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subjects choosing an alternative treatment for the indications for which we are developing our product candidates, or participating in competing trials;</w:t>
      </w:r>
    </w:p>
    <w:p>
      <w:pPr>
        <w:spacing w:after="0" w:line="12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adding a sufficient number of clinical trial sites;</w:t>
      </w:r>
    </w:p>
    <w:p>
      <w:pPr>
        <w:spacing w:after="0" w:line="198"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manufacturing sufficient quantities of a product candidate for use in clinical trials;</w:t>
      </w:r>
    </w:p>
    <w:p>
      <w:pPr>
        <w:spacing w:after="0" w:line="18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lack of adequate funding to initiate or continue clinical trials;</w:t>
      </w:r>
    </w:p>
    <w:p>
      <w:pPr>
        <w:spacing w:after="0" w:line="184" w:lineRule="exact"/>
        <w:rPr>
          <w:rFonts w:ascii="Times New Roman" w:cs="Times New Roman" w:eastAsia="Times New Roman" w:hAnsi="Times New Roman"/>
          <w:sz w:val="18"/>
          <w:szCs w:val="18"/>
          <w:color w:val="auto"/>
        </w:rPr>
      </w:pPr>
    </w:p>
    <w:p>
      <w:pPr>
        <w:ind w:left="720" w:right="259" w:hanging="319"/>
        <w:spacing w:after="0" w:line="282" w:lineRule="auto"/>
        <w:tabs>
          <w:tab w:leader="none" w:pos="7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selection of clinical end points that require prolonged periods of clinical observation or analysis of the resulting data;</w:t>
      </w:r>
    </w:p>
    <w:p>
      <w:pPr>
        <w:spacing w:after="0" w:line="134" w:lineRule="exact"/>
        <w:rPr>
          <w:rFonts w:ascii="Times New Roman" w:cs="Times New Roman" w:eastAsia="Times New Roman" w:hAnsi="Times New Roman"/>
          <w:sz w:val="18"/>
          <w:szCs w:val="18"/>
          <w:color w:val="auto"/>
        </w:rPr>
      </w:pPr>
    </w:p>
    <w:p>
      <w:pPr>
        <w:ind w:left="720" w:right="259" w:hanging="319"/>
        <w:spacing w:after="0" w:line="261" w:lineRule="auto"/>
        <w:tabs>
          <w:tab w:leader="none" w:pos="7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facility manufacturing our product candidates or any of their components being ordered by the FDA, or comparable foreign regulatory authorities, to temporarily or permanently shut down due to violations of current good manufacturing practice (“cGMP”) regulations or other applicable requirements, or infections or cross-contaminations of product candidates in the manufacturing process;</w:t>
      </w:r>
    </w:p>
    <w:p>
      <w:pPr>
        <w:spacing w:after="0" w:line="13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changes to our manufacturing process that may be necessary or desired;</w:t>
      </w:r>
    </w:p>
    <w:p>
      <w:pPr>
        <w:spacing w:after="0" w:line="184" w:lineRule="exact"/>
        <w:rPr>
          <w:rFonts w:ascii="Times New Roman" w:cs="Times New Roman" w:eastAsia="Times New Roman" w:hAnsi="Times New Roman"/>
          <w:sz w:val="18"/>
          <w:szCs w:val="18"/>
          <w:color w:val="auto"/>
        </w:rPr>
      </w:pPr>
    </w:p>
    <w:p>
      <w:pPr>
        <w:ind w:left="720" w:right="359" w:hanging="319"/>
        <w:spacing w:after="0" w:line="266" w:lineRule="auto"/>
        <w:tabs>
          <w:tab w:leader="none" w:pos="7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third-party clinical investigators losing the licenses or permits necessary to perform our clinical trials, not performing our clinical trials on our anticipated schedule or consistent with the clinical trial protocol, GCPs or other regulatory requirements; or</w:t>
      </w:r>
    </w:p>
    <w:p>
      <w:pPr>
        <w:spacing w:after="0" w:line="148" w:lineRule="exact"/>
        <w:rPr>
          <w:rFonts w:ascii="Times New Roman" w:cs="Times New Roman" w:eastAsia="Times New Roman" w:hAnsi="Times New Roman"/>
          <w:sz w:val="18"/>
          <w:szCs w:val="18"/>
          <w:color w:val="auto"/>
        </w:rPr>
      </w:pPr>
    </w:p>
    <w:p>
      <w:pPr>
        <w:ind w:left="720" w:right="219" w:hanging="319"/>
        <w:spacing w:after="0" w:line="256" w:lineRule="auto"/>
        <w:tabs>
          <w:tab w:leader="none" w:pos="7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third-party contractors not performing data collection or analysis in a timely or accurate manner; third-party contractors not complying with training and trial protocol; or third-party contractors becoming debarred or suspended or otherwise penalized by the FDA, such as in the case of the recent events relating to the TRANQUILITY II clinical trial, or other government or regulatory authorities, for violations of regulatory requirements, in which case, we may need to find a substitute contractor, and we may not be able to use some or all of the data produced by such contractors in support of our marketing applications.</w:t>
      </w:r>
    </w:p>
    <w:p>
      <w:pPr>
        <w:spacing w:after="0" w:line="147" w:lineRule="exact"/>
        <w:rPr>
          <w:sz w:val="20"/>
          <w:szCs w:val="20"/>
          <w:color w:val="auto"/>
        </w:rPr>
      </w:pPr>
    </w:p>
    <w:p>
      <w:pPr>
        <w:ind w:left="60" w:right="139" w:firstLine="324"/>
        <w:spacing w:after="0" w:line="254" w:lineRule="auto"/>
        <w:rPr>
          <w:sz w:val="20"/>
          <w:szCs w:val="20"/>
          <w:color w:val="auto"/>
        </w:rPr>
      </w:pPr>
      <w:r>
        <w:rPr>
          <w:rFonts w:ascii="Times New Roman" w:cs="Times New Roman" w:eastAsia="Times New Roman" w:hAnsi="Times New Roman"/>
          <w:sz w:val="18"/>
          <w:szCs w:val="18"/>
          <w:color w:val="auto"/>
        </w:rPr>
        <w:t>We could encounter delays if a clinical trial is suspended or terminated by us, by the IRBs of the institutions in which such trials are being conducted, by the Data Safety Monitoring Board (“DSMB”) for such trial or by the FDA or other regulatory authorities. Such authorities may impose such a suspension or termination due to a number of factors, including failure to conduct the clinical trial in accordance with regulatory requirements or our clinical protocols, inspection of the clinical trial operations or trial site by the FDA or other regulatory authorities resulting in the imposition of a clinical hold, unforeseen safety issues or adverse side effects, failure to demonstrate a benefit from using a drug, changes in governmental regulations or administrative actions or lack of adequate funding to continue the clinical trial. Furthermore, we rely on CROs and clinical trial sites to ensure the proper and timely conduct of our</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260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606415"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80" w:name="page81"/>
    <w:bookmarkEnd w:id="8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19"/>
        <w:spacing w:after="0" w:line="272" w:lineRule="auto"/>
        <w:rPr>
          <w:sz w:val="20"/>
          <w:szCs w:val="20"/>
          <w:color w:val="auto"/>
        </w:rPr>
      </w:pPr>
      <w:r>
        <w:rPr>
          <w:rFonts w:ascii="Times New Roman" w:cs="Times New Roman" w:eastAsia="Times New Roman" w:hAnsi="Times New Roman"/>
          <w:sz w:val="17"/>
          <w:szCs w:val="17"/>
          <w:color w:val="auto"/>
        </w:rPr>
        <w:t>clinical trials and, while we have agreements governing their committed activities, we have limited influence over their actual performance, which increases the risk that such CROs or trial sites may fail to perform in accordance with regulatory requirements, clinical trial protocols or with the agreements governing their services to us. For example, investigator misconduct affecting our TRANQUILITY II trial, which evaluated BXCL501 in patients with probable Alzheimer’s disease, may have a material adverse impact on our development program for BXCL501 in these patients, as described more fully in the risk factor above entitled: “</w:t>
      </w:r>
      <w:r>
        <w:rPr>
          <w:rFonts w:ascii="Times New Roman" w:cs="Times New Roman" w:eastAsia="Times New Roman" w:hAnsi="Times New Roman"/>
          <w:sz w:val="17"/>
          <w:szCs w:val="17"/>
          <w:i w:val="1"/>
          <w:iCs w:val="1"/>
          <w:color w:val="auto"/>
        </w:rPr>
        <w:t>Developments relating to our TRANQUILITY II Phase 3 trial may</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impact the timing of our development plans for, and prospects for seeking or obtaining regulatory approval of, BXCL501 for the acute treatment of agitation (non-daily) associated with dementia in patients with probable Alzheimer’s disease</w:t>
      </w:r>
      <w:r>
        <w:rPr>
          <w:rFonts w:ascii="Times New Roman" w:cs="Times New Roman" w:eastAsia="Times New Roman" w:hAnsi="Times New Roman"/>
          <w:sz w:val="17"/>
          <w:szCs w:val="17"/>
          <w:color w:val="auto"/>
        </w:rPr>
        <w:t>.”</w:t>
      </w:r>
    </w:p>
    <w:p>
      <w:pPr>
        <w:spacing w:after="0" w:line="145" w:lineRule="exact"/>
        <w:rPr>
          <w:sz w:val="20"/>
          <w:szCs w:val="20"/>
          <w:color w:val="auto"/>
        </w:rPr>
      </w:pPr>
    </w:p>
    <w:p>
      <w:pPr>
        <w:ind w:left="60" w:right="179" w:firstLine="324"/>
        <w:spacing w:after="0" w:line="256" w:lineRule="auto"/>
        <w:rPr>
          <w:sz w:val="20"/>
          <w:szCs w:val="20"/>
          <w:color w:val="auto"/>
        </w:rPr>
      </w:pPr>
      <w:r>
        <w:rPr>
          <w:rFonts w:ascii="Times New Roman" w:cs="Times New Roman" w:eastAsia="Times New Roman" w:hAnsi="Times New Roman"/>
          <w:sz w:val="18"/>
          <w:szCs w:val="18"/>
          <w:color w:val="auto"/>
        </w:rPr>
        <w:t>Further, conducting clinical trials in foreign countries, as we may do for our current and future product candidates, presents additional risks that may delay completion of our clinical trials. These risks include the failure of enrolled patients in foreign countries to adhere to clinical protocol due to differences in health care services or cultural customs, managing additional administrative burdens associated with foreign regulatory schemes, as well as political and economic risks relevant to such foreign countries. For example, current geopolitical conflicts in Eastern Europe and the Middle East may adversely impact our ability to conduct trials in those regions and elsewhere.</w:t>
      </w:r>
    </w:p>
    <w:p>
      <w:pPr>
        <w:spacing w:after="0" w:line="147" w:lineRule="exact"/>
        <w:rPr>
          <w:sz w:val="20"/>
          <w:szCs w:val="20"/>
          <w:color w:val="auto"/>
        </w:rPr>
      </w:pPr>
    </w:p>
    <w:p>
      <w:pPr>
        <w:ind w:left="60" w:right="139" w:firstLine="324"/>
        <w:spacing w:after="0" w:line="255" w:lineRule="auto"/>
        <w:rPr>
          <w:sz w:val="20"/>
          <w:szCs w:val="20"/>
          <w:color w:val="auto"/>
        </w:rPr>
      </w:pPr>
      <w:r>
        <w:rPr>
          <w:rFonts w:ascii="Times New Roman" w:cs="Times New Roman" w:eastAsia="Times New Roman" w:hAnsi="Times New Roman"/>
          <w:sz w:val="18"/>
          <w:szCs w:val="18"/>
          <w:color w:val="auto"/>
        </w:rPr>
        <w:t>If we experience delays in the completion of, or termination of, any clinical trial of our product candidates, the commercial prospects of our product candidates will be harmed, and our ability to generate product revenues from any of these product candidates will be delayed. In addition, any delays in completing our clinical trials will increase our costs, slow down our product candidate development and approval process and jeopardize our ability to commence product sales and generate revenues. Any of these occurrences may harm our business, financial condition and prospects significantly. In addition, many of the factors that cause, or lead to, a delay in the commencement or completion of clinical trials may also ultimately lead to the denial of regulatory approval of our product candidates.</w:t>
      </w:r>
    </w:p>
    <w:p>
      <w:pPr>
        <w:spacing w:after="0" w:line="144" w:lineRule="exact"/>
        <w:rPr>
          <w:sz w:val="20"/>
          <w:szCs w:val="20"/>
          <w:color w:val="auto"/>
        </w:rPr>
      </w:pPr>
    </w:p>
    <w:p>
      <w:pPr>
        <w:jc w:val="both"/>
        <w:ind w:left="60" w:right="53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depend on enrollment and evaluation of patients in our clinical trials to continue development of our product candidates. If we are unable to enroll patients in our clinical trials, our research and development efforts could be adversely affected.</w:t>
      </w:r>
    </w:p>
    <w:p>
      <w:pPr>
        <w:spacing w:after="0" w:line="148" w:lineRule="exact"/>
        <w:rPr>
          <w:sz w:val="20"/>
          <w:szCs w:val="20"/>
          <w:color w:val="auto"/>
        </w:rPr>
      </w:pPr>
    </w:p>
    <w:p>
      <w:pPr>
        <w:ind w:left="60" w:right="159" w:firstLine="324"/>
        <w:spacing w:after="0" w:line="252" w:lineRule="auto"/>
        <w:rPr>
          <w:sz w:val="20"/>
          <w:szCs w:val="20"/>
          <w:color w:val="auto"/>
        </w:rPr>
      </w:pPr>
      <w:r>
        <w:rPr>
          <w:rFonts w:ascii="Times New Roman" w:cs="Times New Roman" w:eastAsia="Times New Roman" w:hAnsi="Times New Roman"/>
          <w:sz w:val="18"/>
          <w:szCs w:val="18"/>
          <w:color w:val="auto"/>
        </w:rPr>
        <w:t>The timely completion of clinical trials in accordance with their protocols depends, among other things, on our ability to enroll and evaluate a sufficient number of patients who remain in the study until its conclusion. We may experience difficulties in patient enrollment or evaluation in our clinical trials for a variety of reasons. Patient enrollment and evaluation is affected by many factors including the size and nature of the patient population, the proximity of patients to clinical sites, the eligibility criteria for the trial, the design of the clinical trial, the size of the patient population required for analysis of the trial’s primary endpoints, our ability to recruit clinical trial investigators with the appropriate competencies and experience, our ability to obtain and maintain patient consents, the risk that patients enrolled in clinical trials will drop out of the trials before evaluation or completion, the frequency of acute agitation symptoms in enrolled patients, the opportunity for evaluation of patients enrolled in our trials, and competing clinical trials and clinicians’ and patients’ perceptions as to the potential advantages of the drug being studied in relation to other available therapies, including any new drugs that may be approved for the indications we are investigating. Many pharmaceutical companies are conducting clinical trials in patients with the disease indications that our product candidates are designed to target. As a result, we must compete with them for clinical sites, physicians and the limited number of patients who fulfill the stringent requirements for participation in clinical trials. Also, due to the confidential nature of clinical trials, we do not know how many of the eligible patients may be enrolled in competing studies and who are consequently not available to us for our clinical trials. Our clinical trials may be delayed or terminated due to the inability to enroll enough patients. The delay or inability to meet planned patient enrollment may result in increased costs and delay or termination of our trials, which could have a harmful effect on our ability to develop products.</w:t>
      </w:r>
    </w:p>
    <w:p>
      <w:pPr>
        <w:spacing w:after="0" w:line="147" w:lineRule="exact"/>
        <w:rPr>
          <w:sz w:val="20"/>
          <w:szCs w:val="20"/>
          <w:color w:val="auto"/>
        </w:rPr>
      </w:pPr>
    </w:p>
    <w:p>
      <w:pPr>
        <w:jc w:val="both"/>
        <w:ind w:left="60" w:right="31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product candidates may cause undesirable side effects or have other properties that could delay or prevent their regulatory approval, limit the commercial profile of an approved label, or result in significant negative consequences following marketing approval.</w:t>
      </w:r>
    </w:p>
    <w:p>
      <w:pPr>
        <w:spacing w:after="0" w:line="134" w:lineRule="exact"/>
        <w:rPr>
          <w:sz w:val="20"/>
          <w:szCs w:val="20"/>
          <w:color w:val="auto"/>
        </w:rPr>
      </w:pPr>
    </w:p>
    <w:p>
      <w:pPr>
        <w:ind w:left="60" w:right="259" w:firstLine="324"/>
        <w:spacing w:after="0" w:line="282" w:lineRule="auto"/>
        <w:rPr>
          <w:sz w:val="20"/>
          <w:szCs w:val="20"/>
          <w:color w:val="auto"/>
        </w:rPr>
      </w:pPr>
      <w:r>
        <w:rPr>
          <w:rFonts w:ascii="Times New Roman" w:cs="Times New Roman" w:eastAsia="Times New Roman" w:hAnsi="Times New Roman"/>
          <w:sz w:val="18"/>
          <w:szCs w:val="18"/>
          <w:color w:val="auto"/>
        </w:rPr>
        <w:t>Undesirable side effects caused by our product candidates could cause us or regulatory authorities to interrupt, delay or halt clinical trials and could result in a more restrictive label or the delay or denial of regulatory approval by</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260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606415"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81" w:name="page82"/>
    <w:bookmarkEnd w:id="8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39"/>
        <w:spacing w:after="0" w:line="255" w:lineRule="auto"/>
        <w:rPr>
          <w:sz w:val="20"/>
          <w:szCs w:val="20"/>
          <w:color w:val="auto"/>
        </w:rPr>
      </w:pPr>
      <w:r>
        <w:rPr>
          <w:rFonts w:ascii="Times New Roman" w:cs="Times New Roman" w:eastAsia="Times New Roman" w:hAnsi="Times New Roman"/>
          <w:sz w:val="18"/>
          <w:szCs w:val="18"/>
          <w:color w:val="auto"/>
        </w:rPr>
        <w:t>the FDA or other comparable foreign authorities. The clinical evaluation of BXCL501, BXCL502, BXCL701, BXCL702 and our other product candidates in patients, in many cases, is ongoing and it is possible that there may be side effects associated with their use. Results of our trials could reveal a high and unacceptable severity and prevalence of these or other side effects. For example, in our Phase 2 clinical trial of BXCL701 for the treatment of emergent neuroendocrine prostate cancer, one patient experienced acidosis with a fatal outcome. Although the clinical investigator could not determine that the fatality was related to treatment with BXCL701, it is possible that BXCL701 could be tied to unacceptable side effects in the future.</w:t>
      </w:r>
    </w:p>
    <w:p>
      <w:pPr>
        <w:spacing w:after="0" w:line="162" w:lineRule="exact"/>
        <w:rPr>
          <w:sz w:val="20"/>
          <w:szCs w:val="20"/>
          <w:color w:val="auto"/>
        </w:rPr>
      </w:pPr>
    </w:p>
    <w:p>
      <w:pPr>
        <w:ind w:left="60" w:right="179" w:firstLine="324"/>
        <w:spacing w:after="0" w:line="252" w:lineRule="auto"/>
        <w:rPr>
          <w:sz w:val="20"/>
          <w:szCs w:val="20"/>
          <w:color w:val="auto"/>
        </w:rPr>
      </w:pPr>
      <w:r>
        <w:rPr>
          <w:rFonts w:ascii="Times New Roman" w:cs="Times New Roman" w:eastAsia="Times New Roman" w:hAnsi="Times New Roman"/>
          <w:sz w:val="18"/>
          <w:szCs w:val="18"/>
          <w:color w:val="auto"/>
        </w:rPr>
        <w:t>If we observe drug-related AEs or other unacceptable safety concerns in clinical trials, we, the FDA, the IRBs at the institutions in which our studies are conducted, or the DSMB could suspend or terminate our clinical trials or the FDA, or comparable foreign regulatory authorities, could order us to cease clinical trials or deny approval of our product candidates for any or all targeted indications. For example, the FDA placed Point Therapeutics, Inc.’s IND for BXCL701 on clinical hold following an increase in observed mortality in patients receiving BXCL701 in a Phase 3 trial in patients with non-small cell lung cancer. Though we believe that this result was caused by, among other things, an imbalance in the disease severity of patients enrolled in the active arm of the clinical trial, there is no guarantee that excess mortality will not be observed in future clinical studies. Treatment-related side effects could also affect patient recruitment or the ability of enrolled patients to complete the clinical trial or result in potential product liability claims. In addition, these side effects may not be appropriately recognized or managed by the treating medical staff. We expect to have to train medical personnel using our product candidates to understand the side effect profiles observed in our clinical trials and upon commercialization of any of our product candidates that may receive regulatory approval. Inadequate training in recognizing or managing the potential side effects of our product candidates could result in patient injury or death. Any of these occurrences may harm our business, financial condition and prospects significantly.</w:t>
      </w:r>
    </w:p>
    <w:p>
      <w:pPr>
        <w:spacing w:after="0" w:line="149" w:lineRule="exact"/>
        <w:rPr>
          <w:sz w:val="20"/>
          <w:szCs w:val="20"/>
          <w:color w:val="auto"/>
        </w:rPr>
      </w:pPr>
    </w:p>
    <w:p>
      <w:pPr>
        <w:ind w:left="60" w:right="679" w:firstLine="324"/>
        <w:spacing w:after="0" w:line="226" w:lineRule="auto"/>
        <w:rPr>
          <w:sz w:val="20"/>
          <w:szCs w:val="20"/>
          <w:color w:val="auto"/>
        </w:rPr>
      </w:pPr>
      <w:r>
        <w:rPr>
          <w:rFonts w:ascii="Times New Roman" w:cs="Times New Roman" w:eastAsia="Times New Roman" w:hAnsi="Times New Roman"/>
          <w:sz w:val="18"/>
          <w:szCs w:val="18"/>
          <w:color w:val="auto"/>
        </w:rPr>
        <w:t>Additionally, if we or others later identify undesirable side effects caused by IGALMI</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or any other product candidate that receives marketing approval, a number of potentially significant negative consequences could result, including:</w:t>
      </w:r>
    </w:p>
    <w:p>
      <w:pPr>
        <w:spacing w:after="0" w:line="160" w:lineRule="exact"/>
        <w:rPr>
          <w:sz w:val="20"/>
          <w:szCs w:val="20"/>
          <w:color w:val="auto"/>
        </w:rPr>
      </w:pPr>
    </w:p>
    <w:p>
      <w:pPr>
        <w:ind w:left="720" w:hanging="319"/>
        <w:spacing w:after="0"/>
        <w:tabs>
          <w:tab w:leader="none" w:pos="7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withdraw approvals of such products;</w:t>
      </w:r>
    </w:p>
    <w:p>
      <w:pPr>
        <w:spacing w:after="0" w:line="198"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recall a product or change the way such a product is administered to patients;</w:t>
      </w:r>
    </w:p>
    <w:p>
      <w:pPr>
        <w:spacing w:after="0" w:line="184" w:lineRule="exact"/>
        <w:rPr>
          <w:rFonts w:ascii="Times New Roman" w:cs="Times New Roman" w:eastAsia="Times New Roman" w:hAnsi="Times New Roman"/>
          <w:sz w:val="18"/>
          <w:szCs w:val="18"/>
          <w:color w:val="auto"/>
        </w:rPr>
      </w:pPr>
    </w:p>
    <w:p>
      <w:pPr>
        <w:ind w:left="720" w:right="919" w:hanging="319"/>
        <w:spacing w:after="0" w:line="282" w:lineRule="auto"/>
        <w:tabs>
          <w:tab w:leader="none" w:pos="7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restrictions may be imposed on the marketing or distribution of the particular product or the manufacturing processes for the product or any component thereof;</w:t>
      </w:r>
    </w:p>
    <w:p>
      <w:pPr>
        <w:spacing w:after="0" w:line="121" w:lineRule="exact"/>
        <w:rPr>
          <w:rFonts w:ascii="Times New Roman" w:cs="Times New Roman" w:eastAsia="Times New Roman" w:hAnsi="Times New Roman"/>
          <w:sz w:val="18"/>
          <w:szCs w:val="18"/>
          <w:color w:val="auto"/>
        </w:rPr>
      </w:pPr>
    </w:p>
    <w:p>
      <w:pPr>
        <w:ind w:left="720" w:right="999" w:hanging="319"/>
        <w:spacing w:after="0" w:line="282" w:lineRule="auto"/>
        <w:tabs>
          <w:tab w:leader="none" w:pos="7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require additional warnings on the label, such as a “black box” warning or contraindication;</w:t>
      </w:r>
    </w:p>
    <w:p>
      <w:pPr>
        <w:spacing w:after="0" w:line="134" w:lineRule="exact"/>
        <w:rPr>
          <w:rFonts w:ascii="Times New Roman" w:cs="Times New Roman" w:eastAsia="Times New Roman" w:hAnsi="Times New Roman"/>
          <w:sz w:val="18"/>
          <w:szCs w:val="18"/>
          <w:color w:val="auto"/>
        </w:rPr>
      </w:pPr>
    </w:p>
    <w:p>
      <w:pPr>
        <w:jc w:val="both"/>
        <w:ind w:left="720" w:right="359" w:hanging="319"/>
        <w:spacing w:after="0" w:line="312" w:lineRule="auto"/>
        <w:tabs>
          <w:tab w:leader="none" w:pos="72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may be required to implement Risk Evaluation and Mitigation Strategies (“REMS”) or create a medication guide outlining the risks of such side effects for distribution to patients, or similar risk management measures;</w:t>
      </w:r>
    </w:p>
    <w:p>
      <w:pPr>
        <w:spacing w:after="0" w:line="99" w:lineRule="exact"/>
        <w:rPr>
          <w:rFonts w:ascii="Times New Roman" w:cs="Times New Roman" w:eastAsia="Times New Roman" w:hAnsi="Times New Roman"/>
          <w:sz w:val="17"/>
          <w:szCs w:val="17"/>
          <w:color w:val="auto"/>
        </w:rPr>
      </w:pPr>
    </w:p>
    <w:p>
      <w:pPr>
        <w:ind w:left="720" w:hanging="319"/>
        <w:spacing w:after="0"/>
        <w:tabs>
          <w:tab w:leader="none" w:pos="7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could be sued and held liable for harm caused to patients;</w:t>
      </w:r>
    </w:p>
    <w:p>
      <w:pPr>
        <w:spacing w:after="0" w:line="18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product may become less competitive; and</w:t>
      </w:r>
    </w:p>
    <w:p>
      <w:pPr>
        <w:spacing w:after="0" w:line="198"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reputation may suffer.</w:t>
      </w:r>
    </w:p>
    <w:p>
      <w:pPr>
        <w:spacing w:after="0" w:line="185" w:lineRule="exact"/>
        <w:rPr>
          <w:sz w:val="20"/>
          <w:szCs w:val="20"/>
          <w:color w:val="auto"/>
        </w:rPr>
      </w:pPr>
    </w:p>
    <w:p>
      <w:pPr>
        <w:ind w:left="60" w:right="379" w:firstLine="324"/>
        <w:spacing w:after="0" w:line="282" w:lineRule="auto"/>
        <w:rPr>
          <w:sz w:val="20"/>
          <w:szCs w:val="20"/>
          <w:color w:val="auto"/>
        </w:rPr>
      </w:pPr>
      <w:r>
        <w:rPr>
          <w:rFonts w:ascii="Times New Roman" w:cs="Times New Roman" w:eastAsia="Times New Roman" w:hAnsi="Times New Roman"/>
          <w:sz w:val="18"/>
          <w:szCs w:val="18"/>
          <w:color w:val="auto"/>
        </w:rPr>
        <w:t>Any of these events could prevent us from achieving or maintaining market acceptance of the particular product or product candidate, if approved, and could significantly harm our business, results of operations and prospects.</w:t>
      </w:r>
    </w:p>
    <w:p>
      <w:pPr>
        <w:spacing w:after="0" w:line="37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260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606415"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2" w:name="page83"/>
    <w:bookmarkEnd w:id="8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both"/>
        <w:ind w:left="60" w:right="1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discovery and development of product candidates based on EvolverAI, BioXcel LLC’s proprietary pharmaceutical discovery and development engine, and our AI platform is novel and unproven, and we do not know whether we will be able to develop any products of commercial value.</w:t>
      </w:r>
    </w:p>
    <w:p>
      <w:pPr>
        <w:spacing w:after="0" w:line="148" w:lineRule="exact"/>
        <w:rPr>
          <w:sz w:val="20"/>
          <w:szCs w:val="20"/>
          <w:color w:val="auto"/>
        </w:rPr>
      </w:pPr>
    </w:p>
    <w:p>
      <w:pPr>
        <w:ind w:left="60" w:right="159" w:firstLine="324"/>
        <w:spacing w:after="0" w:line="244" w:lineRule="auto"/>
        <w:rPr>
          <w:sz w:val="20"/>
          <w:szCs w:val="20"/>
          <w:color w:val="auto"/>
        </w:rPr>
      </w:pPr>
      <w:r>
        <w:rPr>
          <w:rFonts w:ascii="Times New Roman" w:cs="Times New Roman" w:eastAsia="Times New Roman" w:hAnsi="Times New Roman"/>
          <w:sz w:val="18"/>
          <w:szCs w:val="18"/>
          <w:color w:val="auto"/>
        </w:rPr>
        <w:t>We are leveraging our own AI platform and BioXcel LLC’s EvolverAI, a proprietary pharmaceutical discovery and development engine, to create a pipeline of neuroscience and immuno-oncology product candidates for patients whose diseases have not been adequately addressed to date by other approaches and to design and conduct efficient clinical trials with a higher likelihood of success. While we believe that applying our AI platform and BioXcel LLC’s EvolverAI to create medicines for defined patient populations may potentially enable drug research and clinical development that is more efficient than conventional drug research and development, our approach is novel. Although we obtained FDA approval for IGALMI</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because our approach is novel, the cost and time needed to develop our product candidates is difficult to predict, and our efforts may not result in the discovery and development of commercially viable medicines. We may also be incorrect about the effects of our product and product candidates on the diseases of our defined patient populations, which may limit the utility of our approach or the perception of the utility of our approach. Furthermore, our estimates of our defined patient populations available for study and treatment may be lower than expected, which could adversely affect our ability to conduct clinical trials and may also adversely affect the size of any market for medicines we may successfully commercialize. Our approach may not result in time savings, higher success rates or reduced costs as we expect it to, and if not, we may not attract collaborators or develop new drugs as quickly or cost effectively as expected and therefore we may not be able to commercialize our approach as originally expected.</w:t>
      </w:r>
    </w:p>
    <w:p>
      <w:pPr>
        <w:spacing w:after="0" w:line="161" w:lineRule="exact"/>
        <w:rPr>
          <w:sz w:val="20"/>
          <w:szCs w:val="20"/>
          <w:color w:val="auto"/>
        </w:rPr>
      </w:pPr>
    </w:p>
    <w:p>
      <w:pPr>
        <w:ind w:left="60" w:right="2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Artificial intelligence presents risks and challenges that can impact our business including by posing security risks to our confidential information, proprietary information, and personal data.</w:t>
      </w:r>
    </w:p>
    <w:p>
      <w:pPr>
        <w:spacing w:after="0" w:line="118" w:lineRule="exact"/>
        <w:rPr>
          <w:sz w:val="20"/>
          <w:szCs w:val="20"/>
          <w:color w:val="auto"/>
        </w:rPr>
      </w:pPr>
    </w:p>
    <w:p>
      <w:pPr>
        <w:ind w:left="60" w:right="199" w:firstLine="324"/>
        <w:spacing w:after="0" w:line="252" w:lineRule="auto"/>
        <w:rPr>
          <w:sz w:val="20"/>
          <w:szCs w:val="20"/>
          <w:color w:val="auto"/>
        </w:rPr>
      </w:pPr>
      <w:r>
        <w:rPr>
          <w:rFonts w:ascii="Times New Roman" w:cs="Times New Roman" w:eastAsia="Times New Roman" w:hAnsi="Times New Roman"/>
          <w:sz w:val="18"/>
          <w:szCs w:val="18"/>
          <w:color w:val="auto"/>
        </w:rPr>
        <w:t>Issues in the development and use of artificial intelligence, combined with an uncertain regulatory environment, may result in reputational harm, liability, or other adverse consequences to our business operations. As with many technological innovations, artificial intelligence presents risks and challenges that could impact our business. We may adopt and integrate generative artificial intelligence tools into our systems for specific use cases reviewed by legal and information security. Our vendors may incorporate generative artificial intelligence tools into their offerings without disclosing this use to us, and the providers of these generative artificial intelligence tools may not meet existing or rapidly evolving regulatory or industry standards with respect to privacy and data protection and may inhibit our or our vendors’ ability to maintain an adequate level of service and experience. If we, our vendors, or our third-party partners experience an actual or perceived breach or privacy or security incident because of the use of generative artificial intelligence, we may lose valuable intellectual property and confidential information and our reputation and the public perception of the effectiveness of our security measures could be harmed. Further, bad actors around the world use increasingly sophisticated methods, including the use of artificial intelligence, to engage in illegal activities involving the theft and misuse of personal information, confidential information, and intellectual property. Any of these outcomes could damage our reputation, result in the loss of valuable property and information, and adversely impact our business.</w:t>
      </w:r>
    </w:p>
    <w:p>
      <w:pPr>
        <w:spacing w:after="0" w:line="170" w:lineRule="exact"/>
        <w:rPr>
          <w:sz w:val="20"/>
          <w:szCs w:val="20"/>
          <w:color w:val="auto"/>
        </w:rPr>
      </w:pPr>
    </w:p>
    <w:p>
      <w:pPr>
        <w:ind w:left="60" w:right="259" w:firstLine="324"/>
        <w:spacing w:after="0" w:line="261" w:lineRule="auto"/>
        <w:rPr>
          <w:sz w:val="20"/>
          <w:szCs w:val="20"/>
          <w:color w:val="auto"/>
        </w:rPr>
      </w:pPr>
      <w:r>
        <w:rPr>
          <w:rFonts w:ascii="Times New Roman" w:cs="Times New Roman" w:eastAsia="Times New Roman" w:hAnsi="Times New Roman"/>
          <w:sz w:val="18"/>
          <w:szCs w:val="18"/>
          <w:color w:val="auto"/>
        </w:rPr>
        <w:t>Additionally, our use of AI and machine learning may be subject to laws and evolving regulations regarding the use of AI or machine learning, controlling for data bias, and anti-discrimination, and we may not always be able to anticipate how to respond to these laws or regulations. Further, there is an increase in litigation in a number of jurisdictions, including the United States, relating to the use of AI, particularly generative AI.</w:t>
      </w:r>
    </w:p>
    <w:p>
      <w:pPr>
        <w:spacing w:after="0" w:line="139" w:lineRule="exact"/>
        <w:rPr>
          <w:sz w:val="20"/>
          <w:szCs w:val="20"/>
          <w:color w:val="auto"/>
        </w:rPr>
      </w:pPr>
    </w:p>
    <w:p>
      <w:pPr>
        <w:ind w:left="60" w:right="199" w:firstLine="324"/>
        <w:spacing w:after="0" w:line="253" w:lineRule="auto"/>
        <w:rPr>
          <w:sz w:val="20"/>
          <w:szCs w:val="20"/>
          <w:color w:val="auto"/>
        </w:rPr>
      </w:pPr>
      <w:r>
        <w:rPr>
          <w:rFonts w:ascii="Times New Roman" w:cs="Times New Roman" w:eastAsia="Times New Roman" w:hAnsi="Times New Roman"/>
          <w:sz w:val="18"/>
          <w:szCs w:val="18"/>
          <w:color w:val="auto"/>
        </w:rPr>
        <w:t>Implementation standards and enforcement practices are likely to remain uncertain for the foreseeable future, and we cannot yet determine the impact future laws, regulations, standards, or perception of their requirements may have on our business. This evolution may create uncertainty in our business, affect our ability to operate in certain jurisdictions or to collect, store, transfer use and share personal information, necessitate the acceptance of more onerous obligations in our contracts, result in liability or impose additional costs on us. The cost of compliance with these laws, regulations and standards is high and is likely to increase in the future. Any failure or perceived failure by us to comply with federal, state or foreign laws or regulation, our internal policies and procedures or our contracts governing our processing of personal information could result in negative publicity, government investigations and enforcement actions, claims by third parties and damage to our reputation, any of which could have a material adverse effect on our operations, financial performance and business.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1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254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606415"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83" w:name="page84"/>
    <w:bookmarkEnd w:id="8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right="8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Company’s AI platform and BioXcel LLC’s EvolverAI may fail to help us discover and develop additional potential product candidates.</w:t>
      </w:r>
    </w:p>
    <w:p>
      <w:pPr>
        <w:spacing w:after="0" w:line="132" w:lineRule="exact"/>
        <w:rPr>
          <w:sz w:val="20"/>
          <w:szCs w:val="20"/>
          <w:color w:val="auto"/>
        </w:rPr>
      </w:pPr>
    </w:p>
    <w:p>
      <w:pPr>
        <w:ind w:left="60" w:right="159" w:firstLine="324"/>
        <w:spacing w:after="0" w:line="281" w:lineRule="auto"/>
        <w:rPr>
          <w:sz w:val="20"/>
          <w:szCs w:val="20"/>
          <w:color w:val="auto"/>
        </w:rPr>
      </w:pPr>
      <w:r>
        <w:rPr>
          <w:rFonts w:ascii="Times New Roman" w:cs="Times New Roman" w:eastAsia="Times New Roman" w:hAnsi="Times New Roman"/>
          <w:sz w:val="17"/>
          <w:szCs w:val="17"/>
          <w:color w:val="auto"/>
        </w:rPr>
        <w:t>Any drug discovery that we are conducting using the Company’s AI platform and BioXcel LLC’s EvolverAI may not be successful in identifying compounds that have commercial value or therapeutic utility. The Company’s AI platform and BioXcel LLC’s EvolverAI may initially show promise in identifying potential product candidates, yet fail to yield viable additional product candidates for clinical development or potential commercialization for a number of reasons, including:</w:t>
      </w:r>
    </w:p>
    <w:p>
      <w:pPr>
        <w:spacing w:after="0" w:line="124" w:lineRule="exact"/>
        <w:rPr>
          <w:sz w:val="20"/>
          <w:szCs w:val="20"/>
          <w:color w:val="auto"/>
        </w:rPr>
      </w:pPr>
    </w:p>
    <w:p>
      <w:pPr>
        <w:ind w:left="720" w:right="339" w:hanging="319"/>
        <w:spacing w:after="0" w:line="258" w:lineRule="auto"/>
        <w:tabs>
          <w:tab w:leader="none" w:pos="7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research programs to identify new product candidates will require substantial technical, financial and human resources, and we may be unsuccessful in our efforts to identify new product candidates. If we are unable to identify suitable additional compounds for preclinical and clinical development, our ability to develop product candidates and obtain product revenues in future periods could be compromised, which could result in significant harm to our financial position and adversely impact our stock price;</w:t>
      </w:r>
    </w:p>
    <w:p>
      <w:pPr>
        <w:spacing w:after="0" w:line="142" w:lineRule="exact"/>
        <w:rPr>
          <w:rFonts w:ascii="Times New Roman" w:cs="Times New Roman" w:eastAsia="Times New Roman" w:hAnsi="Times New Roman"/>
          <w:sz w:val="18"/>
          <w:szCs w:val="18"/>
          <w:color w:val="auto"/>
        </w:rPr>
      </w:pPr>
    </w:p>
    <w:p>
      <w:pPr>
        <w:ind w:left="720" w:right="559" w:hanging="319"/>
        <w:spacing w:after="0" w:line="282" w:lineRule="auto"/>
        <w:tabs>
          <w:tab w:leader="none" w:pos="7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compounds found through the Company’s AI platform and BioXcel LLC’s EvolverAI may not demonstrate efficacy, safety or tolerability;</w:t>
      </w:r>
    </w:p>
    <w:p>
      <w:pPr>
        <w:spacing w:after="0" w:line="134" w:lineRule="exact"/>
        <w:rPr>
          <w:rFonts w:ascii="Times New Roman" w:cs="Times New Roman" w:eastAsia="Times New Roman" w:hAnsi="Times New Roman"/>
          <w:sz w:val="18"/>
          <w:szCs w:val="18"/>
          <w:color w:val="auto"/>
        </w:rPr>
      </w:pPr>
    </w:p>
    <w:p>
      <w:pPr>
        <w:ind w:left="720" w:right="199" w:hanging="319"/>
        <w:spacing w:after="0" w:line="282" w:lineRule="auto"/>
        <w:tabs>
          <w:tab w:leader="none" w:pos="7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product candidates may, on further study, be shown to have harmful side effects or other characteristics that indicate that they are unlikely to receive marketing approval and achieve market acceptance;</w:t>
      </w:r>
    </w:p>
    <w:p>
      <w:pPr>
        <w:spacing w:after="0" w:line="121" w:lineRule="exact"/>
        <w:rPr>
          <w:rFonts w:ascii="Times New Roman" w:cs="Times New Roman" w:eastAsia="Times New Roman" w:hAnsi="Times New Roman"/>
          <w:sz w:val="18"/>
          <w:szCs w:val="18"/>
          <w:color w:val="auto"/>
        </w:rPr>
      </w:pPr>
    </w:p>
    <w:p>
      <w:pPr>
        <w:ind w:left="720" w:right="379" w:hanging="319"/>
        <w:spacing w:after="0" w:line="282" w:lineRule="auto"/>
        <w:tabs>
          <w:tab w:leader="none" w:pos="7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competitors may develop alternative therapies that render our potential product candidates non-competitive or less attractive; or</w:t>
      </w:r>
    </w:p>
    <w:p>
      <w:pPr>
        <w:spacing w:after="0" w:line="12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potential product candidate may not be capable of being produced at an acceptable cost.</w:t>
      </w:r>
    </w:p>
    <w:p>
      <w:pPr>
        <w:spacing w:after="0" w:line="194" w:lineRule="exact"/>
        <w:rPr>
          <w:sz w:val="20"/>
          <w:szCs w:val="20"/>
          <w:color w:val="auto"/>
        </w:rPr>
      </w:pPr>
    </w:p>
    <w:p>
      <w:pPr>
        <w:ind w:left="60" w:right="1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Regulators may limit our ability to develop or implement our proprietary AI algorithms and/or may eliminate or restrict the confidentiality of our proprietary technology, which could have an adverse effect on our business, results of operations, and financial condition.</w:t>
      </w:r>
    </w:p>
    <w:p>
      <w:pPr>
        <w:spacing w:after="0" w:line="134" w:lineRule="exact"/>
        <w:rPr>
          <w:sz w:val="20"/>
          <w:szCs w:val="20"/>
          <w:color w:val="auto"/>
        </w:rPr>
      </w:pPr>
    </w:p>
    <w:p>
      <w:pPr>
        <w:ind w:left="60" w:right="399" w:firstLine="324"/>
        <w:spacing w:after="0" w:line="258" w:lineRule="auto"/>
        <w:rPr>
          <w:sz w:val="20"/>
          <w:szCs w:val="20"/>
          <w:color w:val="auto"/>
        </w:rPr>
      </w:pPr>
      <w:r>
        <w:rPr>
          <w:rFonts w:ascii="Times New Roman" w:cs="Times New Roman" w:eastAsia="Times New Roman" w:hAnsi="Times New Roman"/>
          <w:sz w:val="18"/>
          <w:szCs w:val="18"/>
          <w:color w:val="auto"/>
        </w:rPr>
        <w:t>Our future success depends on our ability to continue to develop and implement our proprietary AI algorithms and models, and to maintain the confidentiality of this technology. Changes to existing regulations, their interpretation or implementation, or new regulations could impede our use of this technology or require that we disclose our proprietary technology to our competitors, which could impair our competitive position and result in an adverse effect on our business, results of operations and financial condition.</w:t>
      </w:r>
    </w:p>
    <w:p>
      <w:pPr>
        <w:spacing w:after="0" w:line="139" w:lineRule="exact"/>
        <w:rPr>
          <w:sz w:val="20"/>
          <w:szCs w:val="20"/>
          <w:color w:val="auto"/>
        </w:rPr>
      </w:pPr>
    </w:p>
    <w:p>
      <w:pPr>
        <w:ind w:left="60" w:right="1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obtained Fast Track designation for certain of our product candidates, and we may seek Fast Track designation for other indications or for our other product candidates, but we might not receive such designations, and even if we do, such designations may not actually lead to a faster development or regulatory review or approval process.</w:t>
      </w:r>
    </w:p>
    <w:p>
      <w:pPr>
        <w:spacing w:after="0" w:line="148" w:lineRule="exact"/>
        <w:rPr>
          <w:sz w:val="20"/>
          <w:szCs w:val="20"/>
          <w:color w:val="auto"/>
        </w:rPr>
      </w:pPr>
    </w:p>
    <w:p>
      <w:pPr>
        <w:ind w:left="60" w:right="219" w:firstLine="324"/>
        <w:spacing w:after="0" w:line="252" w:lineRule="auto"/>
        <w:rPr>
          <w:sz w:val="20"/>
          <w:szCs w:val="20"/>
          <w:color w:val="auto"/>
        </w:rPr>
      </w:pPr>
      <w:r>
        <w:rPr>
          <w:rFonts w:ascii="Times New Roman" w:cs="Times New Roman" w:eastAsia="Times New Roman" w:hAnsi="Times New Roman"/>
          <w:sz w:val="18"/>
          <w:szCs w:val="18"/>
          <w:color w:val="auto"/>
        </w:rPr>
        <w:t>If a product candidate is intended for the treatment of a serious condition and nonclinical or clinical data demonstrate the potential to address unmet medical need for this condition, a product sponsor may apply for FDA Fast Track designation. The sponsor of a Fast Track product candidate has opportunities for more frequent interactions with the applicable FDA review team during product development and, once an NDA is submitted, the product candidate may be eligible for priority review if the relevant criteria are met. An NDA for a Fast Track product candidate may also be eligible for rolling review, where the FDA may consider for review sections of the NDA on a rolling basis before the complete application is submitted, if the sponsor provides a schedule for the submission of the sections of the NDA, the FDA agrees to accept sections of the NDA and determines that the schedule is acceptable, and the sponsor pays any required user fees upon submission of the first section of the NDA. We obtained Fast Track designation for BXCL501 for the acute treatment of mild-to-moderate agitation associated with schizophrenia, bipolar disorder, and dementia, and we further obtained Fast Track designation for BXCL701, in combination with a checkpoint inhibitor, for the treatment of patients with metastatic SCNC with progression on chemotherapy and no evidence of microsatellite instability, and we may seek additional Fast Track designation for BXCL501 or BXCL701 or for one or more of our other product candidates, but we might not receive such designations from the FDA. However, even if we receive Fast Track</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1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606415"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84" w:name="page85"/>
    <w:bookmarkEnd w:id="8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39"/>
        <w:spacing w:after="0" w:line="258" w:lineRule="auto"/>
        <w:rPr>
          <w:sz w:val="20"/>
          <w:szCs w:val="20"/>
          <w:color w:val="auto"/>
        </w:rPr>
      </w:pPr>
      <w:r>
        <w:rPr>
          <w:rFonts w:ascii="Times New Roman" w:cs="Times New Roman" w:eastAsia="Times New Roman" w:hAnsi="Times New Roman"/>
          <w:sz w:val="18"/>
          <w:szCs w:val="18"/>
          <w:color w:val="auto"/>
        </w:rPr>
        <w:t>designation, Fast Track designation does not ensure that we will receive marketing approval or that approval will be granted within any particular timeframe. We may not experience a faster development or regulatory review or approval process with Fast Track designation compared to conventional FDA procedures. In addition, the FDA may withdraw Fast Track designation if it believes that the designation is no longer supported by data from our clinical development program. Fast Track designation alone does not guarantee qualification for the FDA’s priority review procedures.</w:t>
      </w:r>
    </w:p>
    <w:p>
      <w:pPr>
        <w:spacing w:after="0" w:line="152" w:lineRule="exact"/>
        <w:rPr>
          <w:sz w:val="20"/>
          <w:szCs w:val="20"/>
          <w:color w:val="auto"/>
        </w:rPr>
      </w:pPr>
    </w:p>
    <w:p>
      <w:pPr>
        <w:ind w:left="60" w:right="19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 Breakthrough Therapy designation by the FDA, even if granted for any of our product candidates, may not lead to a faster development or regulatory review or approval process and it does not increase the likelihood that our product candidates will receive marketing approval.</w:t>
      </w:r>
    </w:p>
    <w:p>
      <w:pPr>
        <w:spacing w:after="0" w:line="134" w:lineRule="exact"/>
        <w:rPr>
          <w:sz w:val="20"/>
          <w:szCs w:val="20"/>
          <w:color w:val="auto"/>
        </w:rPr>
      </w:pPr>
    </w:p>
    <w:p>
      <w:pPr>
        <w:ind w:left="60" w:right="159" w:firstLine="324"/>
        <w:spacing w:after="0" w:line="253" w:lineRule="auto"/>
        <w:rPr>
          <w:sz w:val="20"/>
          <w:szCs w:val="20"/>
          <w:color w:val="auto"/>
        </w:rPr>
      </w:pPr>
      <w:r>
        <w:rPr>
          <w:rFonts w:ascii="Times New Roman" w:cs="Times New Roman" w:eastAsia="Times New Roman" w:hAnsi="Times New Roman"/>
          <w:sz w:val="18"/>
          <w:szCs w:val="18"/>
          <w:color w:val="auto"/>
        </w:rPr>
        <w:t>We obtained Breakthrough Therapy Designation for BXCL501 for the acute treatment of agitation associated with dementia, and we may seek additional Breakthrough Therapy designations for our product candidates if the clinical data support such a designation for one or more product candidates. A Breakthrough Therapy is defined as a drug or biologic that is intended, alone or in combination with one or more other drugs or biologics, to treat a serious or life-threatening disease or condition and preliminary clinical evidence indicates that the drug may demonstrate substantial improvement over existing therapies on one or more clinically significant endpoints, such as substantial treatment effects observed early in clinical development. For product candidates that have been designated as Breakthrough Therapies, interaction and communication between the FDA and the sponsor of the trial can help to identify the most efficient path for clinical development while minimizing the number of patients placed in ineffective control regimens. Product candidates designated as Breakthrough Therapies by the FDA also receive the benefits associated with Fast Track designation, including the potential for rolling review of an NDA.</w:t>
      </w:r>
    </w:p>
    <w:p>
      <w:pPr>
        <w:spacing w:after="0" w:line="151" w:lineRule="exact"/>
        <w:rPr>
          <w:sz w:val="20"/>
          <w:szCs w:val="20"/>
          <w:color w:val="auto"/>
        </w:rPr>
      </w:pPr>
    </w:p>
    <w:p>
      <w:pPr>
        <w:ind w:left="60" w:right="219" w:firstLine="324"/>
        <w:spacing w:after="0" w:line="255" w:lineRule="auto"/>
        <w:rPr>
          <w:sz w:val="20"/>
          <w:szCs w:val="20"/>
          <w:color w:val="auto"/>
        </w:rPr>
      </w:pPr>
      <w:r>
        <w:rPr>
          <w:rFonts w:ascii="Times New Roman" w:cs="Times New Roman" w:eastAsia="Times New Roman" w:hAnsi="Times New Roman"/>
          <w:sz w:val="18"/>
          <w:szCs w:val="18"/>
          <w:color w:val="auto"/>
        </w:rPr>
        <w:t>Designation as a Breakthrough Therapy is within the discretion of the FDA. Accordingly, even if we believe one of our product candidates meets the criteria for designation as a Breakthrough Therapy, the FDA may disagree and instead determine not to make such designation. In any event, the receipt of a Breakthrough Therapy designation for a product candidate may not result in a faster development process, review or approval compared to drugs considered for approval under non-expedited FDA review procedures and does not assure ultimate approval by the FDA. In addition, even if one or more of our product candidates qualify as breakthrough therapies, the FDA may later decide that the product no longer meets the conditions for qualification or decide that the period for FDA review or approval will not be shortened.</w:t>
      </w:r>
    </w:p>
    <w:p>
      <w:pPr>
        <w:spacing w:after="0" w:line="200" w:lineRule="exact"/>
        <w:rPr>
          <w:sz w:val="20"/>
          <w:szCs w:val="20"/>
          <w:color w:val="auto"/>
        </w:rPr>
      </w:pPr>
    </w:p>
    <w:p>
      <w:pPr>
        <w:spacing w:after="0" w:line="20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254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606415"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5" w:name="page86"/>
    <w:bookmarkEnd w:id="8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right="159"/>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If the FDA does not conclude that our product candidates satisfy the requirements for the 505(b)(2) regulatory approval pathway, or if the requirements for approval of any of our product candidates under Section 505(b)(2) are not as we expect, the approval pathway for our product candidates will likely take significantly longer, cost significantly more and encounter significantly greater complications and risks than anticipated, and in any case may not be successful.</w:t>
      </w:r>
    </w:p>
    <w:p>
      <w:pPr>
        <w:spacing w:after="0" w:line="156" w:lineRule="exact"/>
        <w:rPr>
          <w:sz w:val="20"/>
          <w:szCs w:val="20"/>
          <w:color w:val="auto"/>
        </w:rPr>
      </w:pPr>
    </w:p>
    <w:p>
      <w:pPr>
        <w:ind w:left="60" w:right="179" w:firstLine="324"/>
        <w:spacing w:after="0" w:line="252" w:lineRule="auto"/>
        <w:rPr>
          <w:sz w:val="20"/>
          <w:szCs w:val="20"/>
          <w:color w:val="auto"/>
        </w:rPr>
      </w:pPr>
      <w:r>
        <w:rPr>
          <w:rFonts w:ascii="Times New Roman" w:cs="Times New Roman" w:eastAsia="Times New Roman" w:hAnsi="Times New Roman"/>
          <w:sz w:val="18"/>
          <w:szCs w:val="18"/>
          <w:color w:val="auto"/>
        </w:rPr>
        <w:t>We intend to seek FDA approval through the 505(b)(2) regulatory pathway for certain of our product candidates. The Hatch-Waxman Act added Section 505(b)(2) to the Federal Food, Drug and Cosmetic Act (“FDCA”). Section 505(b)(2) permits the filing of an NDA where at least some of the information required for approval comes from studies that were not conducted by or for the applicant. If the FDA does not allow us to pursue the 505(b)(2) regulatory pathway for our product candidates as anticipated, we may need to conduct additional clinical trials, provide additional data and information and meet additional standards for regulatory approval. If this were to occur, the time and financial resources required to obtain FDA approval for our product candidates would likely substantially increase. Moreover, the inability to pursue the 505(b)(2) regulatory pathway could result in new competitive products reaching the market faster than our product candidates, which could materially adversely impact our competitive position and prospects. Even if we are allowed to pursue the 505(b)(2) regulatory pathway for a product candidate, we cannot assure you that we will receive the requisite or timely approvals for commercialization of such product candidate. In addition, we expect that our competitors will file citizens’ petitions with the FDA in an attempt to persuade the FDA that our product candidates, or the clinical studies that support their approval, contain deficiencies. Such actions by our competitors could delay or even prevent the FDA from approving any NDA that we submit under Section 505(b)(2).</w:t>
      </w:r>
    </w:p>
    <w:p>
      <w:pPr>
        <w:spacing w:after="0" w:line="153" w:lineRule="exact"/>
        <w:rPr>
          <w:sz w:val="20"/>
          <w:szCs w:val="20"/>
          <w:color w:val="auto"/>
        </w:rPr>
      </w:pPr>
    </w:p>
    <w:p>
      <w:pPr>
        <w:ind w:left="60" w:right="19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If we are required by the FDA, or similar regulatory authorities, to obtain approval (or clearance, or certification) of a companion diagnostic device in connection with approval of one of our product candidates, and we do not obtain, or face delays in obtaining approval (or clearance, or certification) of a companion diagnostic device, we will not be able to commercialize the product candidate, and our ability to generate revenue will be materially impaired</w:t>
      </w:r>
      <w:r>
        <w:rPr>
          <w:rFonts w:ascii="Times New Roman" w:cs="Times New Roman" w:eastAsia="Times New Roman" w:hAnsi="Times New Roman"/>
          <w:sz w:val="18"/>
          <w:szCs w:val="18"/>
          <w:color w:val="auto"/>
        </w:rPr>
        <w:t>.</w:t>
      </w:r>
    </w:p>
    <w:p>
      <w:pPr>
        <w:spacing w:after="0" w:line="140" w:lineRule="exact"/>
        <w:rPr>
          <w:sz w:val="20"/>
          <w:szCs w:val="20"/>
          <w:color w:val="auto"/>
        </w:rPr>
      </w:pPr>
    </w:p>
    <w:p>
      <w:pPr>
        <w:ind w:left="60" w:right="139" w:firstLine="324"/>
        <w:spacing w:after="0" w:line="254" w:lineRule="auto"/>
        <w:rPr>
          <w:sz w:val="20"/>
          <w:szCs w:val="20"/>
          <w:color w:val="auto"/>
        </w:rPr>
      </w:pPr>
      <w:r>
        <w:rPr>
          <w:rFonts w:ascii="Times New Roman" w:cs="Times New Roman" w:eastAsia="Times New Roman" w:hAnsi="Times New Roman"/>
          <w:sz w:val="18"/>
          <w:szCs w:val="18"/>
          <w:color w:val="auto"/>
        </w:rPr>
        <w:t>According to FDA guidance, if the FDA determines that a companion diagnostic device is essential to the safe and effective use of a novel therapeutic product or indication, the FDA generally will not approve the therapeutic product or new therapeutic product indication if the companion diagnostic is not also approved or cleared for that indication. If a satisfactory companion diagnostic is not commercially available, we may be required to create or obtain one that would be subject to regulatory approval requirements. For example, we may decide to collaborate with patient diagnostic companies during our clinical trial enrollment process for BXCL701 to help identify patients with tumor gene alterations that we believe may be most likely to respond to treatment with BXCL701. The process of obtaining or creating such diagnostic is time consuming and costly.</w:t>
      </w:r>
    </w:p>
    <w:p>
      <w:pPr>
        <w:spacing w:after="0" w:line="165" w:lineRule="exact"/>
        <w:rPr>
          <w:sz w:val="20"/>
          <w:szCs w:val="20"/>
          <w:color w:val="auto"/>
        </w:rPr>
      </w:pPr>
    </w:p>
    <w:p>
      <w:pPr>
        <w:ind w:left="60" w:right="199" w:firstLine="324"/>
        <w:spacing w:after="0" w:line="252" w:lineRule="auto"/>
        <w:rPr>
          <w:sz w:val="20"/>
          <w:szCs w:val="20"/>
          <w:color w:val="auto"/>
        </w:rPr>
      </w:pPr>
      <w:r>
        <w:rPr>
          <w:rFonts w:ascii="Times New Roman" w:cs="Times New Roman" w:eastAsia="Times New Roman" w:hAnsi="Times New Roman"/>
          <w:sz w:val="18"/>
          <w:szCs w:val="18"/>
          <w:color w:val="auto"/>
        </w:rPr>
        <w:t>Companion diagnostics are developed in conjunction with clinical programs for the associated product and are subject to regulation as medical devices by the FDA and comparable foreign regulatory authorities, and, to date, the FDA has generally required premarket approval of companion diagnostics for cancer therapies. Generally, when a companion diagnostic is essential to the safe and effective use of a therapeutic product, the FDA requires that the companion diagnostic be approved before or concurrent with approval of the therapeutic product and before a product can be commercialized. The approval of a companion diagnostic as part of the therapeutic product’s labeling limits the use of the therapeutic product to only those patients who express the specific genetic alteration that the companion diagnostic was developed to detect. In January 2024, the FDA announced that it intends to initiate the process to reclassify most in vitro diagnostic tests (“IVDs”) that are currently Class III into Class II, including companion diagnostic IVDs. If such reclassification efforts occur, any companion diagnostics that are the subject of the down-classification may no longer require premarket approval, but rather may be marketed pursuant to the generally less burdensome 510(k) clearance process. However, there is no assurance that any companion diagnostic required for our pharmaceutical development programs will benefit from the reclassification, or that the reclassification, even if it does occur, will result in a shorter timeline to development or marketing of the companion diagnostic.</w:t>
      </w:r>
    </w:p>
    <w:p>
      <w:pPr>
        <w:spacing w:after="0" w:line="157" w:lineRule="exact"/>
        <w:rPr>
          <w:sz w:val="20"/>
          <w:szCs w:val="20"/>
          <w:color w:val="auto"/>
        </w:rPr>
      </w:pPr>
    </w:p>
    <w:p>
      <w:pPr>
        <w:ind w:left="60" w:right="279" w:firstLine="324"/>
        <w:spacing w:after="0" w:line="258" w:lineRule="auto"/>
        <w:rPr>
          <w:sz w:val="20"/>
          <w:szCs w:val="20"/>
          <w:color w:val="auto"/>
        </w:rPr>
      </w:pPr>
      <w:r>
        <w:rPr>
          <w:rFonts w:ascii="Times New Roman" w:cs="Times New Roman" w:eastAsia="Times New Roman" w:hAnsi="Times New Roman"/>
          <w:sz w:val="18"/>
          <w:szCs w:val="18"/>
          <w:color w:val="auto"/>
        </w:rPr>
        <w:t>If the FDA, or a comparable foreign regulatory authority, requires approval (or certification or clearance) of a companion diagnostic for any of our product candidates, whether before or after the product candidate obtains marketing approval, we and/or third-party collaborators may encounter difficulties in developing and obtaining approval (or clearance, or certification) for these companion diagnostics. Any delay or failure by us or third-party collaborators to develop or obtain regulatory approval (or clearance, or certification) of a companion diagnostic could</w:t>
      </w:r>
    </w:p>
    <w:p>
      <w:pPr>
        <w:sectPr>
          <w:pgSz w:w="11900" w:h="16838" w:orient="portrait"/>
          <w:cols w:equalWidth="0" w:num="1">
            <w:col w:w="9019"/>
          </w:cols>
          <w:pgMar w:left="1440" w:top="513" w:right="1440" w:bottom="1440" w:gutter="0" w:footer="0" w:header="0"/>
        </w:sectPr>
      </w:pPr>
    </w:p>
    <w:p>
      <w:pPr>
        <w:spacing w:after="0" w:line="39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260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606415"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86" w:name="page87"/>
    <w:bookmarkEnd w:id="8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79"/>
        <w:spacing w:after="0" w:line="258" w:lineRule="auto"/>
        <w:rPr>
          <w:sz w:val="20"/>
          <w:szCs w:val="20"/>
          <w:color w:val="auto"/>
        </w:rPr>
      </w:pPr>
      <w:r>
        <w:rPr>
          <w:rFonts w:ascii="Times New Roman" w:cs="Times New Roman" w:eastAsia="Times New Roman" w:hAnsi="Times New Roman"/>
          <w:sz w:val="18"/>
          <w:szCs w:val="18"/>
          <w:color w:val="auto"/>
        </w:rPr>
        <w:t>delay or prevent approval or continued marketing of our related product candidates. We may also experience delays in developing a sustainable, reproducible and scalable manufacturing process for the companion diagnostic or in transferring that process to commercial partners or negotiating insurance reimbursement plans, all of which may prevent us from completing our clinical trials or commercializing our product candidates, if approved, on a timely or profitable basis, if at all.</w:t>
      </w:r>
    </w:p>
    <w:p>
      <w:pPr>
        <w:spacing w:after="0" w:line="156" w:lineRule="exact"/>
        <w:rPr>
          <w:sz w:val="20"/>
          <w:szCs w:val="20"/>
          <w:color w:val="auto"/>
        </w:rPr>
      </w:pPr>
    </w:p>
    <w:p>
      <w:pPr>
        <w:ind w:left="60" w:right="159" w:firstLine="324"/>
        <w:spacing w:after="0" w:line="253" w:lineRule="auto"/>
        <w:rPr>
          <w:sz w:val="20"/>
          <w:szCs w:val="20"/>
          <w:color w:val="auto"/>
        </w:rPr>
      </w:pPr>
      <w:r>
        <w:rPr>
          <w:rFonts w:ascii="Times New Roman" w:cs="Times New Roman" w:eastAsia="Times New Roman" w:hAnsi="Times New Roman"/>
          <w:sz w:val="18"/>
          <w:szCs w:val="18"/>
          <w:color w:val="auto"/>
        </w:rPr>
        <w:t>Approval, clearance or certification of companion diagnostics may be subject to further legislative or regulatory reforms notably in the EU. On May 25, 2017, the new In Vitro Medical Devices Regulation No. 2017/746 (“IVDR”) entered into force. The IVDR repeals and replaces the EU In Vitro Diagnostic Medical Devices Directive. Unlike directives, which must be implemented into the national laws of the EU member states, regulations are directly applicable (i.e., without the need for adoption of EU member states laws implementing them) in all EU member states and are intended to eliminate current differences in the regulation of medical devices among EU member states. The IVDR, among other things, is intended to establish a uniform, transparent, predictable and sustainable regulatory framework across the EU for medical devices and ensure a high level of safety and health while supporting innovation. The IVDR became effective in May 2022. However, on October 14, 2021, the European Commission proposed a “progressive” roll-out of the IVDR to prevent disruption in the supply of in vitro diagnostic medical devices. The European Parliament and Council adopted the proposed regulation on December 15, 2021. The IVDR has applied since May 26, 2022, but there is a tiered system extending the grace period for many devices (depending on their risk classification) before they have to be fully compliant with the regulation.</w:t>
      </w:r>
    </w:p>
    <w:p>
      <w:pPr>
        <w:spacing w:after="0" w:line="147" w:lineRule="exact"/>
        <w:rPr>
          <w:sz w:val="20"/>
          <w:szCs w:val="20"/>
          <w:color w:val="auto"/>
        </w:rPr>
      </w:pPr>
    </w:p>
    <w:p>
      <w:pPr>
        <w:ind w:left="60" w:right="179" w:firstLine="324"/>
        <w:spacing w:after="0" w:line="254" w:lineRule="auto"/>
        <w:rPr>
          <w:sz w:val="20"/>
          <w:szCs w:val="20"/>
          <w:color w:val="auto"/>
        </w:rPr>
      </w:pPr>
      <w:r>
        <w:rPr>
          <w:rFonts w:ascii="Times New Roman" w:cs="Times New Roman" w:eastAsia="Times New Roman" w:hAnsi="Times New Roman"/>
          <w:sz w:val="18"/>
          <w:szCs w:val="18"/>
          <w:color w:val="auto"/>
        </w:rPr>
        <w:t>The regulation of companion diagnostics in the EU is subject to further requirements since the IVDR became applicable as it introduced a new classification system for companion diagnostics. Companion diagnostics will have to undergo a conformity assessment by a notified body. Before it can issue an EU certificate, the notified body must seek a scientific opinion from the EMA on the suitability of the companion diagnostic to the medicinal product concerned if the medicinal product falls exclusively within the scope of the centralized procedure for the authorization of medicines, or the medicinal product is already authorized through the centralized procedure, or a marketing authorization (“MA”) application for the medicinal product has been submitted through the centralized procedure. For other substances, the notified body can seek the opinion from a national competent authority or the EMA.</w:t>
      </w:r>
    </w:p>
    <w:p>
      <w:pPr>
        <w:spacing w:after="0" w:line="151" w:lineRule="exact"/>
        <w:rPr>
          <w:sz w:val="20"/>
          <w:szCs w:val="20"/>
          <w:color w:val="auto"/>
        </w:rPr>
      </w:pPr>
    </w:p>
    <w:p>
      <w:pPr>
        <w:ind w:left="60" w:right="199" w:firstLine="324"/>
        <w:spacing w:after="0" w:line="266" w:lineRule="auto"/>
        <w:rPr>
          <w:sz w:val="20"/>
          <w:szCs w:val="20"/>
          <w:color w:val="auto"/>
        </w:rPr>
      </w:pPr>
      <w:r>
        <w:rPr>
          <w:rFonts w:ascii="Times New Roman" w:cs="Times New Roman" w:eastAsia="Times New Roman" w:hAnsi="Times New Roman"/>
          <w:sz w:val="18"/>
          <w:szCs w:val="18"/>
          <w:color w:val="auto"/>
        </w:rPr>
        <w:t>These modifications may make it more difficult and costly for us to obtain regulatory clearances, approvals or certifications for our companion diagnostics or to manufacture, market or distribute our products after clearance, approval or certification is obtained.</w:t>
      </w:r>
    </w:p>
    <w:p>
      <w:pPr>
        <w:spacing w:after="0" w:line="137" w:lineRule="exact"/>
        <w:rPr>
          <w:sz w:val="20"/>
          <w:szCs w:val="20"/>
          <w:color w:val="auto"/>
        </w:rPr>
      </w:pPr>
    </w:p>
    <w:p>
      <w:pPr>
        <w:ind w:left="60" w:right="219"/>
        <w:spacing w:after="0" w:line="202" w:lineRule="auto"/>
        <w:rPr>
          <w:sz w:val="20"/>
          <w:szCs w:val="20"/>
          <w:color w:val="auto"/>
        </w:rPr>
      </w:pPr>
      <w:r>
        <w:rPr>
          <w:rFonts w:ascii="Times New Roman" w:cs="Times New Roman" w:eastAsia="Times New Roman" w:hAnsi="Times New Roman"/>
          <w:sz w:val="18"/>
          <w:szCs w:val="18"/>
          <w:b w:val="1"/>
          <w:bCs w:val="1"/>
          <w:i w:val="1"/>
          <w:iCs w:val="1"/>
          <w:color w:val="auto"/>
        </w:rPr>
        <w:t>Although the FDA has approved IGALMI</w:t>
      </w:r>
      <w:r>
        <w:rPr>
          <w:rFonts w:ascii="Times New Roman" w:cs="Times New Roman" w:eastAsia="Times New Roman" w:hAnsi="Times New Roman"/>
          <w:sz w:val="26"/>
          <w:szCs w:val="26"/>
          <w:b w:val="1"/>
          <w:bCs w:val="1"/>
          <w:i w:val="1"/>
          <w:iCs w:val="1"/>
          <w:color w:val="auto"/>
          <w:vertAlign w:val="superscript"/>
        </w:rPr>
        <w:t>®</w:t>
      </w:r>
      <w:r>
        <w:rPr>
          <w:rFonts w:ascii="Times New Roman" w:cs="Times New Roman" w:eastAsia="Times New Roman" w:hAnsi="Times New Roman"/>
          <w:sz w:val="18"/>
          <w:szCs w:val="18"/>
          <w:b w:val="1"/>
          <w:bCs w:val="1"/>
          <w:i w:val="1"/>
          <w:iCs w:val="1"/>
          <w:color w:val="auto"/>
        </w:rPr>
        <w:t xml:space="preserve"> for the acute treatment of agitation associated with schizophrenia or bipolar I or II disorder, we will still face extensive and ongoing regulatory requirements and obligations for IGALMI</w:t>
      </w:r>
      <w:r>
        <w:rPr>
          <w:rFonts w:ascii="Times New Roman" w:cs="Times New Roman" w:eastAsia="Times New Roman" w:hAnsi="Times New Roman"/>
          <w:sz w:val="26"/>
          <w:szCs w:val="26"/>
          <w:b w:val="1"/>
          <w:bCs w:val="1"/>
          <w:i w:val="1"/>
          <w:iCs w:val="1"/>
          <w:color w:val="auto"/>
          <w:vertAlign w:val="superscript"/>
        </w:rPr>
        <w:t>®</w:t>
      </w:r>
      <w:r>
        <w:rPr>
          <w:rFonts w:ascii="Times New Roman" w:cs="Times New Roman" w:eastAsia="Times New Roman" w:hAnsi="Times New Roman"/>
          <w:sz w:val="18"/>
          <w:szCs w:val="18"/>
          <w:b w:val="1"/>
          <w:bCs w:val="1"/>
          <w:i w:val="1"/>
          <w:iCs w:val="1"/>
          <w:color w:val="auto"/>
        </w:rPr>
        <w:t xml:space="preserve"> and for any product candidates for which we obtain approval.</w:t>
      </w:r>
    </w:p>
    <w:p>
      <w:pPr>
        <w:spacing w:after="0" w:line="150" w:lineRule="exact"/>
        <w:rPr>
          <w:sz w:val="20"/>
          <w:szCs w:val="20"/>
          <w:color w:val="auto"/>
        </w:rPr>
      </w:pPr>
    </w:p>
    <w:p>
      <w:pPr>
        <w:ind w:left="60" w:right="139" w:firstLine="324"/>
        <w:spacing w:after="0" w:line="231" w:lineRule="auto"/>
        <w:rPr>
          <w:sz w:val="20"/>
          <w:szCs w:val="20"/>
          <w:color w:val="auto"/>
        </w:rPr>
      </w:pPr>
      <w:r>
        <w:rPr>
          <w:rFonts w:ascii="Times New Roman" w:cs="Times New Roman" w:eastAsia="Times New Roman" w:hAnsi="Times New Roman"/>
          <w:sz w:val="18"/>
          <w:szCs w:val="18"/>
          <w:color w:val="auto"/>
        </w:rPr>
        <w:t>Any regulatory approvals that we may receive for IGALMI</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or any of our product candidates will require the submission of reports to regulatory authorities and surveillance to monitor the safety and efficacy of the product, may contain significant limitations related to use restrictions for specified age groups, warnings, precautions or contraindications, and may include burdensome post-approval study or risk management requirements. For example, the FDA-approved label for IGALMI</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includes certain warnings and precautions regarding hypotension, orthostatic hypotension, bradycardia, somnolence, and QT interval prolongation. The FDA may also require a REMS to approve a product candidate, which could entail requirements for a medication guide, physician training and communication plans or additional elements to ensure safe use, such as restricted distribution methods, patient registries and other risk minimization tools.</w:t>
      </w:r>
    </w:p>
    <w:p>
      <w:pPr>
        <w:spacing w:after="0" w:line="157" w:lineRule="exact"/>
        <w:rPr>
          <w:sz w:val="20"/>
          <w:szCs w:val="20"/>
          <w:color w:val="auto"/>
        </w:rPr>
      </w:pPr>
    </w:p>
    <w:p>
      <w:pPr>
        <w:ind w:left="60" w:right="519" w:firstLine="324"/>
        <w:spacing w:after="0" w:line="254" w:lineRule="auto"/>
        <w:rPr>
          <w:sz w:val="20"/>
          <w:szCs w:val="20"/>
          <w:color w:val="auto"/>
        </w:rPr>
      </w:pPr>
      <w:r>
        <w:rPr>
          <w:rFonts w:ascii="Times New Roman" w:cs="Times New Roman" w:eastAsia="Times New Roman" w:hAnsi="Times New Roman"/>
          <w:sz w:val="17"/>
          <w:szCs w:val="17"/>
          <w:color w:val="auto"/>
        </w:rPr>
        <w:t>In addition, the manufacturing processes, labeling, packaging, distribution, AE reporting, storage, advertising, promotion, import, export and recordkeeping for IGALMI</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7"/>
          <w:szCs w:val="17"/>
          <w:color w:val="auto"/>
        </w:rPr>
        <w:t xml:space="preserve"> are and will remain subject to extensive and ongoing regulatory requirements. These requirements include submissions of safety and other post-marketing information and reports, registration, and on-going compliance with cGMPs, and GCPs for any clinical trials that we conduct post-approval. In addition, manufacturers of drug products and their facilities are subject to continual review and periodic, unannounced inspections by the FDA and other regulatory authorities for compliance with cGMP regulations and standards. If we or a regulatory authority discover previously unknown problems with a product, such as AEs of unanticipated severity or frequency, or problems with the facilities where the product is manufactured, a regulatory</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260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606415"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87" w:name="page88"/>
    <w:bookmarkEnd w:id="8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39"/>
        <w:spacing w:after="0" w:line="282" w:lineRule="auto"/>
        <w:rPr>
          <w:sz w:val="20"/>
          <w:szCs w:val="20"/>
          <w:color w:val="auto"/>
        </w:rPr>
      </w:pPr>
      <w:r>
        <w:rPr>
          <w:rFonts w:ascii="Times New Roman" w:cs="Times New Roman" w:eastAsia="Times New Roman" w:hAnsi="Times New Roman"/>
          <w:sz w:val="18"/>
          <w:szCs w:val="18"/>
          <w:color w:val="auto"/>
        </w:rPr>
        <w:t>authority may impose restrictions on that product, the manufacturing facility or us, including requiring recall or withdrawal of the product from the market or suspension of manufacturing.</w:t>
      </w:r>
    </w:p>
    <w:p>
      <w:pPr>
        <w:spacing w:after="0" w:line="135" w:lineRule="exact"/>
        <w:rPr>
          <w:sz w:val="20"/>
          <w:szCs w:val="20"/>
          <w:color w:val="auto"/>
        </w:rPr>
      </w:pPr>
    </w:p>
    <w:p>
      <w:pPr>
        <w:ind w:left="60" w:right="859" w:firstLine="324"/>
        <w:spacing w:after="0" w:line="312" w:lineRule="auto"/>
        <w:rPr>
          <w:sz w:val="20"/>
          <w:szCs w:val="20"/>
          <w:color w:val="auto"/>
        </w:rPr>
      </w:pPr>
      <w:r>
        <w:rPr>
          <w:rFonts w:ascii="Times New Roman" w:cs="Times New Roman" w:eastAsia="Times New Roman" w:hAnsi="Times New Roman"/>
          <w:sz w:val="17"/>
          <w:szCs w:val="17"/>
          <w:color w:val="auto"/>
        </w:rPr>
        <w:t>In addition, discovery of previously unknown AEs or other problems with our products, manufacturers or manufacturing processes or failure to comply with regulatory requirements, may yield various results, including:</w:t>
      </w:r>
    </w:p>
    <w:p>
      <w:pPr>
        <w:spacing w:after="0" w:line="99" w:lineRule="exact"/>
        <w:rPr>
          <w:sz w:val="20"/>
          <w:szCs w:val="20"/>
          <w:color w:val="auto"/>
        </w:rPr>
      </w:pPr>
    </w:p>
    <w:p>
      <w:pPr>
        <w:ind w:left="720" w:hanging="319"/>
        <w:spacing w:after="0"/>
        <w:tabs>
          <w:tab w:leader="none" w:pos="7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manufacturing such products;</w:t>
      </w:r>
    </w:p>
    <w:p>
      <w:pPr>
        <w:spacing w:after="0" w:line="18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labeling or marketing of products;</w:t>
      </w:r>
    </w:p>
    <w:p>
      <w:pPr>
        <w:spacing w:after="0" w:line="198"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product manufacturing, distribution or use;</w:t>
      </w:r>
    </w:p>
    <w:p>
      <w:pPr>
        <w:spacing w:after="0" w:line="18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requirements to conduct post-marketing studies or clinical trials;</w:t>
      </w:r>
    </w:p>
    <w:p>
      <w:pPr>
        <w:spacing w:after="0" w:line="18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warning letters or untitled letters;</w:t>
      </w:r>
    </w:p>
    <w:p>
      <w:pPr>
        <w:spacing w:after="0" w:line="198"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 of the products from the market;</w:t>
      </w:r>
    </w:p>
    <w:p>
      <w:pPr>
        <w:spacing w:after="0" w:line="18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to approve pending applications or supplements to approved applications that we submit;</w:t>
      </w:r>
    </w:p>
    <w:p>
      <w:pPr>
        <w:spacing w:after="0" w:line="18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recall of products;</w:t>
      </w:r>
    </w:p>
    <w:p>
      <w:pPr>
        <w:spacing w:after="0" w:line="198"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fines, restitution or disgorgement of profits or revenues;</w:t>
      </w:r>
    </w:p>
    <w:p>
      <w:pPr>
        <w:spacing w:after="0" w:line="18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suspension or withdrawal of marketing approvals;</w:t>
      </w:r>
    </w:p>
    <w:p>
      <w:pPr>
        <w:spacing w:after="0" w:line="18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to permit the import or export of our products;</w:t>
      </w:r>
    </w:p>
    <w:p>
      <w:pPr>
        <w:spacing w:after="0" w:line="198"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seizure; or</w:t>
      </w:r>
    </w:p>
    <w:p>
      <w:pPr>
        <w:spacing w:after="0" w:line="18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injunctions or the imposition of civil or criminal penalties.</w:t>
      </w:r>
    </w:p>
    <w:p>
      <w:pPr>
        <w:spacing w:after="0" w:line="185" w:lineRule="exact"/>
        <w:rPr>
          <w:sz w:val="20"/>
          <w:szCs w:val="20"/>
          <w:color w:val="auto"/>
        </w:rPr>
      </w:pPr>
    </w:p>
    <w:p>
      <w:pPr>
        <w:ind w:left="60" w:right="259" w:firstLine="324"/>
        <w:spacing w:after="0" w:line="281" w:lineRule="auto"/>
        <w:rPr>
          <w:sz w:val="20"/>
          <w:szCs w:val="20"/>
          <w:color w:val="auto"/>
        </w:rPr>
      </w:pPr>
      <w:r>
        <w:rPr>
          <w:rFonts w:ascii="Times New Roman" w:cs="Times New Roman" w:eastAsia="Times New Roman" w:hAnsi="Times New Roman"/>
          <w:sz w:val="17"/>
          <w:szCs w:val="17"/>
          <w:color w:val="auto"/>
        </w:rPr>
        <w:t>Further, the policies of the FDA and other regulatory authorities may change, and additional government regulations may be enacted that could impose extensive and ongoing regulatory requirements and obligations on any product candidate for which we obtain marketing approval. We also cannot predict the likelihood, nature or extent of government regulation that may arise from future legislation or administrative or executive action, either in the U.S. or abroad.</w:t>
      </w:r>
    </w:p>
    <w:p>
      <w:pPr>
        <w:spacing w:after="0" w:line="133" w:lineRule="exact"/>
        <w:rPr>
          <w:sz w:val="20"/>
          <w:szCs w:val="20"/>
          <w:color w:val="auto"/>
        </w:rPr>
      </w:pPr>
    </w:p>
    <w:p>
      <w:pPr>
        <w:ind w:left="60" w:right="4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FDA and other regulatory agencies actively enforce the laws and regulations prohibiting the promotion of off-label uses.</w:t>
      </w:r>
    </w:p>
    <w:p>
      <w:pPr>
        <w:spacing w:after="0" w:line="118" w:lineRule="exact"/>
        <w:rPr>
          <w:sz w:val="20"/>
          <w:szCs w:val="20"/>
          <w:color w:val="auto"/>
        </w:rPr>
      </w:pPr>
    </w:p>
    <w:p>
      <w:pPr>
        <w:ind w:left="60" w:right="199" w:firstLine="324"/>
        <w:spacing w:after="0" w:line="238" w:lineRule="auto"/>
        <w:rPr>
          <w:sz w:val="20"/>
          <w:szCs w:val="20"/>
          <w:color w:val="auto"/>
        </w:rPr>
      </w:pPr>
      <w:r>
        <w:rPr>
          <w:rFonts w:ascii="Times New Roman" w:cs="Times New Roman" w:eastAsia="Times New Roman" w:hAnsi="Times New Roman"/>
          <w:sz w:val="18"/>
          <w:szCs w:val="18"/>
          <w:color w:val="auto"/>
        </w:rPr>
        <w:t>The FDA and other regulatory authorities strictly regulate marketing, labeling, advertising and promotion of prescription drugs. These regulations include standards and restrictions for direct-to-consumer advertising, industry-sponsored scientific and educational activities, promotional activities involving the internet and off-label promotion. Any regulatory approval that the FDA or any other regulatory authority may grant is limited to those specific diseases and indications for which a product is deemed to be safe and effective. For example, the FDA-approved label for IGALMI</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is currently limited to the acute treatment of agitation associated with schizophrenia or bipolar I or II disorder in adults to be self-administrated by patients under the supervision of a health care provider.</w:t>
      </w:r>
    </w:p>
    <w:p>
      <w:pPr>
        <w:spacing w:after="0" w:line="159" w:lineRule="exact"/>
        <w:rPr>
          <w:sz w:val="20"/>
          <w:szCs w:val="20"/>
          <w:color w:val="auto"/>
        </w:rPr>
      </w:pPr>
    </w:p>
    <w:p>
      <w:pPr>
        <w:ind w:left="60" w:right="379" w:firstLine="324"/>
        <w:spacing w:after="0" w:line="255" w:lineRule="auto"/>
        <w:rPr>
          <w:sz w:val="20"/>
          <w:szCs w:val="20"/>
          <w:color w:val="auto"/>
        </w:rPr>
      </w:pPr>
      <w:r>
        <w:rPr>
          <w:rFonts w:ascii="Times New Roman" w:cs="Times New Roman" w:eastAsia="Times New Roman" w:hAnsi="Times New Roman"/>
          <w:sz w:val="17"/>
          <w:szCs w:val="17"/>
          <w:color w:val="auto"/>
        </w:rPr>
        <w:t>While physicians in the U.S. may choose, and are generally permitted, to prescribe drugs for uses that are not described in the product’s labeling and for uses that differ from those tested in clinical trials and approved by the regulatory authorities, our ability to promote the products is narrowly limited to those indications that are specifically approved by the FDA. These “off-label” uses are common across medical specialties and may constitute an appropriate treatment for some patients in varied circumstances. For example, other formulations of Dex, the active ingredient in IGALMI</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7"/>
          <w:szCs w:val="17"/>
          <w:color w:val="auto"/>
        </w:rPr>
        <w:t>, have been approved for uses beyond those authorized in IGALMI</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7"/>
          <w:szCs w:val="17"/>
          <w:color w:val="auto"/>
        </w:rPr>
        <w:t xml:space="preserve"> approved labeling, such as for use in</w:t>
      </w:r>
    </w:p>
    <w:p>
      <w:pPr>
        <w:spacing w:after="0" w:line="28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260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606415"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8" w:name="page89"/>
    <w:bookmarkEnd w:id="8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59"/>
        <w:spacing w:after="0" w:line="285" w:lineRule="auto"/>
        <w:rPr>
          <w:sz w:val="20"/>
          <w:szCs w:val="20"/>
          <w:color w:val="auto"/>
        </w:rPr>
      </w:pPr>
      <w:r>
        <w:rPr>
          <w:rFonts w:ascii="Times New Roman" w:cs="Times New Roman" w:eastAsia="Times New Roman" w:hAnsi="Times New Roman"/>
          <w:sz w:val="18"/>
          <w:szCs w:val="18"/>
          <w:color w:val="auto"/>
        </w:rPr>
        <w:t>sedation of surgical patients, and we are continuing to develop BXCL501 for potential use in patients with dementia, MDD, Alzheimer’s disease and other indications. We do not market or promote IGALMI</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for these uses.</w:t>
      </w:r>
    </w:p>
    <w:p>
      <w:pPr>
        <w:spacing w:after="0" w:line="20" w:lineRule="exact"/>
        <w:rPr>
          <w:sz w:val="20"/>
          <w:szCs w:val="20"/>
          <w:color w:val="auto"/>
        </w:rPr>
      </w:pPr>
    </w:p>
    <w:p>
      <w:pPr>
        <w:ind w:left="60" w:right="219" w:firstLine="324"/>
        <w:spacing w:after="0" w:line="239" w:lineRule="auto"/>
        <w:rPr>
          <w:sz w:val="20"/>
          <w:szCs w:val="20"/>
          <w:color w:val="auto"/>
        </w:rPr>
      </w:pPr>
      <w:r>
        <w:rPr>
          <w:rFonts w:ascii="Times New Roman" w:cs="Times New Roman" w:eastAsia="Times New Roman" w:hAnsi="Times New Roman"/>
          <w:sz w:val="18"/>
          <w:szCs w:val="18"/>
          <w:color w:val="auto"/>
        </w:rPr>
        <w:t>Regulatory authorities in the U.S. generally do not regulate the behavior of physicians in their choice of treatments. Regulatory authorities do, however, restrict communications by pharmaceutical companies on off-label use. If we are found to have promoted our products for any off-label uses, the U.S. federal government (and other foreign governments) could levy civil, criminal and/or administrative penalties, and seek fines against us. The FDA, or other regulatory authorities, could also require that we enter into a consent decree or a corporate integrity agreement, or seek a permanent injunction against us under which specified promotional conduct is monitored, changed or curtailed. If we cannot successfully manage the promotion of IGALMI</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or our product candidates, if approved, we could become subject to significant liability, which would materially adversely affect our business and financial condition.</w:t>
      </w:r>
    </w:p>
    <w:p>
      <w:pPr>
        <w:spacing w:after="0" w:line="159" w:lineRule="exact"/>
        <w:rPr>
          <w:sz w:val="20"/>
          <w:szCs w:val="20"/>
          <w:color w:val="auto"/>
        </w:rPr>
      </w:pPr>
    </w:p>
    <w:p>
      <w:pPr>
        <w:jc w:val="both"/>
        <w:ind w:left="60" w:right="5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Disruptions at the FDA and other government agencies caused by funding shortages or staffing reductions could prevent new or modified products from being developed, approved or commercialized in a timely manner or at all, which could negatively impact our business.</w:t>
      </w:r>
    </w:p>
    <w:p>
      <w:pPr>
        <w:spacing w:after="0" w:line="134" w:lineRule="exact"/>
        <w:rPr>
          <w:sz w:val="20"/>
          <w:szCs w:val="20"/>
          <w:color w:val="auto"/>
        </w:rPr>
      </w:pPr>
    </w:p>
    <w:p>
      <w:pPr>
        <w:ind w:left="60" w:right="179" w:firstLine="324"/>
        <w:spacing w:after="0" w:line="256" w:lineRule="auto"/>
        <w:rPr>
          <w:sz w:val="20"/>
          <w:szCs w:val="20"/>
          <w:color w:val="auto"/>
        </w:rPr>
      </w:pPr>
      <w:r>
        <w:rPr>
          <w:rFonts w:ascii="Times New Roman" w:cs="Times New Roman" w:eastAsia="Times New Roman" w:hAnsi="Times New Roman"/>
          <w:sz w:val="18"/>
          <w:szCs w:val="18"/>
          <w:color w:val="auto"/>
        </w:rPr>
        <w:t>The ability of the FDA and foreign regulatory authorities to review and approve new products can be affected by a variety of factors, including government budget and funding levels, statutory, regulatory and policy changes, the FDA’s or foreign regulatory authorities’ ability to hire and retain key personnel and accept the payment of user fees, and other events that may otherwise affect the FDA’s or foreign regulatory authorities’ ability to perform routine functions. Average review times at the FDA and foreign regulatory authorities have fluctuated in recent years as a result of some of these aforementioned issues.</w:t>
      </w:r>
    </w:p>
    <w:p>
      <w:pPr>
        <w:spacing w:after="0" w:line="160" w:lineRule="exact"/>
        <w:rPr>
          <w:sz w:val="20"/>
          <w:szCs w:val="20"/>
          <w:color w:val="auto"/>
        </w:rPr>
      </w:pPr>
    </w:p>
    <w:p>
      <w:pPr>
        <w:ind w:left="60" w:right="159" w:firstLine="324"/>
        <w:spacing w:after="0" w:line="256" w:lineRule="auto"/>
        <w:rPr>
          <w:sz w:val="20"/>
          <w:szCs w:val="20"/>
          <w:color w:val="auto"/>
        </w:rPr>
      </w:pPr>
      <w:r>
        <w:rPr>
          <w:rFonts w:ascii="Times New Roman" w:cs="Times New Roman" w:eastAsia="Times New Roman" w:hAnsi="Times New Roman"/>
          <w:sz w:val="18"/>
          <w:szCs w:val="18"/>
          <w:color w:val="auto"/>
        </w:rPr>
        <w:t>In April 2025, the Trump administration conducted unprecedented layoffs at several U.S. health agencies, including the FDA, the Department of Health and Human Services, the Centers for Disease Control and Prevention and the National Institutes of Health, which is expected to impact the FDA’s ability to review and approve new medicines and conduct necessary inspections. In addition, government funding of the FDA, SEC, and other government agencies on which our operations may rely, including those that fund research and development activities is subject to the political process, which is inherently fluid and unpredictable.</w:t>
      </w:r>
    </w:p>
    <w:p>
      <w:pPr>
        <w:spacing w:after="0" w:line="147" w:lineRule="exact"/>
        <w:rPr>
          <w:sz w:val="20"/>
          <w:szCs w:val="20"/>
          <w:color w:val="auto"/>
        </w:rPr>
      </w:pPr>
    </w:p>
    <w:p>
      <w:pPr>
        <w:ind w:left="60" w:right="419" w:firstLine="324"/>
        <w:spacing w:after="0" w:line="255" w:lineRule="auto"/>
        <w:rPr>
          <w:sz w:val="20"/>
          <w:szCs w:val="20"/>
          <w:color w:val="auto"/>
        </w:rPr>
      </w:pPr>
      <w:r>
        <w:rPr>
          <w:rFonts w:ascii="Times New Roman" w:cs="Times New Roman" w:eastAsia="Times New Roman" w:hAnsi="Times New Roman"/>
          <w:sz w:val="18"/>
          <w:szCs w:val="18"/>
          <w:color w:val="auto"/>
        </w:rPr>
        <w:t>To the extent the FDA’s normal operations are disrupted or delayed, for example due to travel restrictions, public health or geopolitical issues, staffing shortages, layoffs or lack of funding, the FDA may not be able to complete the necessary inspections or provide feedback in a timely manner during our clinical development or review period. If any such delays or disruptions were to occur, it could significantly impact the ability of the FDA or other regulatory authorities to timely review and process our regulatory submissions, which could have a material adverse effect on our business. Further, future government shutdowns could impact our ability to access the public markets and obtain necessary capital in order to properly capitalize and continue our operations.</w:t>
      </w:r>
    </w:p>
    <w:p>
      <w:pPr>
        <w:spacing w:after="0" w:line="144" w:lineRule="exact"/>
        <w:rPr>
          <w:sz w:val="20"/>
          <w:szCs w:val="20"/>
          <w:color w:val="auto"/>
        </w:rPr>
      </w:pPr>
    </w:p>
    <w:p>
      <w:pPr>
        <w:ind w:left="60" w:right="17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conduct certain of or portions of our clinical trials for our product candidates outside of the U.S. and the FDA may not accept data from such trials, in which case our development plans will be delayed, which could materially harm our business.</w:t>
      </w:r>
    </w:p>
    <w:p>
      <w:pPr>
        <w:spacing w:after="0" w:line="148" w:lineRule="exact"/>
        <w:rPr>
          <w:sz w:val="20"/>
          <w:szCs w:val="20"/>
          <w:color w:val="auto"/>
        </w:rPr>
      </w:pPr>
    </w:p>
    <w:p>
      <w:pPr>
        <w:ind w:left="60" w:right="159" w:firstLine="324"/>
        <w:spacing w:after="0" w:line="253" w:lineRule="auto"/>
        <w:rPr>
          <w:sz w:val="20"/>
          <w:szCs w:val="20"/>
          <w:color w:val="auto"/>
        </w:rPr>
      </w:pPr>
      <w:r>
        <w:rPr>
          <w:rFonts w:ascii="Times New Roman" w:cs="Times New Roman" w:eastAsia="Times New Roman" w:hAnsi="Times New Roman"/>
          <w:sz w:val="18"/>
          <w:szCs w:val="18"/>
          <w:color w:val="auto"/>
        </w:rPr>
        <w:t>We may choose to conduct one or more of our clinical trials or a portion of our clinical trials for our product candidates outside the U.S. The acceptance of study data from clinical trials conducted outside the U.S. or another jurisdiction by the FDA or comparable foreign regulatory authority may be subject to certain conditions or may not be accepted at all. In cases where data from foreign clinical trials are intended to serve as the sole basis for marketing approval in the U.S., the FDA will generally not approve the application on the basis of foreign data alone unless (i) the data are applicable to the U.S. population and U.S. medical practice; (ii) the trials were performed by clinical investigators of recognized competence and pursuant to GCP regulations; and (iii) the data may be considered valid without the need for an on-site inspection by the FDA, or if the FDA considers such inspection to be necessary, the FDA is able to validate the data through an on-site inspection or other appropriate means. In addition, even where the foreign study data are not intended to serve as the sole basis for approval, if the clinical trial was not otherwise subject to an IND, the FDA will not accept the data as support for an application for marketing approval unless the study was conducted in accordance with GCP requirements and the FDA is able to validate the data from the study through an on-site inspection if deemed necessary. Many foreign regulatory authorities have similar approval requirements. In</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606415"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89" w:name="page90"/>
    <w:bookmarkEnd w:id="8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59"/>
        <w:spacing w:after="0" w:line="256" w:lineRule="auto"/>
        <w:rPr>
          <w:sz w:val="20"/>
          <w:szCs w:val="20"/>
          <w:color w:val="auto"/>
        </w:rPr>
      </w:pPr>
      <w:r>
        <w:rPr>
          <w:rFonts w:ascii="Times New Roman" w:cs="Times New Roman" w:eastAsia="Times New Roman" w:hAnsi="Times New Roman"/>
          <w:sz w:val="18"/>
          <w:szCs w:val="18"/>
          <w:color w:val="auto"/>
        </w:rPr>
        <w:t>addition, such foreign trials would be subject to the applicable local laws of the foreign jurisdictions where the trials are conducted. There can be no assurance that the FDA or any comparable foreign regulatory authority will accept data from trials conducted outside of the U.S. or the applicable jurisdiction. If the FDA or any comparable foreign regulatory authority does not accept such data, it would result in the need for additional trials, which could be costly and time-consuming, and could result in current or future product candidates that we may develop not receiving approval for commercialization in the applicable jurisdiction.</w:t>
      </w:r>
    </w:p>
    <w:p>
      <w:pPr>
        <w:spacing w:after="0" w:line="156" w:lineRule="exact"/>
        <w:rPr>
          <w:sz w:val="20"/>
          <w:szCs w:val="20"/>
          <w:color w:val="auto"/>
        </w:rPr>
      </w:pPr>
    </w:p>
    <w:p>
      <w:pPr>
        <w:ind w:left="60" w:right="3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extensive regulations outside the U.S. and may not obtain marketing approvals for products in Europe and other jurisdictions.</w:t>
      </w:r>
    </w:p>
    <w:p>
      <w:pPr>
        <w:spacing w:after="0" w:line="110" w:lineRule="exact"/>
        <w:rPr>
          <w:sz w:val="20"/>
          <w:szCs w:val="20"/>
          <w:color w:val="auto"/>
        </w:rPr>
      </w:pPr>
    </w:p>
    <w:p>
      <w:pPr>
        <w:ind w:left="60" w:right="219" w:firstLine="324"/>
        <w:spacing w:after="0" w:line="239" w:lineRule="auto"/>
        <w:rPr>
          <w:sz w:val="20"/>
          <w:szCs w:val="20"/>
          <w:color w:val="auto"/>
        </w:rPr>
      </w:pPr>
      <w:r>
        <w:rPr>
          <w:rFonts w:ascii="Times New Roman" w:cs="Times New Roman" w:eastAsia="Times New Roman" w:hAnsi="Times New Roman"/>
          <w:sz w:val="18"/>
          <w:szCs w:val="18"/>
          <w:color w:val="auto"/>
        </w:rPr>
        <w:t>In addition to regulations in the U.S., should we or our collaborators pursue marketing approvals for IGALMI</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and for BXCL501, BXCL502, BXCL701, BXCL702 and our other product candidates internationally, we and our collaborators will be subject to a variety of regulations in other jurisdictions governing, among other things, clinical trials and any commercial sales and distribution of our products. Whether or not we, or our collaborators, obtain FDA approval for a product, we must obtain the requisite approvals from regulatory authorities in foreign countries prior to the commencement of clinical trials or marketing of the product in those countries. The requirements and process governing the conduct of clinical trials, product licensing, pricing and reimbursement vary from country to country.</w:t>
      </w:r>
    </w:p>
    <w:p>
      <w:pPr>
        <w:spacing w:after="0" w:line="153" w:lineRule="exact"/>
        <w:rPr>
          <w:sz w:val="20"/>
          <w:szCs w:val="20"/>
          <w:color w:val="auto"/>
        </w:rPr>
      </w:pPr>
    </w:p>
    <w:p>
      <w:pPr>
        <w:ind w:left="60" w:right="179" w:firstLine="324"/>
        <w:spacing w:after="0" w:line="237" w:lineRule="auto"/>
        <w:rPr>
          <w:sz w:val="20"/>
          <w:szCs w:val="20"/>
          <w:color w:val="auto"/>
        </w:rPr>
      </w:pPr>
      <w:r>
        <w:rPr>
          <w:rFonts w:ascii="Times New Roman" w:cs="Times New Roman" w:eastAsia="Times New Roman" w:hAnsi="Times New Roman"/>
          <w:sz w:val="18"/>
          <w:szCs w:val="18"/>
          <w:color w:val="auto"/>
        </w:rPr>
        <w:t>We expect to pursue marketing approvals for IGALMI</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and may pursue marketing approvals for BXCL501, BXCL502, BXCL701, BXCL702 and our other product candidates in Europe and other jurisdictions outside the U.S. with collaborative partners. The time and process required to obtain regulatory approvals and reimbursement in Europe and other jurisdictions may be different from those in the U.S. Also, regulatory approval in one jurisdiction does not ensure approvals in any other jurisdiction; however, negative regulatory decisions in any jurisdiction may have a negative impact on the regulatory process in other jurisdictions.</w:t>
      </w:r>
    </w:p>
    <w:p>
      <w:pPr>
        <w:spacing w:after="0" w:line="176" w:lineRule="exact"/>
        <w:rPr>
          <w:sz w:val="20"/>
          <w:szCs w:val="20"/>
          <w:color w:val="auto"/>
        </w:rPr>
      </w:pPr>
    </w:p>
    <w:p>
      <w:pPr>
        <w:ind w:left="60" w:right="199" w:firstLine="324"/>
        <w:spacing w:after="0" w:line="254" w:lineRule="auto"/>
        <w:rPr>
          <w:sz w:val="20"/>
          <w:szCs w:val="20"/>
          <w:color w:val="auto"/>
        </w:rPr>
      </w:pPr>
      <w:r>
        <w:rPr>
          <w:rFonts w:ascii="Times New Roman" w:cs="Times New Roman" w:eastAsia="Times New Roman" w:hAnsi="Times New Roman"/>
          <w:sz w:val="18"/>
          <w:szCs w:val="18"/>
          <w:color w:val="auto"/>
        </w:rPr>
        <w:t>Following a national referendum and enactment of legislation by the government of the United Kingdom (“UK”), the UK formally withdrew from the EU on January 31, 2020 and ratified a trade and cooperation agreement governing its future relationship (commonly referred to as “Brexit”). The agreement, which was applied provisionally from January 1, 2021 and entered into force on May 1, 2021, addresses trade, economic arrangements, law enforcement, judicial cooperation and a governance framework including procedures for dispute resolution, among other things. Because the agreement merely sets forth a framework in many respects and requires complex additional bilateral negotiations between the UK and the EU as both parties continue to work on the rules for implementation, significant political and economic uncertainty remains about how the precise terms of the relationship between the parties will differ from the terms before withdrawal.</w:t>
      </w:r>
    </w:p>
    <w:p>
      <w:pPr>
        <w:spacing w:after="0" w:line="148" w:lineRule="exact"/>
        <w:rPr>
          <w:sz w:val="20"/>
          <w:szCs w:val="20"/>
          <w:color w:val="auto"/>
        </w:rPr>
      </w:pPr>
    </w:p>
    <w:p>
      <w:pPr>
        <w:ind w:left="60" w:right="159" w:firstLine="324"/>
        <w:spacing w:after="0" w:line="252" w:lineRule="auto"/>
        <w:rPr>
          <w:sz w:val="20"/>
          <w:szCs w:val="20"/>
          <w:color w:val="auto"/>
        </w:rPr>
      </w:pPr>
      <w:r>
        <w:rPr>
          <w:rFonts w:ascii="Times New Roman" w:cs="Times New Roman" w:eastAsia="Times New Roman" w:hAnsi="Times New Roman"/>
          <w:sz w:val="18"/>
          <w:szCs w:val="18"/>
          <w:color w:val="auto"/>
        </w:rPr>
        <w:t>Since January 1, 2021, the UK operates under a distinct regulatory regime to the EU. EU pharmaceutical laws only apply in respect of the UK to Northern Ireland (as set out in the Protocol on Ireland/Northern Ireland). EU laws which have been transposed into UK law through secondary legislation continue to be applicable as “retained EU law”. While the UK has indicated a general intention that new laws regarding the development, manufacture and commercialization of medicinal products in the UK will align closely with EU law, there are limited detailed proposals for future regulation of medicinal products. The trade and cooperation agreement includes specific provisions concerning medicinal products, which include the mutual recognition of cGMP, inspections of manufacturing facilities for medicinal products and cGMP documents issued (such mutual recognition can be rejected by either party in certain circumstances) but does not foresee wholesale mutual recognition of UK and EU pharmaceutical regulations. For example, it is not clear to what extent the UK will adopt legislation aligned with, or similar to, the EU CTR which became applicable on January 31, 2022 and which significantly reforms the assessment and supervision processes for clinical trials throughout the EU. On January 17, 2022, the UK Medicines and Healthcare products Regulatory Agency (“MHRA”) launched an eight-week consultation on reframing the UK legislation for clinical trials which aimed to streamline clinical trials approvals, enable innovation, enhance clinical trials transparency, enable greater risk proportionality, and promote patient and public involvement in clinical trials. The MHRA responded to the consultation on March 21, 2023 and confirmed that it would bring forward changes to the legislation. The final legal texts introduced by the UK Government will ultimately determine the extent to which the UK clinical trials framework aligns with or diverges from the EU CTR. A decision by the UK not to closely align its regulations with the new approach that will be adopted in the EU may have an effect on the cost of conducting clinical trials in the UK as opposed to other countries.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260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606415"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90" w:name="page91"/>
    <w:bookmarkEnd w:id="9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39" w:firstLine="324"/>
        <w:spacing w:after="0" w:line="252" w:lineRule="auto"/>
        <w:rPr>
          <w:sz w:val="20"/>
          <w:szCs w:val="20"/>
          <w:color w:val="auto"/>
        </w:rPr>
      </w:pPr>
      <w:r>
        <w:rPr>
          <w:rFonts w:ascii="Times New Roman" w:cs="Times New Roman" w:eastAsia="Times New Roman" w:hAnsi="Times New Roman"/>
          <w:sz w:val="18"/>
          <w:szCs w:val="18"/>
          <w:color w:val="auto"/>
        </w:rPr>
        <w:t>Therefore, there remains political and economic uncertainty regarding to what extent the regulation of medicinal products will differ between the UK and the EU in the future. Any divergences will increase the cost and complexity of running our business, including with respect to the conduct of clinical trials. Brexit also materially impacted the regulatory regime with respect to the approval of our product candidates. Great Britain is no longer covered by the EU’s procedures for the grant of MAs (Northern Ireland is covered by the centralized authorization procedure and can be covered under the decentralized or mutual recognition procedures). As of January 1, 2021, all existing centralized MAs were automatically converted into UK MAs effective in Great Britain and issued with a UK MA number on January 1, 2021 (unless MA holders opted out of this scheme). A separate MA is now required to market drugs in Great Britain. It is currently unclear whether the regulator in the UK, the MHRA, is sufficiently prepared to handle the increased volume of MA applications that it is likely to receive. Any delay in obtaining, or an inability to obtain, any regulatory approvals, as a result of Brexit or otherwise, would prevent us from commercializing our product candidates in Great Britain and restrict our ability to generate revenue and achieve and sustain profitability. If any of these outcomes occur, we may be forced to restrict or delay efforts to seek regulatory approval in Great Britain for our product candidates, which could significantly and materially harm our business. Any of these factors could have a significant adverse effect on our business, financial condition, results of operations and prospects.</w:t>
      </w:r>
    </w:p>
    <w:p>
      <w:pPr>
        <w:spacing w:after="0" w:line="165" w:lineRule="exact"/>
        <w:rPr>
          <w:sz w:val="20"/>
          <w:szCs w:val="20"/>
          <w:color w:val="auto"/>
        </w:rPr>
      </w:pPr>
    </w:p>
    <w:p>
      <w:pPr>
        <w:jc w:val="both"/>
        <w:ind w:left="60" w:right="17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If we are found in violation of federal, state or foreign health care “fraud and abuse” laws, we may be required to pay significant fines and penalties, including, without limitation, debarment, suspension or exclusion from participation in federal, state or similar health care programs, which may adversely affect our business, financial condition and results of operations.</w:t>
      </w:r>
    </w:p>
    <w:p>
      <w:pPr>
        <w:spacing w:after="0" w:line="140" w:lineRule="exact"/>
        <w:rPr>
          <w:sz w:val="20"/>
          <w:szCs w:val="20"/>
          <w:color w:val="auto"/>
        </w:rPr>
      </w:pPr>
    </w:p>
    <w:p>
      <w:pPr>
        <w:ind w:left="60" w:right="179" w:firstLine="324"/>
        <w:spacing w:after="0" w:line="261" w:lineRule="auto"/>
        <w:rPr>
          <w:sz w:val="20"/>
          <w:szCs w:val="20"/>
          <w:color w:val="auto"/>
        </w:rPr>
      </w:pPr>
      <w:r>
        <w:rPr>
          <w:rFonts w:ascii="Times New Roman" w:cs="Times New Roman" w:eastAsia="Times New Roman" w:hAnsi="Times New Roman"/>
          <w:sz w:val="18"/>
          <w:szCs w:val="18"/>
          <w:color w:val="auto"/>
        </w:rPr>
        <w:t>In the U.S., we are subject to various federal and state health care “fraud and abuse” laws, including anti- kickback laws, false claims laws and other laws intended to reduce fraud and abuse in federal and state health care programs, which could affect us, and our ability to successfully commercialize our products in the U.S. We may have to comply with similar laws and regulations outside the U.S. These laws include:</w:t>
      </w:r>
    </w:p>
    <w:p>
      <w:pPr>
        <w:spacing w:after="0" w:line="139" w:lineRule="exact"/>
        <w:rPr>
          <w:sz w:val="20"/>
          <w:szCs w:val="20"/>
          <w:color w:val="auto"/>
        </w:rPr>
      </w:pPr>
    </w:p>
    <w:p>
      <w:pPr>
        <w:ind w:left="720" w:right="219" w:hanging="319"/>
        <w:spacing w:after="0" w:line="256" w:lineRule="auto"/>
        <w:tabs>
          <w:tab w:leader="none" w:pos="7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Anti-Kickback Statute makes it illegal for any person, including a prescription drug manufacturer (or a party acting on its behalf), to knowingly and willfully solicit, receive, offer or pay any remuneration that is intended to induce the referral of business, including the purchase, order or prescription of a particular drug for which payment may be made under a federal health care program, such as Medicare or Medicaid. A person or entity does not need to have actual knowledge of this statute or specific intent to violate it to have committed a violation;</w:t>
      </w:r>
    </w:p>
    <w:p>
      <w:pPr>
        <w:spacing w:after="0" w:line="160" w:lineRule="exact"/>
        <w:rPr>
          <w:rFonts w:ascii="Times New Roman" w:cs="Times New Roman" w:eastAsia="Times New Roman" w:hAnsi="Times New Roman"/>
          <w:sz w:val="18"/>
          <w:szCs w:val="18"/>
          <w:color w:val="auto"/>
        </w:rPr>
      </w:pPr>
    </w:p>
    <w:p>
      <w:pPr>
        <w:ind w:left="720" w:right="159" w:hanging="319"/>
        <w:spacing w:after="0" w:line="254" w:lineRule="auto"/>
        <w:tabs>
          <w:tab w:leader="none" w:pos="7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false claims laws prohibit anyone from knowingly and willfully presenting or causing to be presented for payment to third-party payers, including government payers, claims for reimbursed drugs or services that are false or fraudulent, claims for items or services that were not provided as claimed, or claims for medically unnecessary items or services. Cases have been brought under false claims laws alleging that off-label promotion of pharmaceutical products or the provision of kickbacks has resulted in the submission of false claims to governmental health care programs. In addition, the government may assert that a claim, including items or services resulting from a violation of the federal Anti-Kickback Statute, constitutes a false or fraudulent claim for purposes of the false claims laws. Further, private individuals have the ability to bring actions on behalf of the government under the federal False Claims Act;</w:t>
      </w:r>
    </w:p>
    <w:p>
      <w:pPr>
        <w:spacing w:after="0" w:line="147" w:lineRule="exact"/>
        <w:rPr>
          <w:rFonts w:ascii="Times New Roman" w:cs="Times New Roman" w:eastAsia="Times New Roman" w:hAnsi="Times New Roman"/>
          <w:sz w:val="18"/>
          <w:szCs w:val="18"/>
          <w:color w:val="auto"/>
        </w:rPr>
      </w:pPr>
    </w:p>
    <w:p>
      <w:pPr>
        <w:ind w:left="720" w:right="179" w:hanging="319"/>
        <w:spacing w:after="0" w:line="256" w:lineRule="auto"/>
        <w:tabs>
          <w:tab w:leader="none" w:pos="7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Health Insurance Portability and Accountability Act of 1996 (“HIPAA”) prohibits persons or entities from knowingly and willfully executing a scheme to defraud any health care benefit program, including private payers, or knowingly and willfully falsifying, concealing or covering up a material fact or making any materially false, fictitious or fraudulent statement in connection with the delivery of or payment for health care benefits, items or services. Similar to the federal Anti- Kickback Statute, a person or entity does not need to have actual knowledge of these statutes or specific intent to violate them to have committed a violation;</w:t>
      </w:r>
    </w:p>
    <w:p>
      <w:pPr>
        <w:spacing w:after="0" w:line="146" w:lineRule="exact"/>
        <w:rPr>
          <w:rFonts w:ascii="Times New Roman" w:cs="Times New Roman" w:eastAsia="Times New Roman" w:hAnsi="Times New Roman"/>
          <w:sz w:val="18"/>
          <w:szCs w:val="18"/>
          <w:color w:val="auto"/>
        </w:rPr>
      </w:pPr>
    </w:p>
    <w:p>
      <w:pPr>
        <w:ind w:left="720" w:right="159" w:hanging="319"/>
        <w:spacing w:after="0" w:line="261" w:lineRule="auto"/>
        <w:tabs>
          <w:tab w:leader="none" w:pos="7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civil monetary penalties laws, which impose civil fines for, among other things, the offering or transfer of remuneration to a Medicare or state health care program beneficiary if the person knows, or should know, it is likely to influence the beneficiary’s selection of a particular provider, practitioner, or supplier of services reimbursable by Medicare or a state health care program, unless an exception applies;</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260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606415"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91" w:name="page92"/>
    <w:bookmarkEnd w:id="9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20" w:right="539" w:hanging="319"/>
        <w:spacing w:after="0" w:line="282" w:lineRule="auto"/>
        <w:tabs>
          <w:tab w:leader="none" w:pos="7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consumer protection and unfair competition laws, which broadly regulate marketplace activities and activities that potentially harm consumers;</w:t>
      </w:r>
    </w:p>
    <w:p>
      <w:pPr>
        <w:spacing w:after="0" w:line="134" w:lineRule="exact"/>
        <w:rPr>
          <w:rFonts w:ascii="Times New Roman" w:cs="Times New Roman" w:eastAsia="Times New Roman" w:hAnsi="Times New Roman"/>
          <w:sz w:val="18"/>
          <w:szCs w:val="18"/>
          <w:color w:val="auto"/>
        </w:rPr>
      </w:pPr>
    </w:p>
    <w:p>
      <w:pPr>
        <w:ind w:left="720" w:right="159" w:hanging="319"/>
        <w:spacing w:after="0" w:line="255" w:lineRule="auto"/>
        <w:tabs>
          <w:tab w:leader="none" w:pos="7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physician sunshine requirements under the Patient Protection and Affordable Care Act, (“ACA”), which requires certain manufacturers of drugs, devices, biologics, and medical supplies to report annually to the Centers for Medicare &amp; Medicaid Services (“CMS”) information related to payments and other transfers of value to physicians (defined to include doctors, dentists, optometrists, podiatrists and chiropractors), certain non-physician practitioners (physician assistants, nurse practitioners, clinical nurse specialists, certified registered nurse anesthetists, anesthesiologist assistants, and certified nurse midwives), and teaching hospitals, and ownership and investment interests held by physicians and their immediate family members;</w:t>
      </w:r>
    </w:p>
    <w:p>
      <w:pPr>
        <w:spacing w:after="0" w:line="148" w:lineRule="exact"/>
        <w:rPr>
          <w:rFonts w:ascii="Times New Roman" w:cs="Times New Roman" w:eastAsia="Times New Roman" w:hAnsi="Times New Roman"/>
          <w:sz w:val="18"/>
          <w:szCs w:val="18"/>
          <w:color w:val="auto"/>
        </w:rPr>
      </w:pPr>
    </w:p>
    <w:p>
      <w:pPr>
        <w:ind w:left="720" w:right="219" w:hanging="319"/>
        <w:spacing w:after="0" w:line="255" w:lineRule="auto"/>
        <w:tabs>
          <w:tab w:leader="none" w:pos="7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state law equivalents of each of the above federal laws, such as anti-kickback and false claims laws, which may apply to items or services reimbursed by any third-party payor, including commercial insurers; state laws that require pharmaceutical companies to comply with the pharmaceutical industry’s voluntary compliance guidelines and the applicable compliance guidance promulgated by the federal government, or otherwise restrict payments that may be made to health care providers and other potential referral sources; and state laws that require drug manufacturers to report information related to payments and other transfers of value to physicians and other health care providers or marketing expenditures and pricing information; and</w:t>
      </w:r>
    </w:p>
    <w:p>
      <w:pPr>
        <w:spacing w:after="0" w:line="148" w:lineRule="exact"/>
        <w:rPr>
          <w:rFonts w:ascii="Times New Roman" w:cs="Times New Roman" w:eastAsia="Times New Roman" w:hAnsi="Times New Roman"/>
          <w:sz w:val="18"/>
          <w:szCs w:val="18"/>
          <w:color w:val="auto"/>
        </w:rPr>
      </w:pPr>
    </w:p>
    <w:p>
      <w:pPr>
        <w:ind w:left="720" w:right="619" w:hanging="319"/>
        <w:spacing w:after="0" w:line="282" w:lineRule="auto"/>
        <w:tabs>
          <w:tab w:leader="none" w:pos="7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European and other foreign law equivalents of each of the laws, including reporting requirements detailing interactions with and payments to health care providers.</w:t>
      </w:r>
    </w:p>
    <w:p>
      <w:pPr>
        <w:spacing w:after="0" w:line="135" w:lineRule="exact"/>
        <w:rPr>
          <w:sz w:val="20"/>
          <w:szCs w:val="20"/>
          <w:color w:val="auto"/>
        </w:rPr>
      </w:pPr>
    </w:p>
    <w:p>
      <w:pPr>
        <w:ind w:left="60" w:right="179" w:firstLine="324"/>
        <w:spacing w:after="0" w:line="253" w:lineRule="auto"/>
        <w:rPr>
          <w:sz w:val="20"/>
          <w:szCs w:val="20"/>
          <w:color w:val="auto"/>
        </w:rPr>
      </w:pPr>
      <w:r>
        <w:rPr>
          <w:rFonts w:ascii="Times New Roman" w:cs="Times New Roman" w:eastAsia="Times New Roman" w:hAnsi="Times New Roman"/>
          <w:sz w:val="18"/>
          <w:szCs w:val="18"/>
          <w:color w:val="auto"/>
        </w:rPr>
        <w:t>The risk of our being found in violation of these laws is increased by the fact that many of them have not been fully interpreted by the regulatory authorities or the courts, and their provisions are open to a variety of interpretations. Any action against us for violation of these laws, even if we successfully defend against it, could cause us to incur significant legal expenses and divert our management’s attention from the operation of our business. If our operations are found to be in violation of any of the laws described above or any other governmental laws and regulations that apply to us, we may be subject to penalties, including civil and criminal penalties, damages, fines, the curtailment or restructuring of our operations, the exclusion from participation in federal and state or foreign health care programs, additional reporting obligations and oversight if we become subject to a corporate integrity agreement or other agreement to resolve allegations of non-compliance with these laws, any of which could adversely affect our ability to market our products and adversely impact our financial results.</w:t>
      </w:r>
    </w:p>
    <w:p>
      <w:pPr>
        <w:spacing w:after="0" w:line="15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We may be unable to maintain sufficient clinical trial liability insurance.</w:t>
      </w:r>
    </w:p>
    <w:p>
      <w:pPr>
        <w:spacing w:after="0" w:line="189" w:lineRule="exact"/>
        <w:rPr>
          <w:sz w:val="20"/>
          <w:szCs w:val="20"/>
          <w:color w:val="auto"/>
        </w:rPr>
      </w:pPr>
    </w:p>
    <w:p>
      <w:pPr>
        <w:ind w:left="60" w:right="159" w:firstLine="324"/>
        <w:spacing w:after="0" w:line="243" w:lineRule="auto"/>
        <w:rPr>
          <w:sz w:val="20"/>
          <w:szCs w:val="20"/>
          <w:color w:val="auto"/>
        </w:rPr>
      </w:pPr>
      <w:r>
        <w:rPr>
          <w:rFonts w:ascii="Times New Roman" w:cs="Times New Roman" w:eastAsia="Times New Roman" w:hAnsi="Times New Roman"/>
          <w:sz w:val="18"/>
          <w:szCs w:val="18"/>
          <w:color w:val="auto"/>
        </w:rPr>
        <w:t>Our inability to retain sufficient clinical trial liability insurance at an acceptable cost to protect against potential liability claims could prevent or inhibit our ability to conduct clinical trials for product candidates we develop. We may be unable to obtain appropriate levels of such insurance. Even if we do secure clinical trial liability insurance for our programs, we may not be able to achieve sufficient levels of such insurance. Any claim that may be brought against us could result in a court judgment or settlement in an amount that is not covered, in whole or in part, by our insurance or that exceeds the limits of our insurance coverage. We have supplemented our clinical trial coverage with product liability coverage in connection with the commercial launch of IGALMI</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and expect that we would similarly supplement our coverage for any of our other product candidates that may receive regulatory approval, but we may be unable to obtain such increased coverage on acceptable terms or at all. If we are found liable in a clinical trial lawsuit or a product liability lawsuit in the future, we will have to pay any amounts awarded by a court or negotiated in a settlement that exceed our coverage limitations or that are not covered by our insurance, and we may not have, or be able to obtain, sufficient capital to pay such amounts.</w:t>
      </w:r>
    </w:p>
    <w:p>
      <w:pPr>
        <w:spacing w:after="0" w:line="200" w:lineRule="exact"/>
        <w:rPr>
          <w:sz w:val="20"/>
          <w:szCs w:val="20"/>
          <w:color w:val="auto"/>
        </w:rPr>
      </w:pPr>
    </w:p>
    <w:p>
      <w:pPr>
        <w:spacing w:after="0" w:line="21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260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606415"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92" w:name="page93"/>
    <w:bookmarkEnd w:id="9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Risks Related to Commercialization of Our Product Candidates</w:t>
      </w:r>
    </w:p>
    <w:p>
      <w:pPr>
        <w:spacing w:after="0" w:line="198" w:lineRule="exact"/>
        <w:rPr>
          <w:sz w:val="20"/>
          <w:szCs w:val="20"/>
          <w:color w:val="auto"/>
        </w:rPr>
      </w:pPr>
    </w:p>
    <w:p>
      <w:pPr>
        <w:ind w:left="60" w:right="3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products do not gain market acceptance or if we fail to accurately forecast demand or manage our inventories, our business will suffer because we might not be able to fund future operations.</w:t>
      </w:r>
    </w:p>
    <w:p>
      <w:pPr>
        <w:spacing w:after="0" w:line="118" w:lineRule="exact"/>
        <w:rPr>
          <w:sz w:val="20"/>
          <w:szCs w:val="20"/>
          <w:color w:val="auto"/>
        </w:rPr>
      </w:pPr>
    </w:p>
    <w:p>
      <w:pPr>
        <w:ind w:left="60" w:right="179" w:firstLine="324"/>
        <w:spacing w:after="0" w:line="282" w:lineRule="auto"/>
        <w:rPr>
          <w:sz w:val="20"/>
          <w:szCs w:val="20"/>
          <w:color w:val="auto"/>
        </w:rPr>
      </w:pPr>
      <w:r>
        <w:rPr>
          <w:rFonts w:ascii="Times New Roman" w:cs="Times New Roman" w:eastAsia="Times New Roman" w:hAnsi="Times New Roman"/>
          <w:sz w:val="18"/>
          <w:szCs w:val="18"/>
          <w:color w:val="auto"/>
        </w:rPr>
        <w:t>A number of factors may affect the market acceptance of our products or any other products or product candidates we develop or acquire, including, among others:</w:t>
      </w:r>
    </w:p>
    <w:p>
      <w:pPr>
        <w:spacing w:after="0" w:line="121" w:lineRule="exact"/>
        <w:rPr>
          <w:sz w:val="20"/>
          <w:szCs w:val="20"/>
          <w:color w:val="auto"/>
        </w:rPr>
      </w:pPr>
    </w:p>
    <w:p>
      <w:pPr>
        <w:ind w:left="720" w:hanging="319"/>
        <w:spacing w:after="0"/>
        <w:tabs>
          <w:tab w:leader="none" w:pos="7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of our products relative to other products for the same or similar treatments;</w:t>
      </w:r>
    </w:p>
    <w:p>
      <w:pPr>
        <w:spacing w:after="0" w:line="198" w:lineRule="exact"/>
        <w:rPr>
          <w:rFonts w:ascii="Times New Roman" w:cs="Times New Roman" w:eastAsia="Times New Roman" w:hAnsi="Times New Roman"/>
          <w:sz w:val="18"/>
          <w:szCs w:val="18"/>
          <w:color w:val="auto"/>
        </w:rPr>
      </w:pPr>
    </w:p>
    <w:p>
      <w:pPr>
        <w:ind w:left="720" w:right="519" w:hanging="319"/>
        <w:spacing w:after="0" w:line="282" w:lineRule="auto"/>
        <w:tabs>
          <w:tab w:leader="none" w:pos="7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perception by patients, physicians and other members of the health care community of the effectiveness, utility and safety of our products for their indicated applications and treatments;</w:t>
      </w:r>
    </w:p>
    <w:p>
      <w:pPr>
        <w:spacing w:after="0" w:line="12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fund our sales and marketing efforts; and</w:t>
      </w:r>
    </w:p>
    <w:p>
      <w:pPr>
        <w:spacing w:after="0" w:line="184" w:lineRule="exact"/>
        <w:rPr>
          <w:rFonts w:ascii="Times New Roman" w:cs="Times New Roman" w:eastAsia="Times New Roman" w:hAnsi="Times New Roman"/>
          <w:sz w:val="18"/>
          <w:szCs w:val="18"/>
          <w:color w:val="auto"/>
        </w:rPr>
      </w:pPr>
    </w:p>
    <w:p>
      <w:pPr>
        <w:ind w:left="720" w:right="399" w:hanging="319"/>
        <w:spacing w:after="0" w:line="282" w:lineRule="auto"/>
        <w:tabs>
          <w:tab w:leader="none" w:pos="7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effectiveness of our sales and marketing efforts, including our strategic refocus to hospital/IDNs as part of the Reprioritization.</w:t>
      </w:r>
    </w:p>
    <w:p>
      <w:pPr>
        <w:spacing w:after="0" w:line="135" w:lineRule="exact"/>
        <w:rPr>
          <w:sz w:val="20"/>
          <w:szCs w:val="20"/>
          <w:color w:val="auto"/>
        </w:rPr>
      </w:pPr>
    </w:p>
    <w:p>
      <w:pPr>
        <w:jc w:val="both"/>
        <w:ind w:left="60" w:right="359" w:firstLine="324"/>
        <w:spacing w:after="0" w:line="266" w:lineRule="auto"/>
        <w:rPr>
          <w:sz w:val="20"/>
          <w:szCs w:val="20"/>
          <w:color w:val="auto"/>
        </w:rPr>
      </w:pPr>
      <w:r>
        <w:rPr>
          <w:rFonts w:ascii="Times New Roman" w:cs="Times New Roman" w:eastAsia="Times New Roman" w:hAnsi="Times New Roman"/>
          <w:sz w:val="18"/>
          <w:szCs w:val="18"/>
          <w:color w:val="auto"/>
        </w:rPr>
        <w:t>If our products do not gain market acceptance, we may not be able to fund future operations, including developing, testing and obtaining regulatory approval for new product candidates and expanding our sales and marketing efforts for our approved products, which would cause our business to suffer.</w:t>
      </w:r>
    </w:p>
    <w:p>
      <w:pPr>
        <w:spacing w:after="0" w:line="127" w:lineRule="exact"/>
        <w:rPr>
          <w:sz w:val="20"/>
          <w:szCs w:val="20"/>
          <w:color w:val="auto"/>
        </w:rPr>
      </w:pPr>
    </w:p>
    <w:p>
      <w:pPr>
        <w:ind w:left="60" w:right="179" w:firstLine="324"/>
        <w:spacing w:after="0" w:line="217" w:lineRule="auto"/>
        <w:rPr>
          <w:sz w:val="20"/>
          <w:szCs w:val="20"/>
          <w:color w:val="auto"/>
        </w:rPr>
      </w:pPr>
      <w:r>
        <w:rPr>
          <w:rFonts w:ascii="Times New Roman" w:cs="Times New Roman" w:eastAsia="Times New Roman" w:hAnsi="Times New Roman"/>
          <w:sz w:val="18"/>
          <w:szCs w:val="18"/>
          <w:color w:val="auto"/>
        </w:rPr>
        <w:t>We plan to continue to commercialize IGALMI</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sublingual film for the acute treatment of agitation associated with schizophrenia or bipolar I or II disorder, to be self-administered by patients under the supervision of a healthcare provider, which is our only approved product to date. However, in connection with the Reprioritization, we significantly reduced the resources devoted to commercialization of IGALMI </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and it is possible that will have adverse consequences on the revenue that we are able to generate from IGALMI</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Revenues for IGALMI</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for the three months ended March 31, 2025 were $0.2 million. If our commercial products do not gain market acceptance, we may not be able to fund future operations, including developing, testing and obtaining regulatory approval for an sNDA for other BXCL501 indications, including in the at-home setting for the acute treatment of agitation (non-daily) associated with dementia due to probable Alzheimer’s disease, or for other product candidates that it may develop. Our results of operations could be materially harmed if we are unable to successfully commercialize IGALMI</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for any currently or additionally approved indications or any future product candidates that we may have approved.</w:t>
      </w:r>
    </w:p>
    <w:p>
      <w:pPr>
        <w:spacing w:after="0" w:line="168" w:lineRule="exact"/>
        <w:rPr>
          <w:sz w:val="20"/>
          <w:szCs w:val="20"/>
          <w:color w:val="auto"/>
        </w:rPr>
      </w:pPr>
    </w:p>
    <w:p>
      <w:pPr>
        <w:ind w:left="60" w:right="139" w:firstLine="324"/>
        <w:spacing w:after="0" w:line="215" w:lineRule="auto"/>
        <w:rPr>
          <w:sz w:val="20"/>
          <w:szCs w:val="20"/>
          <w:color w:val="auto"/>
        </w:rPr>
      </w:pPr>
      <w:r>
        <w:rPr>
          <w:rFonts w:ascii="Times New Roman" w:cs="Times New Roman" w:eastAsia="Times New Roman" w:hAnsi="Times New Roman"/>
          <w:sz w:val="18"/>
          <w:szCs w:val="18"/>
          <w:color w:val="auto"/>
        </w:rPr>
        <w:t>Our results of operations could be materially harmed if we are unable to accurately forecast customer demand for IGALMI</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and manage our inventory. To ensure adequate inventory supply, we must forecast inventory needs and place orders with our suppliers based on our estimates of future demand for IGALMI</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Our ability to accurately forecast demand for IGALMI</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could be negatively affected by many factors, including our failure to accurately manage our expansion strategy, product introductions by competitors, an increase or decrease in customer demand for IGALMI</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or for products of our competitors, our failure to accurately forecast customer acceptance of new products, unanticipated changes in general market conditions or regulatory matters, and weakening of economic conditions or consumer confidence in future economic conditions. Inventory levels in excess of customer demand may result in inventory write-downs or write-offs, which would cause our gross margin to be adversely affected and could impair the strength of our brand. Conversely, if we underestimate customer demand for IGALMI</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our third-party contract manufacturer may not be able to deliver products to meet our requirements, and this could result in damage to our reputation and customer relationships. In addition, if we experience a significant increase in demand, additional supplies of raw materials or additional manufacturing capacity may not be available when required on terms that are acceptable to us, or at all, or suppliers or our third-party manufacturers may not be able to allocate sufficient capacity in order to meet our increased requirements, which could have an adverse effect on our ability to meet customer demand for IGALMI</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and our results of operations.</w:t>
      </w:r>
    </w:p>
    <w:p>
      <w:pPr>
        <w:spacing w:after="0" w:line="184" w:lineRule="exact"/>
        <w:rPr>
          <w:sz w:val="20"/>
          <w:szCs w:val="20"/>
          <w:color w:val="auto"/>
        </w:rPr>
      </w:pPr>
    </w:p>
    <w:p>
      <w:pPr>
        <w:ind w:left="60" w:right="299" w:firstLine="324"/>
        <w:spacing w:after="0" w:line="261" w:lineRule="auto"/>
        <w:rPr>
          <w:sz w:val="20"/>
          <w:szCs w:val="20"/>
          <w:color w:val="auto"/>
        </w:rPr>
      </w:pPr>
      <w:r>
        <w:rPr>
          <w:rFonts w:ascii="Times New Roman" w:cs="Times New Roman" w:eastAsia="Times New Roman" w:hAnsi="Times New Roman"/>
          <w:sz w:val="18"/>
          <w:szCs w:val="18"/>
          <w:color w:val="auto"/>
        </w:rPr>
        <w:t>We seek to maintain sufficient levels of inventory to protect ourselves from supply interruptions. As a result, we are subject to the risk that a portion of our inventory will become obsolete or expire, which could have a material adverse effect on our earnings and cash flows due to the resulting costs associated with the inventory impairment charges and costs required to replace such inventory.</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606415"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93" w:name="page94"/>
    <w:bookmarkEnd w:id="9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both"/>
        <w:ind w:left="60" w:right="139"/>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Our estimated number of episodes of agitation and our corresponding estimated total addressable market are subject to inherent challenges and uncertainties. If we have overestimated the number of episodes or the size of our total addressable market for our current and potential future products or product candidates, or if any approval that we obtain is based on a narrower definition of the patient population, our revenue and ability to achieve profitability may be harmed.</w:t>
      </w:r>
    </w:p>
    <w:p>
      <w:pPr>
        <w:spacing w:after="0" w:line="224" w:lineRule="exact"/>
        <w:rPr>
          <w:sz w:val="20"/>
          <w:szCs w:val="20"/>
          <w:color w:val="auto"/>
        </w:rPr>
      </w:pPr>
    </w:p>
    <w:p>
      <w:pPr>
        <w:ind w:left="60" w:right="139" w:firstLine="324"/>
        <w:spacing w:after="0" w:line="251" w:lineRule="auto"/>
        <w:rPr>
          <w:sz w:val="20"/>
          <w:szCs w:val="20"/>
          <w:color w:val="auto"/>
        </w:rPr>
      </w:pPr>
      <w:r>
        <w:rPr>
          <w:rFonts w:ascii="Times New Roman" w:cs="Times New Roman" w:eastAsia="Times New Roman" w:hAnsi="Times New Roman"/>
          <w:sz w:val="18"/>
          <w:szCs w:val="18"/>
          <w:color w:val="auto"/>
        </w:rPr>
        <w:t>We have based our potential market opportunity on a number of internal and third-party estimates and resources, including, without limitation, management’s estimates and research, as well as industry and general publications and research, surveys and studies conducted by third parties, which may be incorrect. Our estimated potential market opportunity is based on estimates of episodes of agitation across our indications, and these estimated episodes of agitation are also based on internal and third-party estimates and market resources using data self-reported by patients. The conditions supporting our assumptions or estimates and the market data supporting these assumptions and estimates may change at any time or otherwise be inaccurate, thereby reducing the predictive accuracy of these underlying factors. Our total addressable market will ultimately depend upon, among other things, the number of actual treatable episodes, the diagnosis criteria included in the final label for each of our product candidates, if approved for sale for these indications, acceptance by the medical community and patient access, drug pricing and reimbursement. The number of patients and treatable episodes in the United States and other major markets and elsewhere may turn out to be materially lower than expected, the number of treatable episodes may be significantly fewer than total episodes experienced, patients may not be otherwise amenable to treatment with our product candidates or new patients may become increasingly difficult to identify or gain access to, all of which would harm our results of operations and our business. For example, our estimates of the monthly average episodes for patients diagnosed with bipolar disorder and patients diagnosed with schizophrenia and, therefore, our estimated total addressable market are based on third-party market surveys which differ from an observational study in the EU of inhaled loxapine for the treatment of agitation in patients with schizophrenia or bipolar disorder conducted which found that only 40% of enrolled patients reported agitation episodes in the six-month study period. If third-party or internally generated data prove to be inaccurate or we make errors in our assumptions based on that data, our total addressable market may be meaningfully smaller than we have estimated, our future growth opportunities and sales growth may be impaired, any of which could have a material adverse effect on our business, financial condition and results of operations.</w:t>
      </w:r>
    </w:p>
    <w:p>
      <w:pPr>
        <w:spacing w:after="0" w:line="161" w:lineRule="exact"/>
        <w:rPr>
          <w:sz w:val="20"/>
          <w:szCs w:val="20"/>
          <w:color w:val="auto"/>
        </w:rPr>
      </w:pPr>
    </w:p>
    <w:p>
      <w:pPr>
        <w:ind w:left="60" w:right="179"/>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We obtained Orphan Drug Designation for BXCL701 for the treatment of pancreatic cancer, melanoma, acute myeloid leukemia and soft tissue sarcoma and we may seek Orphan Drug Designation for other indications or product candidates, and we may be unable to maintain the benefits associated with Orphan Drug Designation, including the potential for market exclusivity, and may not receive Orphan Drug Designation for other indications or for our other product candidates.</w:t>
      </w:r>
    </w:p>
    <w:p>
      <w:pPr>
        <w:spacing w:after="0" w:line="156" w:lineRule="exact"/>
        <w:rPr>
          <w:sz w:val="20"/>
          <w:szCs w:val="20"/>
          <w:color w:val="auto"/>
        </w:rPr>
      </w:pPr>
    </w:p>
    <w:p>
      <w:pPr>
        <w:ind w:left="60" w:right="139" w:firstLine="324"/>
        <w:spacing w:after="0" w:line="253" w:lineRule="auto"/>
        <w:rPr>
          <w:sz w:val="20"/>
          <w:szCs w:val="20"/>
          <w:color w:val="auto"/>
        </w:rPr>
      </w:pPr>
      <w:r>
        <w:rPr>
          <w:rFonts w:ascii="Times New Roman" w:cs="Times New Roman" w:eastAsia="Times New Roman" w:hAnsi="Times New Roman"/>
          <w:sz w:val="18"/>
          <w:szCs w:val="18"/>
          <w:color w:val="auto"/>
        </w:rPr>
        <w:t>Regulatory authorities in some jurisdictions, including the U.S. and EU, may designate drugs intended for relatively small patient populations as orphan drugs. Under the Orphan Drug Act, the FDA may designate a drug as an orphan drug if it is a drug intended to treat a rare disease or condition, which is generally defined as a patient population of fewer than 200,000 individuals in the U.S., or a patient population greater than 200,000 individuals in the U.S. where there is no reasonable expectation that the cost of developing the drug will be recovered from sales in the U.S. In the EU, orphan drug designation is granted by the European Commission based on a scientific opinion of the EMA’s Committee for Orphan Medicinal Products. A medicinal product may be designated as orphan if its sponsor can establish that (i) the product is intended for the diagnosis, prevention or treatment of a life-threatening or chronically debilitating condition; (ii) either (a) such condition affects no more than 5 in 10,000 persons in the EU when the application is made, or (b) the product, without the benefits derived from orphan status, would not generate sufficient return in the EU to justify investment; and (iii) there exists no satisfactory method of diagnosis, prevention or treatment of such condition authorized for marketing in the EU, or if such a method exists, the medicinal product will be of significant benefit to those affected by the condition. The application for orphan designation must be submitted before the application for MA.</w:t>
      </w:r>
    </w:p>
    <w:p>
      <w:pPr>
        <w:spacing w:after="0" w:line="147" w:lineRule="exact"/>
        <w:rPr>
          <w:sz w:val="20"/>
          <w:szCs w:val="20"/>
          <w:color w:val="auto"/>
        </w:rPr>
      </w:pPr>
    </w:p>
    <w:p>
      <w:pPr>
        <w:ind w:left="60" w:right="219" w:firstLine="324"/>
        <w:spacing w:after="0" w:line="261" w:lineRule="auto"/>
        <w:rPr>
          <w:sz w:val="20"/>
          <w:szCs w:val="20"/>
          <w:color w:val="auto"/>
        </w:rPr>
      </w:pPr>
      <w:r>
        <w:rPr>
          <w:rFonts w:ascii="Times New Roman" w:cs="Times New Roman" w:eastAsia="Times New Roman" w:hAnsi="Times New Roman"/>
          <w:sz w:val="18"/>
          <w:szCs w:val="18"/>
          <w:color w:val="auto"/>
        </w:rPr>
        <w:t>In the U.S., orphan drug designation entitles a party to financial incentives such as opportunities for grant funding towards clinical trial costs, tax advantages and user-fee waivers. In addition, if a product that has orphan drug designation subsequently receives the first FDA approval for the disease or condition for which it has such designation, the product is entitled to orphan drug exclusivity. Orphan drug exclusivity in the U.S. provides that the FDA may not</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260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606415"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94" w:name="page95"/>
    <w:bookmarkEnd w:id="9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179"/>
        <w:spacing w:after="0" w:line="261" w:lineRule="auto"/>
        <w:rPr>
          <w:sz w:val="20"/>
          <w:szCs w:val="20"/>
          <w:color w:val="auto"/>
        </w:rPr>
      </w:pPr>
      <w:r>
        <w:rPr>
          <w:rFonts w:ascii="Times New Roman" w:cs="Times New Roman" w:eastAsia="Times New Roman" w:hAnsi="Times New Roman"/>
          <w:sz w:val="18"/>
          <w:szCs w:val="18"/>
          <w:color w:val="auto"/>
        </w:rPr>
        <w:t>approve any other applications, including a full NDA, to market the same drug for the same disease or condition for seven years. In limited circumstances, the applicable exclusivity period is 10 years in the EU. The EU exclusivity period can be reduced to six years if, at the end of the fifth year, it is established that a drug no longer meets the criteria for orphan drug designation or if the drug is sufficiently profitable so that market exclusivity is no longer justified.</w:t>
      </w:r>
    </w:p>
    <w:p>
      <w:pPr>
        <w:spacing w:after="0" w:line="153" w:lineRule="exact"/>
        <w:rPr>
          <w:sz w:val="20"/>
          <w:szCs w:val="20"/>
          <w:color w:val="auto"/>
        </w:rPr>
      </w:pPr>
    </w:p>
    <w:p>
      <w:pPr>
        <w:ind w:left="60" w:right="199" w:firstLine="324"/>
        <w:spacing w:after="0" w:line="258" w:lineRule="auto"/>
        <w:rPr>
          <w:sz w:val="20"/>
          <w:szCs w:val="20"/>
          <w:color w:val="auto"/>
        </w:rPr>
      </w:pPr>
      <w:r>
        <w:rPr>
          <w:rFonts w:ascii="Times New Roman" w:cs="Times New Roman" w:eastAsia="Times New Roman" w:hAnsi="Times New Roman"/>
          <w:sz w:val="18"/>
          <w:szCs w:val="18"/>
          <w:color w:val="auto"/>
        </w:rPr>
        <w:t>In January 2021, the FDA granted Orphan Drug Designation to BXCL701 for the treatment of soft tissue sarcoma. In September 2019, the FDA granted Orphan Drug Designation to BXCL701 for the treatment of acute myeloid leukemia. Prior to 2019, the FDA granted Orphan Drug Designation to BXCL701 for the treatment of pancreatic cancer and melanoma. We may seek Orphan Drug Designations for BXCL701 in other diseases or conditions or for other product candidates. There can be no assurances that we will be able to obtain such designations.</w:t>
      </w:r>
    </w:p>
    <w:p>
      <w:pPr>
        <w:spacing w:after="0" w:line="143" w:lineRule="exact"/>
        <w:rPr>
          <w:sz w:val="20"/>
          <w:szCs w:val="20"/>
          <w:color w:val="auto"/>
        </w:rPr>
      </w:pPr>
    </w:p>
    <w:p>
      <w:pPr>
        <w:ind w:left="60" w:right="139" w:firstLine="324"/>
        <w:spacing w:after="0" w:line="252" w:lineRule="auto"/>
        <w:rPr>
          <w:sz w:val="20"/>
          <w:szCs w:val="20"/>
          <w:color w:val="auto"/>
        </w:rPr>
      </w:pPr>
      <w:r>
        <w:rPr>
          <w:rFonts w:ascii="Times New Roman" w:cs="Times New Roman" w:eastAsia="Times New Roman" w:hAnsi="Times New Roman"/>
          <w:sz w:val="18"/>
          <w:szCs w:val="18"/>
          <w:color w:val="auto"/>
        </w:rPr>
        <w:t>Even if we, or any future collaborators, obtain orphan drug designation for a product candidate, we, or they, may not be able to obtain or maintain orphan drug exclusivity for that product candidate. We may not be the first to obtain marketing approval of any product candidate for which we have obtained orphan drug designation for the orphan-designated indication due to the uncertainties associated with developing pharmaceutical products, and it is possible that another company also holding orphan drug designation for the same product candidate will receive marketing approval for the same disease or condition before we do. If that were to happen, our applications for that disease or condition may not be approved until the competing company’s period of exclusivity expires. In addition, exclusive marketing rights in the U.S. and abroad may be limited if we seek approval for an indication broader than the orphan-designated disease or condition or may be lost if the FDA or foreign regulatory authorities later determines that the request for designation was materially defective or if we are unable to assure sufficient quantities of the product to meet the needs of patients with the rare disease or condition. Further, even if we, or any future collaborators, obtain orphan drug exclusivity for a product, that exclusivity may not effectively protect the product from competition because different drugs with different active ingredients may be approved for the same disease or condition. Even after an orphan drug is approved, the FDA or foreign regulatory authorities can subsequently approve the same drug with the same active ingredient for the same condition if the FDA or foreign regulatory authorities conclude that the later drug is clinically superior in that it is shown to be safer, more effective or makes a major contribution to patient care or the manufacturer of the product with orphan exclusivity is unable to maintain sufficient product quantity. Orphan drug designation neither shortens the development or regulatory review time of a drug, nor gives the drug any advantage in the regulatory review or approval process and does not prevent competitors from obtaining approval of the same product candidate as ours for indications other than those in which we have been granted orphan drug designation.</w:t>
      </w:r>
    </w:p>
    <w:p>
      <w:pPr>
        <w:spacing w:after="0" w:line="145" w:lineRule="exact"/>
        <w:rPr>
          <w:sz w:val="20"/>
          <w:szCs w:val="20"/>
          <w:color w:val="auto"/>
        </w:rPr>
      </w:pPr>
    </w:p>
    <w:p>
      <w:pPr>
        <w:ind w:left="60" w:right="619"/>
        <w:spacing w:after="0" w:line="288"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develop satisfactory sales and marketing capabilities, we may not succeed in commercializing IGALMI</w:t>
      </w:r>
      <w:r>
        <w:rPr>
          <w:rFonts w:ascii="Times New Roman" w:cs="Times New Roman" w:eastAsia="Times New Roman" w:hAnsi="Times New Roman"/>
          <w:sz w:val="26"/>
          <w:szCs w:val="26"/>
          <w:b w:val="1"/>
          <w:bCs w:val="1"/>
          <w:i w:val="1"/>
          <w:iCs w:val="1"/>
          <w:color w:val="auto"/>
          <w:vertAlign w:val="superscript"/>
        </w:rPr>
        <w:t>®</w:t>
      </w:r>
      <w:r>
        <w:rPr>
          <w:rFonts w:ascii="Times New Roman" w:cs="Times New Roman" w:eastAsia="Times New Roman" w:hAnsi="Times New Roman"/>
          <w:sz w:val="18"/>
          <w:szCs w:val="18"/>
          <w:b w:val="1"/>
          <w:bCs w:val="1"/>
          <w:i w:val="1"/>
          <w:iCs w:val="1"/>
          <w:color w:val="auto"/>
        </w:rPr>
        <w:t xml:space="preserve"> or any product candidate for which we may obtain regulatory approval.</w:t>
      </w:r>
    </w:p>
    <w:p>
      <w:pPr>
        <w:spacing w:after="0" w:line="18" w:lineRule="exact"/>
        <w:rPr>
          <w:sz w:val="20"/>
          <w:szCs w:val="20"/>
          <w:color w:val="auto"/>
        </w:rPr>
      </w:pPr>
    </w:p>
    <w:p>
      <w:pPr>
        <w:ind w:left="60" w:right="179" w:firstLine="324"/>
        <w:spacing w:after="0"/>
        <w:rPr>
          <w:sz w:val="20"/>
          <w:szCs w:val="20"/>
          <w:color w:val="auto"/>
        </w:rPr>
      </w:pPr>
      <w:r>
        <w:rPr>
          <w:rFonts w:ascii="Times New Roman" w:cs="Times New Roman" w:eastAsia="Times New Roman" w:hAnsi="Times New Roman"/>
          <w:sz w:val="18"/>
          <w:szCs w:val="18"/>
          <w:color w:val="auto"/>
        </w:rPr>
        <w:t>We have limited experience in marketing and selling drug products. We have not entered into arrangements for the sale and marketing of IGALMI</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BXCL501, BXCL502, BXCL701, BXCL702 or any other product candidate. Typically, pharmaceutical companies would employ groups of sales representatives and associated sales and marketing staff numbering in the hundreds to thousands of individuals to call on the large number of physicians and hospitals. Following our Reprioritization, we may need to rebuild a commercial sales and marketing team if we seek to modify our commercial strategy for IGALMI</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or initiate commercial sales for any product candidate in the future, which will likely require significant cost. We may seek to collaborate with a third-party to market our drugs or may seek to market and sell our drugs by ourselves. If we seek to collaborate with a third-party, we cannot be sure that a collaborative agreement can be reached on terms acceptable to us. We may also need to hire additional personnel skilled in marketing and sales for our direct marketing and selling efforts. We cannot be sure that we will be able to acquire, or establish third-party relationships to provide, any or all of these marketing and sales capabilities. The maintenance and expansion of our direct sales force or establishment of a contract sales force, or a combination thereof, as applicable, to market our products is expensive and time-consuming and could delay any product launch. In addition, reputational harm from the Reprioritization may adversely impact our efforts to hire personnel skilled in marketing and sales. Further, we can give no assurances that we will be able to maintain a direct and/or contract sales force for any period of time or that our sales efforts will be sufficient to grow our revenues or that our sales efforts will ever lead to profits. A direct sales force has in the past subjected and may in the future subject us to higher fixed costs than those of companies that market competing products through independent third parties, due to the costs that we bear associated with employee benefits, training, and managing sales personnel. As a result, we could be at a competitive disadvantage. Additionally, these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1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606415"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95" w:name="page96"/>
    <w:bookmarkEnd w:id="9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459"/>
        <w:spacing w:after="0" w:line="282" w:lineRule="auto"/>
        <w:rPr>
          <w:sz w:val="20"/>
          <w:szCs w:val="20"/>
          <w:color w:val="auto"/>
        </w:rPr>
      </w:pPr>
      <w:r>
        <w:rPr>
          <w:rFonts w:ascii="Times New Roman" w:cs="Times New Roman" w:eastAsia="Times New Roman" w:hAnsi="Times New Roman"/>
          <w:sz w:val="18"/>
          <w:szCs w:val="18"/>
          <w:color w:val="auto"/>
        </w:rPr>
        <w:t>fixed costs may slow our ability to reduce costs if needed, which could have a material adverse effect on our business, financial condition, and results of operations.</w:t>
      </w:r>
    </w:p>
    <w:p>
      <w:pPr>
        <w:spacing w:after="0" w:line="1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We operate in a highly competitive and rapidly changing industry.</w:t>
      </w:r>
    </w:p>
    <w:p>
      <w:pPr>
        <w:spacing w:after="0" w:line="189" w:lineRule="exact"/>
        <w:rPr>
          <w:sz w:val="20"/>
          <w:szCs w:val="20"/>
          <w:color w:val="auto"/>
        </w:rPr>
      </w:pPr>
    </w:p>
    <w:p>
      <w:pPr>
        <w:ind w:left="60" w:right="299" w:firstLine="324"/>
        <w:spacing w:after="0" w:line="255" w:lineRule="auto"/>
        <w:rPr>
          <w:sz w:val="20"/>
          <w:szCs w:val="20"/>
          <w:color w:val="auto"/>
        </w:rPr>
      </w:pPr>
      <w:r>
        <w:rPr>
          <w:rFonts w:ascii="Times New Roman" w:cs="Times New Roman" w:eastAsia="Times New Roman" w:hAnsi="Times New Roman"/>
          <w:sz w:val="18"/>
          <w:szCs w:val="18"/>
          <w:color w:val="auto"/>
        </w:rPr>
        <w:t>Biopharmaceutical product development is highly competitive and subject to rapid and significant technological advancements. Our success is highly dependent upon our ability to in-license, acquire, develop and obtain regulatory approval for new and innovative products on a cost-effective basis and to market them successfully. In doing so, we face and will continue to face intense competition from a variety of businesses, including large, fully integrated, well-established pharmaceutical companies who already possess a large share of the market, specialty pharmaceutical and biopharmaceutical companies, academic institutions, government agencies and other private and public research institutions in the U.S., the EU and other jurisdictions.</w:t>
      </w:r>
    </w:p>
    <w:p>
      <w:pPr>
        <w:spacing w:after="0" w:line="148" w:lineRule="exact"/>
        <w:rPr>
          <w:sz w:val="20"/>
          <w:szCs w:val="20"/>
          <w:color w:val="auto"/>
        </w:rPr>
      </w:pPr>
    </w:p>
    <w:p>
      <w:pPr>
        <w:ind w:left="60" w:right="239" w:firstLine="324"/>
        <w:spacing w:after="0" w:line="255" w:lineRule="auto"/>
        <w:rPr>
          <w:sz w:val="20"/>
          <w:szCs w:val="20"/>
          <w:color w:val="auto"/>
        </w:rPr>
      </w:pPr>
      <w:r>
        <w:rPr>
          <w:rFonts w:ascii="Times New Roman" w:cs="Times New Roman" w:eastAsia="Times New Roman" w:hAnsi="Times New Roman"/>
          <w:sz w:val="18"/>
          <w:szCs w:val="18"/>
          <w:color w:val="auto"/>
        </w:rPr>
        <w:t>Many of the companies against which we are competing or against which we may compete in the future have significantly greater financial resources and expertise in research and development, manufacturing, preclinical testing, conducting clinical trials, obtaining regulatory approvals and marketing approved drugs than we do. These third parties compete with us in recruiting and retaining qualified scientific and management personnel, establishing clinical trial sites and patient registration for clinical trials, as well as in acquiring technologies complementary to, or necessary for, our programs. Mergers and acquisitions in the biopharmaceutical industry could result in even more resources being concentrated among a small number of our competitors.</w:t>
      </w:r>
    </w:p>
    <w:p>
      <w:pPr>
        <w:spacing w:after="0" w:line="162" w:lineRule="exact"/>
        <w:rPr>
          <w:sz w:val="20"/>
          <w:szCs w:val="20"/>
          <w:color w:val="auto"/>
        </w:rPr>
      </w:pPr>
    </w:p>
    <w:p>
      <w:pPr>
        <w:ind w:left="60" w:right="279" w:firstLine="324"/>
        <w:spacing w:after="0" w:line="261" w:lineRule="auto"/>
        <w:rPr>
          <w:sz w:val="20"/>
          <w:szCs w:val="20"/>
          <w:color w:val="auto"/>
        </w:rPr>
      </w:pPr>
      <w:r>
        <w:rPr>
          <w:rFonts w:ascii="Times New Roman" w:cs="Times New Roman" w:eastAsia="Times New Roman" w:hAnsi="Times New Roman"/>
          <w:sz w:val="18"/>
          <w:szCs w:val="18"/>
          <w:color w:val="auto"/>
        </w:rPr>
        <w:t>Competition may further increase as a result of advances in the commercial applicability of technologies and greater availability of capital for investment in these industries. Our competitors may succeed in developing, acquiring or licensing, on an exclusive basis, products that are more effective or less costly than any product candidate that we may develop.</w:t>
      </w:r>
    </w:p>
    <w:p>
      <w:pPr>
        <w:spacing w:after="0" w:line="139" w:lineRule="exact"/>
        <w:rPr>
          <w:sz w:val="20"/>
          <w:szCs w:val="20"/>
          <w:color w:val="auto"/>
        </w:rPr>
      </w:pPr>
    </w:p>
    <w:p>
      <w:pPr>
        <w:ind w:left="60" w:right="299" w:firstLine="324"/>
        <w:spacing w:after="0" w:line="256" w:lineRule="auto"/>
        <w:rPr>
          <w:sz w:val="20"/>
          <w:szCs w:val="20"/>
          <w:color w:val="auto"/>
        </w:rPr>
      </w:pPr>
      <w:r>
        <w:rPr>
          <w:rFonts w:ascii="Times New Roman" w:cs="Times New Roman" w:eastAsia="Times New Roman" w:hAnsi="Times New Roman"/>
          <w:sz w:val="18"/>
          <w:szCs w:val="18"/>
          <w:color w:val="auto"/>
        </w:rPr>
        <w:t>Established biopharmaceutical companies may invest heavily to accelerate discovery and development of novel compounds or to in-license novel compounds that could make our product candidates less competitive. In addition, any new product that competes with an approved product must demonstrate compelling advantages in efficacy, convenience, tolerability and safety to overcome price competition and to be commercially successful. Accordingly, our competitors may succeed in obtaining patent protection, discovering, developing, receiving FDA approval for or commercializing drugs before we do, which would have an adverse impact on our business and results of operations.</w:t>
      </w:r>
    </w:p>
    <w:p>
      <w:pPr>
        <w:spacing w:after="0" w:line="147" w:lineRule="exact"/>
        <w:rPr>
          <w:sz w:val="20"/>
          <w:szCs w:val="20"/>
          <w:color w:val="auto"/>
        </w:rPr>
      </w:pPr>
    </w:p>
    <w:p>
      <w:pPr>
        <w:jc w:val="both"/>
        <w:ind w:left="60" w:right="239" w:firstLine="324"/>
        <w:spacing w:after="0" w:line="266" w:lineRule="auto"/>
        <w:rPr>
          <w:sz w:val="20"/>
          <w:szCs w:val="20"/>
          <w:color w:val="auto"/>
        </w:rPr>
      </w:pPr>
      <w:r>
        <w:rPr>
          <w:rFonts w:ascii="Times New Roman" w:cs="Times New Roman" w:eastAsia="Times New Roman" w:hAnsi="Times New Roman"/>
          <w:sz w:val="18"/>
          <w:szCs w:val="18"/>
          <w:color w:val="auto"/>
        </w:rPr>
        <w:t>The availability of our competitors’ products could limit the demand and the price we are able to charge for products and product candidates, if any, that we commercialize. The inability to compete with existing or subsequently introduced drugs would harm our business, financial condition and results of operations.</w:t>
      </w:r>
    </w:p>
    <w:p>
      <w:pPr>
        <w:spacing w:after="0" w:line="137" w:lineRule="exact"/>
        <w:rPr>
          <w:sz w:val="20"/>
          <w:szCs w:val="20"/>
          <w:color w:val="auto"/>
        </w:rPr>
      </w:pPr>
    </w:p>
    <w:p>
      <w:pPr>
        <w:ind w:left="60" w:right="599"/>
        <w:spacing w:after="0" w:line="228" w:lineRule="auto"/>
        <w:rPr>
          <w:sz w:val="20"/>
          <w:szCs w:val="20"/>
          <w:color w:val="auto"/>
        </w:rPr>
      </w:pPr>
      <w:r>
        <w:rPr>
          <w:rFonts w:ascii="Times New Roman" w:cs="Times New Roman" w:eastAsia="Times New Roman" w:hAnsi="Times New Roman"/>
          <w:sz w:val="18"/>
          <w:szCs w:val="18"/>
          <w:b w:val="1"/>
          <w:bCs w:val="1"/>
          <w:i w:val="1"/>
          <w:iCs w:val="1"/>
          <w:color w:val="auto"/>
        </w:rPr>
        <w:t>Although we obtained FDA approval for IGALMI</w:t>
      </w:r>
      <w:r>
        <w:rPr>
          <w:rFonts w:ascii="Times New Roman" w:cs="Times New Roman" w:eastAsia="Times New Roman" w:hAnsi="Times New Roman"/>
          <w:sz w:val="26"/>
          <w:szCs w:val="26"/>
          <w:b w:val="1"/>
          <w:bCs w:val="1"/>
          <w:i w:val="1"/>
          <w:iCs w:val="1"/>
          <w:color w:val="auto"/>
          <w:vertAlign w:val="superscript"/>
        </w:rPr>
        <w:t>®</w:t>
      </w:r>
      <w:r>
        <w:rPr>
          <w:rFonts w:ascii="Times New Roman" w:cs="Times New Roman" w:eastAsia="Times New Roman" w:hAnsi="Times New Roman"/>
          <w:sz w:val="18"/>
          <w:szCs w:val="18"/>
          <w:b w:val="1"/>
          <w:bCs w:val="1"/>
          <w:i w:val="1"/>
          <w:iCs w:val="1"/>
          <w:color w:val="auto"/>
        </w:rPr>
        <w:t>, our products and product candidates may not be accepted by physicians or the medical community in general, and there may be insufficient insurance coverage and reimbursement.</w:t>
      </w:r>
    </w:p>
    <w:p>
      <w:pPr>
        <w:spacing w:after="0" w:line="150" w:lineRule="exact"/>
        <w:rPr>
          <w:sz w:val="20"/>
          <w:szCs w:val="20"/>
          <w:color w:val="auto"/>
        </w:rPr>
      </w:pPr>
    </w:p>
    <w:p>
      <w:pPr>
        <w:ind w:left="60" w:right="259" w:firstLine="324"/>
        <w:spacing w:after="0" w:line="226" w:lineRule="auto"/>
        <w:rPr>
          <w:sz w:val="20"/>
          <w:szCs w:val="20"/>
          <w:color w:val="auto"/>
        </w:rPr>
      </w:pPr>
      <w:r>
        <w:rPr>
          <w:rFonts w:ascii="Times New Roman" w:cs="Times New Roman" w:eastAsia="Times New Roman" w:hAnsi="Times New Roman"/>
          <w:sz w:val="18"/>
          <w:szCs w:val="18"/>
          <w:color w:val="auto"/>
        </w:rPr>
        <w:t>There can be no assurance that IGALMI</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or BXCL501, BXCL502, BXCL701, BXCL702 and our other product candidates or any other product candidate successfully developed by us, independently or with partners, if approved, will be accepted by physicians, hospitals and other health care facilities. IGALMI</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competes, and BXCL501, BXCL502, BXCL701, BXCL702 and any future product candidates we develop will compete, with a number of products manufactured and marketed by major pharmaceutical and biotechnology companies. The degree of market acceptance of IGALMI</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and any drugs we develop depends on a number of factors, including:</w:t>
      </w:r>
    </w:p>
    <w:p>
      <w:pPr>
        <w:spacing w:after="0" w:line="50" w:lineRule="exact"/>
        <w:rPr>
          <w:sz w:val="20"/>
          <w:szCs w:val="20"/>
          <w:color w:val="auto"/>
        </w:rPr>
      </w:pPr>
    </w:p>
    <w:p>
      <w:pPr>
        <w:ind w:left="720" w:hanging="319"/>
        <w:spacing w:after="0"/>
        <w:tabs>
          <w:tab w:leader="none" w:pos="7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demonstration of the clinical efficacy and safety of our products and product candidates;</w:t>
      </w:r>
    </w:p>
    <w:p>
      <w:pPr>
        <w:spacing w:after="0" w:line="198"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timing of market approval and commercial launch of our products and product candidates;</w:t>
      </w:r>
    </w:p>
    <w:p>
      <w:pPr>
        <w:spacing w:after="0" w:line="18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clinical indication(s) for which our products and product candidates are approved;</w:t>
      </w:r>
    </w:p>
    <w:p>
      <w:pPr>
        <w:spacing w:after="0" w:line="18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label and package insert requirements;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260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5606415"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96" w:name="page97"/>
    <w:bookmarkEnd w:id="9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20" w:hanging="319"/>
        <w:spacing w:after="0"/>
        <w:tabs>
          <w:tab w:leader="none" w:pos="7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advantages and disadvantages of our products and product candidates compared to existing therapies;</w:t>
      </w:r>
    </w:p>
    <w:p>
      <w:pPr>
        <w:spacing w:after="0" w:line="198"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continued interest in and growth of the market for anti-cancer or anti-agitation drugs;</w:t>
      </w:r>
    </w:p>
    <w:p>
      <w:pPr>
        <w:spacing w:after="0" w:line="18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strength of sales, marketing, and distribution support;</w:t>
      </w:r>
    </w:p>
    <w:p>
      <w:pPr>
        <w:spacing w:after="0" w:line="18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pricing in absolute terms and relative to alternative treatments;</w:t>
      </w:r>
    </w:p>
    <w:p>
      <w:pPr>
        <w:spacing w:after="0" w:line="198"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changes in health care laws, regulations, and medical policies; and</w:t>
      </w:r>
    </w:p>
    <w:p>
      <w:pPr>
        <w:spacing w:after="0" w:line="184" w:lineRule="exact"/>
        <w:rPr>
          <w:rFonts w:ascii="Times New Roman" w:cs="Times New Roman" w:eastAsia="Times New Roman" w:hAnsi="Times New Roman"/>
          <w:sz w:val="18"/>
          <w:szCs w:val="18"/>
          <w:color w:val="auto"/>
        </w:rPr>
      </w:pPr>
    </w:p>
    <w:p>
      <w:pPr>
        <w:ind w:left="720" w:right="959" w:hanging="319"/>
        <w:spacing w:after="0" w:line="282" w:lineRule="auto"/>
        <w:tabs>
          <w:tab w:leader="none" w:pos="7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availability of coverage and reimbursement in select jurisdictions, and future changes to coverage and reimbursement policies of government and third-party payors.</w:t>
      </w:r>
    </w:p>
    <w:p>
      <w:pPr>
        <w:spacing w:after="0" w:line="113" w:lineRule="exact"/>
        <w:rPr>
          <w:sz w:val="20"/>
          <w:szCs w:val="20"/>
          <w:color w:val="auto"/>
        </w:rPr>
      </w:pPr>
    </w:p>
    <w:p>
      <w:pPr>
        <w:ind w:left="60" w:right="159" w:firstLine="324"/>
        <w:spacing w:after="0" w:line="217" w:lineRule="auto"/>
        <w:rPr>
          <w:sz w:val="20"/>
          <w:szCs w:val="20"/>
          <w:color w:val="auto"/>
        </w:rPr>
      </w:pPr>
      <w:r>
        <w:rPr>
          <w:rFonts w:ascii="Times New Roman" w:cs="Times New Roman" w:eastAsia="Times New Roman" w:hAnsi="Times New Roman"/>
          <w:sz w:val="18"/>
          <w:szCs w:val="18"/>
          <w:color w:val="auto"/>
        </w:rPr>
        <w:t>Significant uncertainty exists as to the coverage and reimbursement status of IGALMI</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or any product candidate for which we obtain regulatory approval. In the U.S. and other countries, sales of IGALMI</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and any other products for which we receive regulatory approval for commercial sale will depend in part on the availability of coverage and reimbursement from third-party payors. Third-party payors include government health administrative authorities, such as Medicaid and Medicare, managed care providers, private health insurers and other organizations.</w:t>
      </w:r>
    </w:p>
    <w:p>
      <w:pPr>
        <w:spacing w:after="0" w:line="175" w:lineRule="exact"/>
        <w:rPr>
          <w:sz w:val="20"/>
          <w:szCs w:val="20"/>
          <w:color w:val="auto"/>
        </w:rPr>
      </w:pPr>
    </w:p>
    <w:p>
      <w:pPr>
        <w:ind w:left="60" w:right="159" w:firstLine="324"/>
        <w:spacing w:after="0" w:line="231" w:lineRule="auto"/>
        <w:rPr>
          <w:sz w:val="20"/>
          <w:szCs w:val="20"/>
          <w:color w:val="auto"/>
        </w:rPr>
      </w:pPr>
      <w:r>
        <w:rPr>
          <w:rFonts w:ascii="Times New Roman" w:cs="Times New Roman" w:eastAsia="Times New Roman" w:hAnsi="Times New Roman"/>
          <w:sz w:val="18"/>
          <w:szCs w:val="18"/>
          <w:color w:val="auto"/>
        </w:rPr>
        <w:t>Third-party payors are increasingly challenging the prices charged for medical products and services. It will be time consuming and expensive for us to go through the process of seeking coverage and reimbursement from Medicare and private payors. IGALMI</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and any other products for which we receive regulatory approval may not be considered cost-effective, and coverage and reimbursement may not be available or sufficient to allow us to sell our proposed products on a profitable basis. Further federal, state and foreign government proposals and health care reforms are likely which could limit the prices that can be charged for IGALMI</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and the product candidates that we develop and may further limit our commercial opportunities. Our results of operations could be materially adversely affected by proposed health care reforms, by the Inflation Reduction Act and other drug pricing legislation in the U.S., by the possible effect of such current or future legislation on amounts that private insurers will pay and by other health care reforms that may be enacted or adopted in the future.</w:t>
      </w:r>
    </w:p>
    <w:p>
      <w:pPr>
        <w:spacing w:after="0" w:line="16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Health care reform measures could hinder or prevent our product candidates’ commercial success.</w:t>
      </w:r>
    </w:p>
    <w:p>
      <w:pPr>
        <w:spacing w:after="0" w:line="189" w:lineRule="exact"/>
        <w:rPr>
          <w:sz w:val="20"/>
          <w:szCs w:val="20"/>
          <w:color w:val="auto"/>
        </w:rPr>
      </w:pPr>
    </w:p>
    <w:p>
      <w:pPr>
        <w:ind w:left="60" w:right="179" w:firstLine="324"/>
        <w:spacing w:after="0" w:line="238" w:lineRule="auto"/>
        <w:rPr>
          <w:sz w:val="20"/>
          <w:szCs w:val="20"/>
          <w:color w:val="auto"/>
        </w:rPr>
      </w:pPr>
      <w:r>
        <w:rPr>
          <w:rFonts w:ascii="Times New Roman" w:cs="Times New Roman" w:eastAsia="Times New Roman" w:hAnsi="Times New Roman"/>
          <w:sz w:val="18"/>
          <w:szCs w:val="18"/>
          <w:color w:val="auto"/>
        </w:rPr>
        <w:t>The U.S. government and other governments have shown significant interest in pursuing health care reform. Any government-adopted reform measures could adversely impact the pricing of health care products and services in the U.S. or internationally and the amount of reimbursement available from governmental agencies or other third-party payors for IGALMI</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and the product candidates that we develop. The continuing efforts of the U.S. and foreign governments, insurance companies, managed care organizations and other payors of health care services to contain or reduce health care costs may adversely affect our ability to set prices for our products, which we believe are fair, and our ability to generate revenues and achieve and maintain profitability.</w:t>
      </w:r>
    </w:p>
    <w:p>
      <w:pPr>
        <w:spacing w:after="0" w:line="173" w:lineRule="exact"/>
        <w:rPr>
          <w:sz w:val="20"/>
          <w:szCs w:val="20"/>
          <w:color w:val="auto"/>
        </w:rPr>
      </w:pPr>
    </w:p>
    <w:p>
      <w:pPr>
        <w:ind w:left="60" w:right="219" w:firstLine="324"/>
        <w:spacing w:after="0" w:line="254" w:lineRule="auto"/>
        <w:rPr>
          <w:sz w:val="20"/>
          <w:szCs w:val="20"/>
          <w:color w:val="auto"/>
        </w:rPr>
      </w:pPr>
      <w:r>
        <w:rPr>
          <w:rFonts w:ascii="Times New Roman" w:cs="Times New Roman" w:eastAsia="Times New Roman" w:hAnsi="Times New Roman"/>
          <w:sz w:val="18"/>
          <w:szCs w:val="18"/>
          <w:color w:val="auto"/>
        </w:rPr>
        <w:t>New laws, regulations and judicial decisions, or new interpretations of existing laws, regulations and decisions, that relate to health care availability, methods of delivery or payment for products and services, or sales, marketing or pricing, may limit our potential revenue, and we may need to revise our research and development programs. The pricing and reimbursement environment may change in the future and become more challenging due to several reasons, including policies advanced by the current executive administration in the U.S., new health care legislation or fiscal challenges faced by government health administration authorities. Specifically, in both the U.S. and some foreign jurisdictions, there have been a number of legislative and regulatory proposals to change the health care system in ways that could affect our ability to sell our products profitably.</w:t>
      </w:r>
    </w:p>
    <w:p>
      <w:pPr>
        <w:spacing w:after="0" w:line="151" w:lineRule="exact"/>
        <w:rPr>
          <w:sz w:val="20"/>
          <w:szCs w:val="20"/>
          <w:color w:val="auto"/>
        </w:rPr>
      </w:pPr>
    </w:p>
    <w:p>
      <w:pPr>
        <w:ind w:left="60" w:right="159" w:firstLine="324"/>
        <w:spacing w:after="0" w:line="256" w:lineRule="auto"/>
        <w:rPr>
          <w:sz w:val="20"/>
          <w:szCs w:val="20"/>
          <w:color w:val="auto"/>
        </w:rPr>
      </w:pPr>
      <w:r>
        <w:rPr>
          <w:rFonts w:ascii="Times New Roman" w:cs="Times New Roman" w:eastAsia="Times New Roman" w:hAnsi="Times New Roman"/>
          <w:sz w:val="18"/>
          <w:szCs w:val="18"/>
          <w:color w:val="auto"/>
        </w:rPr>
        <w:t>For example, in the U.S., the ACA, which was enacted in 2010, has substantially changed the way health care is financed by both government health plans and private insurers, and significantly impacts the pharmaceutical industry. For example, the ACA imposed a non-deductible excise tax on pharmaceutical manufacturers or importers that sell branded prescription drugs to government programs. In addition, as part of the ACA’s provisions closing a funding gap that existed in the Medicare Part D prescription drug program, manufacturers are required to provide a discount on branded prescription drugs for drugs provided to certain beneficiaries who fall within the “donut hole.” Similarly, the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260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5606415"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97" w:name="page98"/>
    <w:bookmarkEnd w:id="9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19"/>
        <w:spacing w:after="0" w:line="261" w:lineRule="auto"/>
        <w:rPr>
          <w:sz w:val="20"/>
          <w:szCs w:val="20"/>
          <w:color w:val="auto"/>
        </w:rPr>
      </w:pPr>
      <w:r>
        <w:rPr>
          <w:rFonts w:ascii="Times New Roman" w:cs="Times New Roman" w:eastAsia="Times New Roman" w:hAnsi="Times New Roman"/>
          <w:sz w:val="18"/>
          <w:szCs w:val="18"/>
          <w:color w:val="auto"/>
        </w:rPr>
        <w:t>ACA increased the level of Medicaid rebates payable by manufacturers of brand-name drugs from 15.1% to 23.1% of the average manufacturer price and required collection of rebates for drugs paid by Medicaid managed care organizations. The ACA also included changes to the Public Health Service’s 340B drug pricing program (the “340B program”) including expansion of the list of eligible covered entities that may purchase drugs under the program.</w:t>
      </w:r>
    </w:p>
    <w:p>
      <w:pPr>
        <w:spacing w:after="0" w:line="153" w:lineRule="exact"/>
        <w:rPr>
          <w:sz w:val="20"/>
          <w:szCs w:val="20"/>
          <w:color w:val="auto"/>
        </w:rPr>
      </w:pPr>
    </w:p>
    <w:p>
      <w:pPr>
        <w:ind w:left="60" w:right="259" w:firstLine="324"/>
        <w:spacing w:after="0" w:line="261" w:lineRule="auto"/>
        <w:rPr>
          <w:sz w:val="20"/>
          <w:szCs w:val="20"/>
          <w:color w:val="auto"/>
        </w:rPr>
      </w:pPr>
      <w:r>
        <w:rPr>
          <w:rFonts w:ascii="Times New Roman" w:cs="Times New Roman" w:eastAsia="Times New Roman" w:hAnsi="Times New Roman"/>
          <w:sz w:val="18"/>
          <w:szCs w:val="18"/>
          <w:color w:val="auto"/>
        </w:rPr>
        <w:t>Since its enactment, there have been judicial, executive and Congressional challenges to certain aspects of the ACA. On June 17, 2021, the U.S. Supreme Court dismissed the most recent judicial challenge to the ACA brought by several states without specifically ruling on the constitutionality of the ACA. Thus, the ACA will remain in effect in its current form.</w:t>
      </w:r>
    </w:p>
    <w:p>
      <w:pPr>
        <w:spacing w:after="0" w:line="139" w:lineRule="exact"/>
        <w:rPr>
          <w:sz w:val="20"/>
          <w:szCs w:val="20"/>
          <w:color w:val="auto"/>
        </w:rPr>
      </w:pPr>
    </w:p>
    <w:p>
      <w:pPr>
        <w:ind w:left="60" w:right="159" w:firstLine="324"/>
        <w:spacing w:after="0" w:line="254" w:lineRule="auto"/>
        <w:rPr>
          <w:sz w:val="20"/>
          <w:szCs w:val="20"/>
          <w:color w:val="auto"/>
        </w:rPr>
      </w:pPr>
      <w:r>
        <w:rPr>
          <w:rFonts w:ascii="Times New Roman" w:cs="Times New Roman" w:eastAsia="Times New Roman" w:hAnsi="Times New Roman"/>
          <w:sz w:val="18"/>
          <w:szCs w:val="18"/>
          <w:color w:val="auto"/>
        </w:rPr>
        <w:t>In addition, other legislative changes have been proposed and adopted in the U.S. since the ACA was enacted. These changes include the Budget Control Act of 2011, which resulted in aggregate reductions of Medicare payments to providers, which went into effect on April 1, 2013, and, due to subsequent legislative amendments to the statute, will remain in effect through 2032, unless additional Congressional action is taken. Furthermore, the American Taxpayer Relief Act of 2012, further reduced Medicare payments to several types of providers, including hospitals, and increased the statute of limitations period for the government to recover overpayments to providers from three to five years. More recently, on March 11, 2021, President Biden signed the American Rescue Plan Act of 2021 into law, which eliminates the statutory Medicaid drug rebate cap, beginning January 1, 2024.</w:t>
      </w:r>
    </w:p>
    <w:p>
      <w:pPr>
        <w:spacing w:after="0" w:line="151" w:lineRule="exact"/>
        <w:rPr>
          <w:sz w:val="20"/>
          <w:szCs w:val="20"/>
          <w:color w:val="auto"/>
        </w:rPr>
      </w:pPr>
    </w:p>
    <w:p>
      <w:pPr>
        <w:ind w:left="60" w:right="159" w:firstLine="324"/>
        <w:spacing w:after="0" w:line="253" w:lineRule="auto"/>
        <w:rPr>
          <w:sz w:val="20"/>
          <w:szCs w:val="20"/>
          <w:color w:val="auto"/>
        </w:rPr>
      </w:pPr>
      <w:r>
        <w:rPr>
          <w:rFonts w:ascii="Times New Roman" w:cs="Times New Roman" w:eastAsia="Times New Roman" w:hAnsi="Times New Roman"/>
          <w:sz w:val="18"/>
          <w:szCs w:val="18"/>
          <w:color w:val="auto"/>
        </w:rPr>
        <w:t>Most significantly, on August 16, 2022, President Biden signed the Inflation Reduction Act of 2022 (“IRA”) into law. This statute marks the most significant action by Congress with respect to the pharmaceutical industry since adoption of the ACA in 2010. Among other things, the IRA requires manufacturers of certain drugs to engage in price negotiations with Medicare (beginning in 2026), with prices that can be negotiated subject to a cap; imposes rebates under Medicare Part B and Medicare Part D to penalize price increases that outpace inflation (first due in 2023); and replaces the Part D coverage gap discount program with a new discounting program (beginning in 2025). The IRA permits the Secretary of the Department of Health and Human Services (“HHS”) to implement many of these provisions through guidance, as opposed to regulation, for the initial years. On August 29, 2023, HHS announced the list of the first ten drugs that will be subject to price negotiations. HHS has issued and will continue to issue guidance implementing the IRA, although the Medicare drug price negotiation program is currently subject to legal challenges. While the impact of the IRA on the pharmaceutical industry and our business cannot yet be fully determined, it is likely to be significant.</w:t>
      </w:r>
    </w:p>
    <w:p>
      <w:pPr>
        <w:spacing w:after="0" w:line="165" w:lineRule="exact"/>
        <w:rPr>
          <w:sz w:val="20"/>
          <w:szCs w:val="20"/>
          <w:color w:val="auto"/>
        </w:rPr>
      </w:pPr>
    </w:p>
    <w:p>
      <w:pPr>
        <w:ind w:left="60" w:right="179" w:firstLine="324"/>
        <w:spacing w:after="0" w:line="254" w:lineRule="auto"/>
        <w:rPr>
          <w:sz w:val="20"/>
          <w:szCs w:val="20"/>
          <w:color w:val="auto"/>
        </w:rPr>
      </w:pPr>
      <w:r>
        <w:rPr>
          <w:rFonts w:ascii="Times New Roman" w:cs="Times New Roman" w:eastAsia="Times New Roman" w:hAnsi="Times New Roman"/>
          <w:sz w:val="18"/>
          <w:szCs w:val="18"/>
          <w:color w:val="auto"/>
        </w:rPr>
        <w:t>The cost of prescription pharmaceuticals in the U.S. will likely continue to be the subject of considerable discussion. Members of Congress and the Biden Administration have indicated they will continue to pursue further legislative or administrative measures to control prescription drug costs. There have been several Congressional inquiries, as well as legislative and regulatory initiatives and executive orders designed to, among other things, bring more transparency to product pricing, review the relationship between pricing and manufacturer patient programs, and reform government program reimbursement methodologies for drug products. We cannot predict with certainty what impact any federal or state health reforms will have on us, but such changes could impose new or more stringent regulatory requirements on our activities or result in reduced reimbursement for our products, any of which could adversely affect our business, results of operations and financial condition.</w:t>
      </w:r>
    </w:p>
    <w:p>
      <w:pPr>
        <w:spacing w:after="0" w:line="148" w:lineRule="exact"/>
        <w:rPr>
          <w:sz w:val="20"/>
          <w:szCs w:val="20"/>
          <w:color w:val="auto"/>
        </w:rPr>
      </w:pPr>
    </w:p>
    <w:p>
      <w:pPr>
        <w:ind w:left="60" w:right="199" w:firstLine="324"/>
        <w:spacing w:after="0" w:line="269" w:lineRule="auto"/>
        <w:rPr>
          <w:sz w:val="20"/>
          <w:szCs w:val="20"/>
          <w:color w:val="auto"/>
        </w:rPr>
      </w:pPr>
      <w:r>
        <w:rPr>
          <w:rFonts w:ascii="Times New Roman" w:cs="Times New Roman" w:eastAsia="Times New Roman" w:hAnsi="Times New Roman"/>
          <w:sz w:val="17"/>
          <w:szCs w:val="17"/>
          <w:color w:val="auto"/>
        </w:rPr>
        <w:t>Individual states in the U.S. continue to consider and have enacted legislation to limit the growth of health care costs, including the cost of prescription drugs and combination products. A number of states have either implemented or are considering implementation of drug price transparency legislation that may prevent or limit our ability to take price increases at certain rates or frequencies. Requirements under such laws include advance notice of planned price increases, reporting price increase amounts and factors considered in taking such increases, wholesale acquisition cost information disclosure to prescribers, purchasers, and state agencies, and new product notice and reporting. Such legislation could limit the price or payment for certain drugs, and a number of states are authorized to impose civil monetary penalties or pursue other enforcement mechanisms against manufacturers who fail to comply with drug price transparency requirements, including the untimely, inaccurate, or incomplete reporting of drug pricing information. If we are found to have violated state law requirements, we may become subject to penalties or other enforcement mechanisms, which could have a material adverse effect on our business. Furthermore, there has been increased interest by third-party payors and governmental authorities in reference pricing systems and publication of discounts and list prices.</w:t>
      </w:r>
    </w:p>
    <w:p>
      <w:pPr>
        <w:sectPr>
          <w:pgSz w:w="11900" w:h="16838" w:orient="portrait"/>
          <w:cols w:equalWidth="0" w:num="1">
            <w:col w:w="9019"/>
          </w:cols>
          <w:pgMar w:left="1440" w:top="513" w:right="1440" w:bottom="1440" w:gutter="0" w:footer="0" w:header="0"/>
        </w:sectPr>
      </w:pPr>
    </w:p>
    <w:p>
      <w:pPr>
        <w:spacing w:after="0" w:line="39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254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5606415"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98" w:name="page99"/>
    <w:bookmarkEnd w:id="9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99" w:firstLine="324"/>
        <w:spacing w:after="0" w:line="239" w:lineRule="auto"/>
        <w:rPr>
          <w:sz w:val="20"/>
          <w:szCs w:val="20"/>
          <w:color w:val="auto"/>
        </w:rPr>
      </w:pPr>
      <w:r>
        <w:rPr>
          <w:rFonts w:ascii="Times New Roman" w:cs="Times New Roman" w:eastAsia="Times New Roman" w:hAnsi="Times New Roman"/>
          <w:sz w:val="18"/>
          <w:szCs w:val="18"/>
          <w:color w:val="auto"/>
        </w:rPr>
        <w:t>It is likely that federal and state legislatures within the U.S. and foreign governments will continue to consider changes to existing health care legislation. We cannot predict the reform initiatives that may be adopted in the future or whether initiatives that have been adopted will be repealed or modified. The continuing efforts of governments, insurance companies, managed care organizations and other payors of health care services to contain or reduce costs of health care may adversely affect the demand for IGALMI</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and any other drug products for which we may obtain regulatory approval, our ability to set a price that we believe is fair for our products, our ability to obtain adequate coverage and reimbursement approval for a product, our ability to generate revenues and achieve or maintain profitability, and the level of taxes that we are required to pay.</w:t>
      </w:r>
    </w:p>
    <w:p>
      <w:pPr>
        <w:spacing w:after="0" w:line="176" w:lineRule="exact"/>
        <w:rPr>
          <w:sz w:val="20"/>
          <w:szCs w:val="20"/>
          <w:color w:val="auto"/>
        </w:rPr>
      </w:pPr>
    </w:p>
    <w:p>
      <w:pPr>
        <w:ind w:left="60" w:right="199" w:firstLine="324"/>
        <w:spacing w:after="0" w:line="253" w:lineRule="auto"/>
        <w:rPr>
          <w:sz w:val="20"/>
          <w:szCs w:val="20"/>
          <w:color w:val="auto"/>
        </w:rPr>
      </w:pPr>
      <w:r>
        <w:rPr>
          <w:rFonts w:ascii="Times New Roman" w:cs="Times New Roman" w:eastAsia="Times New Roman" w:hAnsi="Times New Roman"/>
          <w:sz w:val="18"/>
          <w:szCs w:val="18"/>
          <w:color w:val="auto"/>
        </w:rPr>
        <w:t>In the EU, similar developments may affect our ability to profitably commercialize our product candidates, if approved. In addition to continuing pressure on prices and cost containment measures, legislative developments at the EU or member state level may result in significant additional requirements or obstacles that may increase our operating costs. The delivery of healthcare in the EU, including the establishment and operation of health services and the pricing and reimbursement of medicines, is almost exclusively a matter for national, rather than EU, law and policy. National governments and health service providers have different priorities and approaches to the delivery of health care and the pricing and reimbursement of products in that context. In general, however, the healthcare budgetary constraints in most EU member states have resulted in restrictions on the pricing and reimbursement of medicines by relevant health service providers. Coupled with ever-increasing EU and national regulatory burdens on those wishing to develop and market products, this could prevent or delay marketing approval of our product candidates, restrict or regulate post-approval activities and affect our ability to commercialize our product candidates, if approved. In markets outside of the U.S. and EU, reimbursement and healthcare payment systems vary significantly by country, and many countries have instituted price ceilings on specific products and therapies.</w:t>
      </w:r>
    </w:p>
    <w:p>
      <w:pPr>
        <w:spacing w:after="0" w:line="147" w:lineRule="exact"/>
        <w:rPr>
          <w:sz w:val="20"/>
          <w:szCs w:val="20"/>
          <w:color w:val="auto"/>
        </w:rPr>
      </w:pPr>
    </w:p>
    <w:p>
      <w:pPr>
        <w:ind w:left="60" w:right="179" w:firstLine="324"/>
        <w:spacing w:after="0" w:line="253" w:lineRule="auto"/>
        <w:rPr>
          <w:sz w:val="20"/>
          <w:szCs w:val="20"/>
          <w:color w:val="auto"/>
        </w:rPr>
      </w:pPr>
      <w:r>
        <w:rPr>
          <w:rFonts w:ascii="Times New Roman" w:cs="Times New Roman" w:eastAsia="Times New Roman" w:hAnsi="Times New Roman"/>
          <w:sz w:val="18"/>
          <w:szCs w:val="18"/>
          <w:color w:val="auto"/>
        </w:rPr>
        <w:t>On December 13, 2021, Regulation No 2021/2282 on Health Technology Assessment (“HTA”) amending Directive 2011/24/EU, was adopted. While the regulation entered into force in January 2022, it will only begin to apply from January 2025 onwards, with preparatory and implementation-related steps to take place in the interim. Once applicable, it will have a phased implementation depending on the concerned products. The regulation intends to boost cooperation among EU member states in assessing health technologies, including new medicinal products as well as certain high-risk medical devices, and provide the basis for cooperation at the EU level for joint clinical assessments in these areas. It will permit EU member states to use common HTA tools, methodologies, and procedures across the EU, working together in four main areas, including joint clinical assessment of the innovative health technologies with the highest potential impact for patients, joint scientific consultations whereby developers can seek advice from HTA authorities, identification of emerging health technologies to identify promising technologies early, and continuing voluntary cooperation in other areas. Individual EU member states will continue to be responsible for assessing non-clinical (e.g., economic, social, ethical) aspects of health technology, and making decisions on pricing and reimbursement.</w:t>
      </w:r>
    </w:p>
    <w:p>
      <w:pPr>
        <w:spacing w:after="0" w:line="145" w:lineRule="exact"/>
        <w:rPr>
          <w:sz w:val="20"/>
          <w:szCs w:val="20"/>
          <w:color w:val="auto"/>
        </w:rPr>
      </w:pPr>
    </w:p>
    <w:p>
      <w:pPr>
        <w:ind w:left="60" w:right="29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reporting and payment obligations under the Medicaid Drug Rebate Program or other governmental pricing programs in the U.S., we could be subject to additional reimbursement requirements, penalties, sanctions and fines, which could have a material adverse effect on our business, results of operations and financial condition.</w:t>
      </w:r>
    </w:p>
    <w:p>
      <w:pPr>
        <w:spacing w:after="0" w:line="180" w:lineRule="exact"/>
        <w:rPr>
          <w:sz w:val="20"/>
          <w:szCs w:val="20"/>
          <w:color w:val="auto"/>
        </w:rPr>
      </w:pPr>
    </w:p>
    <w:p>
      <w:pPr>
        <w:ind w:left="60" w:right="199" w:firstLine="324"/>
        <w:spacing w:after="0" w:line="244" w:lineRule="auto"/>
        <w:rPr>
          <w:sz w:val="20"/>
          <w:szCs w:val="20"/>
          <w:color w:val="auto"/>
        </w:rPr>
      </w:pPr>
      <w:r>
        <w:rPr>
          <w:rFonts w:ascii="Times New Roman" w:cs="Times New Roman" w:eastAsia="Times New Roman" w:hAnsi="Times New Roman"/>
          <w:sz w:val="18"/>
          <w:szCs w:val="18"/>
          <w:color w:val="auto"/>
        </w:rPr>
        <w:t>We participate in the Medicaid Drug Rebate Program (“MDRP”) and other federal and state government pricing programs in the U.S., and we may participate in additional government pricing programs in the future. These programs generally require manufacturers to pay rebates or otherwise provide discounts to government payors in connection with drugs that are dispensed to beneficiaries of these programs. As a condition of having federal funds being made available for covered outpatient drugs under Medicaid and Medicare Part B, a manufacturer must enroll in the MDRP. Under this program, we must pay a rebate to state Medicaid programs for each unit of our covered outpatient drug dispensed to a Medicaid beneficiary and paid for by a state Medicaid program. Medicaid drug rebates are based on pricing data that we must report on a monthly and quarterly basis to CMS. For the MDRP, this data includes the average manufacturer price (“AMP”) for each drug and, in the case of an innovator product, like IGALMI</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the best price. If we become aware that our MDRP price reporting submission for a prior period was incorrect or has changed as a result of recalculation of the pricing data, we must resubmit the corrected data for up to three years after the data originally was due. Further, under the IRA, AMP figures we report will also be used to calculate a rebate on Medicare Part D utilization, triggered by price increases that outpace inflation. If we fail to provide information timely or are found to</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1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260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5606415"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99" w:name="page100"/>
    <w:bookmarkEnd w:id="9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319"/>
        <w:spacing w:after="0" w:line="258" w:lineRule="auto"/>
        <w:rPr>
          <w:sz w:val="20"/>
          <w:szCs w:val="20"/>
          <w:color w:val="auto"/>
        </w:rPr>
      </w:pPr>
      <w:r>
        <w:rPr>
          <w:rFonts w:ascii="Times New Roman" w:cs="Times New Roman" w:eastAsia="Times New Roman" w:hAnsi="Times New Roman"/>
          <w:sz w:val="18"/>
          <w:szCs w:val="18"/>
          <w:color w:val="auto"/>
        </w:rPr>
        <w:t>have knowingly submitted false information to the government, we may be subject to civil monetary penalties and other sanctions, including termination from the MDRP, which would result in payment not being available for our covered outpatient drugs under Medicaid or, if applicable, Medicare Part B. Failure to make necessary disclosures and/or to identify overpayments additionally could result in allegations against us under the Federal False Claims Act and other laws and regulations.</w:t>
      </w:r>
    </w:p>
    <w:p>
      <w:pPr>
        <w:spacing w:after="0" w:line="156" w:lineRule="exact"/>
        <w:rPr>
          <w:sz w:val="20"/>
          <w:szCs w:val="20"/>
          <w:color w:val="auto"/>
        </w:rPr>
      </w:pPr>
    </w:p>
    <w:p>
      <w:pPr>
        <w:ind w:left="60" w:right="159" w:firstLine="324"/>
        <w:spacing w:after="0" w:line="252" w:lineRule="auto"/>
        <w:rPr>
          <w:sz w:val="20"/>
          <w:szCs w:val="20"/>
          <w:color w:val="auto"/>
        </w:rPr>
      </w:pPr>
      <w:r>
        <w:rPr>
          <w:rFonts w:ascii="Times New Roman" w:cs="Times New Roman" w:eastAsia="Times New Roman" w:hAnsi="Times New Roman"/>
          <w:sz w:val="18"/>
          <w:szCs w:val="18"/>
          <w:color w:val="auto"/>
        </w:rPr>
        <w:t>Federal law requires that a manufacturer that participates in the MDRP also participate in the 340B program in order for federal funds to be available for the manufacturer’s drugs under Medicaid and Medicare Part B, and we participate in the 340B program. The 340B program is administered by the Health Resources and Services Administration (“HRSA”) and requires us to charge statutorily defined covered entities no more than the 340B “ceiling price” for our covered outpatient drugs used in an outpatient setting. These 340B program covered entities include a variety of community health clinics and other entities that receive health services grants from the Public Health Service, as well as hospitals that serve a disproportionate share of low-income patients. The 340B ceiling price is calculated using a statutory formula, which is based on the AMP and rebate amount for the covered outpatient drug as calculated under the MDRP. In general, products subject to Medicaid price reporting and rebate liability are also subject to the 340B ceiling price calculation and discount requirement. We must report 340B ceiling prices to HRSA on a quarterly basis, and HRSA publishes them to 340B covered entities. HRSA has finalized regulations regarding the calculation of the 340B ceiling price and the imposition of civil monetary penalties on manufacturers that knowingly and intentionally overcharge covered entities for 340B eligible drugs. HRSA has also finalized an administrative dispute resolution process through which 340B covered entities may pursue claims against participating manufacturers for overcharges, and through which manufacturers may pursue claims against 340B covered entities for engaging in unlawful diversion or duplicate discounting of 340B drugs. In addition, legislation may be introduced that, if passed, would further expand the 340B program, such as adding further covered entities or requiring participating manufacturers to agree to provide 340B program discounted pricing on drugs used in an inpatient setting.</w:t>
      </w:r>
    </w:p>
    <w:p>
      <w:pPr>
        <w:spacing w:after="0" w:line="151" w:lineRule="exact"/>
        <w:rPr>
          <w:sz w:val="20"/>
          <w:szCs w:val="20"/>
          <w:color w:val="auto"/>
        </w:rPr>
      </w:pPr>
    </w:p>
    <w:p>
      <w:pPr>
        <w:ind w:left="60" w:right="139" w:firstLine="324"/>
        <w:spacing w:after="0" w:line="254" w:lineRule="auto"/>
        <w:rPr>
          <w:sz w:val="20"/>
          <w:szCs w:val="20"/>
          <w:color w:val="auto"/>
        </w:rPr>
      </w:pPr>
      <w:r>
        <w:rPr>
          <w:rFonts w:ascii="Times New Roman" w:cs="Times New Roman" w:eastAsia="Times New Roman" w:hAnsi="Times New Roman"/>
          <w:sz w:val="18"/>
          <w:szCs w:val="18"/>
          <w:color w:val="auto"/>
        </w:rPr>
        <w:t>In order to be eligible to have drug products paid for with federal funds under Medicaid and Medicare Part B and purchased by certain federal agencies and grantees, we also must participate in the U.S. Department of Veterans Affairs (“VA”) Federal Supply Schedule (“FSS”) pricing program. Under the VA/FSS program, we must report the Non-Federal Average Manufacturer Price (“Non-FAMP”) for our covered drugs to the VA and charge certain federal agencies no more than the Federal Ceiling Price, which is calculated based on Non-FAMP using a statutory formula. These four agencies are the VA, the U.S. Department of Defense, the U.S. Coast Guard, and the U.S. Public Health Service (including the Indian Health Service). We must also pay rebates on products purchased by military personnel and dependents through the TRICARE retail pharmacy program. If we fail to provide timely information or are found to have knowingly submitted false information, we may be subject to civil monetary penalties.</w:t>
      </w:r>
    </w:p>
    <w:p>
      <w:pPr>
        <w:spacing w:after="0" w:line="148" w:lineRule="exact"/>
        <w:rPr>
          <w:sz w:val="20"/>
          <w:szCs w:val="20"/>
          <w:color w:val="auto"/>
        </w:rPr>
      </w:pPr>
    </w:p>
    <w:p>
      <w:pPr>
        <w:ind w:left="60" w:right="139" w:firstLine="324"/>
        <w:spacing w:after="0" w:line="253" w:lineRule="auto"/>
        <w:rPr>
          <w:sz w:val="20"/>
          <w:szCs w:val="20"/>
          <w:color w:val="auto"/>
        </w:rPr>
      </w:pPr>
      <w:r>
        <w:rPr>
          <w:rFonts w:ascii="Times New Roman" w:cs="Times New Roman" w:eastAsia="Times New Roman" w:hAnsi="Times New Roman"/>
          <w:sz w:val="18"/>
          <w:szCs w:val="18"/>
          <w:color w:val="auto"/>
        </w:rPr>
        <w:t>Individual states continue to consider and have enacted legislation to limit the growth of health care costs, including the cost of prescription drugs and combination products. A number of states have either implemented or are considering implementation of drug price transparency legislation that may prevent or limit our ability to take price increases at certain rates or frequencies. Requirements under such laws include advance notice of planned price increases, reporting price increase amounts and factors considered in taking such increases, wholesale acquisition cost information disclosure to prescribers, purchasers, and state agencies, and new product notice and reporting. Such legislation could limit the price or payment for certain drugs, and a number of states are authorized to impose civil monetary penalties or pursue other enforcement mechanisms against manufacturers who fail to comply with drug price transparency requirements, including the untimely, inaccurate, or incomplete reporting of drug pricing information. If we are found to have violated state law requirements, we may become subject to penalties or other enforcement mechanisms, which could have a material adverse effect on our business.</w:t>
      </w:r>
    </w:p>
    <w:p>
      <w:pPr>
        <w:spacing w:after="0" w:line="165" w:lineRule="exact"/>
        <w:rPr>
          <w:sz w:val="20"/>
          <w:szCs w:val="20"/>
          <w:color w:val="auto"/>
        </w:rPr>
      </w:pPr>
    </w:p>
    <w:p>
      <w:pPr>
        <w:ind w:left="60" w:right="219" w:firstLine="324"/>
        <w:spacing w:after="0" w:line="254" w:lineRule="auto"/>
        <w:rPr>
          <w:sz w:val="20"/>
          <w:szCs w:val="20"/>
          <w:color w:val="auto"/>
        </w:rPr>
      </w:pPr>
      <w:r>
        <w:rPr>
          <w:rFonts w:ascii="Times New Roman" w:cs="Times New Roman" w:eastAsia="Times New Roman" w:hAnsi="Times New Roman"/>
          <w:sz w:val="18"/>
          <w:szCs w:val="18"/>
          <w:color w:val="auto"/>
        </w:rPr>
        <w:t>Pricing and rebate calculations are complex, vary among products and programs, and are often subject to interpretation by manufacturers, governmental or regulatory agencies, and the courts. The terms, scope and complexity of these government pricing programs change frequently, as do interpretations of applicable requirements for pricing and rebate calculations. Responding to current and future changes may increase our costs and the complexity of compliance will be time-consuming. Any required refunds to the U.S. government or responding to a government investigation or enforcement action would be expensive and time consuming and could have a material adverse effect on our business, results of operations and financial condition. Price recalculations under the MDRP also may affect the ceiling price at which we may be required to offer products under the 340B program. Civil monetary penalties can be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06415"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5606415"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00" w:name="page101"/>
    <w:bookmarkEnd w:id="10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99"/>
        <w:spacing w:after="0" w:line="256" w:lineRule="auto"/>
        <w:rPr>
          <w:sz w:val="20"/>
          <w:szCs w:val="20"/>
          <w:color w:val="auto"/>
        </w:rPr>
      </w:pPr>
      <w:r>
        <w:rPr>
          <w:rFonts w:ascii="Times New Roman" w:cs="Times New Roman" w:eastAsia="Times New Roman" w:hAnsi="Times New Roman"/>
          <w:sz w:val="18"/>
          <w:szCs w:val="18"/>
          <w:color w:val="auto"/>
        </w:rPr>
        <w:t>applied if we are found to have knowingly submitted any false price or product information to the government, if we fail to submit required price data on a timely basis, or if we are found to have charged 340B program covered entities more than the statutorily mandated ceiling price. In the event that CMS were to terminate our Medicaid rebate agreement, pursuant to which we participate in the MDRP, no federal payments would be available under Medicaid or Medicare for our covered outpatient drugs. We cannot assure you that price data submissions we make will not be found to be incomplete or incorrect.</w:t>
      </w:r>
    </w:p>
    <w:p>
      <w:pPr>
        <w:spacing w:after="0" w:line="15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Risks Related to Our Relationship with BioXcel LLC</w:t>
      </w:r>
    </w:p>
    <w:p>
      <w:pPr>
        <w:spacing w:after="0" w:line="185" w:lineRule="exact"/>
        <w:rPr>
          <w:sz w:val="20"/>
          <w:szCs w:val="20"/>
          <w:color w:val="auto"/>
        </w:rPr>
      </w:pPr>
    </w:p>
    <w:p>
      <w:pPr>
        <w:ind w:left="60" w:right="6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BioXcel LLC has significant influence over the direction of our business, and the concentrated ownership of our common stock will prevent you and other stockholders from influencing significant decisions.</w:t>
      </w:r>
    </w:p>
    <w:p>
      <w:pPr>
        <w:spacing w:after="0" w:line="118" w:lineRule="exact"/>
        <w:rPr>
          <w:sz w:val="20"/>
          <w:szCs w:val="20"/>
          <w:color w:val="auto"/>
        </w:rPr>
      </w:pPr>
    </w:p>
    <w:p>
      <w:pPr>
        <w:ind w:left="60" w:right="159" w:firstLine="324"/>
        <w:spacing w:after="0" w:line="254" w:lineRule="auto"/>
        <w:rPr>
          <w:sz w:val="20"/>
          <w:szCs w:val="20"/>
          <w:color w:val="auto"/>
        </w:rPr>
      </w:pPr>
      <w:r>
        <w:rPr>
          <w:rFonts w:ascii="Times New Roman" w:cs="Times New Roman" w:eastAsia="Times New Roman" w:hAnsi="Times New Roman"/>
          <w:sz w:val="18"/>
          <w:szCs w:val="18"/>
          <w:color w:val="auto"/>
        </w:rPr>
        <w:t>As of March 31, 2025, BioXcel LLC owned approximately 8.8% of the economic interest and voting power of our outstanding common stock and BioXcel LLC is controlled by BioXcel Holdings, Inc. Our Chief Executive Officer and member of our board of directors, Vimal Mehta, Ph.D., is the Chief Executive Officer, President, Treasurer and Secretary and a member of the board of managers of BioXcel LLC and Chief Executive Officer, President, Treasurer and Secretary and the sole member of the board of directors of BioXcel Holdings, Inc. See “</w:t>
      </w:r>
      <w:r>
        <w:rPr>
          <w:rFonts w:ascii="Times New Roman" w:cs="Times New Roman" w:eastAsia="Times New Roman" w:hAnsi="Times New Roman"/>
          <w:sz w:val="18"/>
          <w:szCs w:val="18"/>
          <w:i w:val="1"/>
          <w:iCs w:val="1"/>
          <w:color w:val="auto"/>
        </w:rPr>
        <w:t>The management of and beneficial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ownership in BioXcel LLC by our executive officers and our directors may create, or may create the appearance of, conflicts of interest.</w:t>
      </w:r>
      <w:r>
        <w:rPr>
          <w:rFonts w:ascii="Times New Roman" w:cs="Times New Roman" w:eastAsia="Times New Roman" w:hAnsi="Times New Roman"/>
          <w:sz w:val="18"/>
          <w:szCs w:val="18"/>
          <w:color w:val="auto"/>
        </w:rPr>
        <w:t>” below. Even though BioXcel LLC controls less than a majority of the voting power of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outstanding common stock, it may influence the outcome of such corporate actions so long as it owns a significant portion of our common stock.</w:t>
      </w:r>
    </w:p>
    <w:p>
      <w:pPr>
        <w:spacing w:after="0" w:line="157" w:lineRule="exact"/>
        <w:rPr>
          <w:sz w:val="20"/>
          <w:szCs w:val="20"/>
          <w:color w:val="auto"/>
        </w:rPr>
      </w:pPr>
    </w:p>
    <w:p>
      <w:pPr>
        <w:jc w:val="both"/>
        <w:ind w:left="60" w:right="2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Approval of commercial terms between us and BioXcel LLC does not preclude the possibility of stockholder litigation, including but not limited to derivative litigation nominally against BioXcel LLC and against its directors and officers and also against us and our directors and officers.</w:t>
      </w:r>
    </w:p>
    <w:p>
      <w:pPr>
        <w:spacing w:after="0" w:line="134" w:lineRule="exact"/>
        <w:rPr>
          <w:sz w:val="20"/>
          <w:szCs w:val="20"/>
          <w:color w:val="auto"/>
        </w:rPr>
      </w:pPr>
    </w:p>
    <w:p>
      <w:pPr>
        <w:jc w:val="both"/>
        <w:ind w:left="60" w:right="139" w:firstLine="324"/>
        <w:spacing w:after="0" w:line="261" w:lineRule="auto"/>
        <w:rPr>
          <w:sz w:val="20"/>
          <w:szCs w:val="20"/>
          <w:color w:val="auto"/>
        </w:rPr>
      </w:pPr>
      <w:r>
        <w:rPr>
          <w:rFonts w:ascii="Times New Roman" w:cs="Times New Roman" w:eastAsia="Times New Roman" w:hAnsi="Times New Roman"/>
          <w:sz w:val="18"/>
          <w:szCs w:val="18"/>
          <w:color w:val="auto"/>
        </w:rPr>
        <w:t>The commercial terms of the Separation and Shared Services Agreement (as amended and/or restated and in effect as of the date hereof, the “Services Agreement”), and the Amended and Restated Asset Contribution Agreement (as amended and/or restated and in effect as of the date hereof, the “Contribution Agreement”), that we entered into with BioXcel LLC have not been negotiated by persons consisting solely of disinterested directors.</w:t>
      </w:r>
    </w:p>
    <w:p>
      <w:pPr>
        <w:spacing w:after="0" w:line="139" w:lineRule="exact"/>
        <w:rPr>
          <w:sz w:val="20"/>
          <w:szCs w:val="20"/>
          <w:color w:val="auto"/>
        </w:rPr>
      </w:pPr>
    </w:p>
    <w:p>
      <w:pPr>
        <w:ind w:left="60" w:right="139" w:firstLine="324"/>
        <w:spacing w:after="0" w:line="253" w:lineRule="auto"/>
        <w:rPr>
          <w:sz w:val="20"/>
          <w:szCs w:val="20"/>
          <w:color w:val="auto"/>
        </w:rPr>
      </w:pPr>
      <w:r>
        <w:rPr>
          <w:rFonts w:ascii="Times New Roman" w:cs="Times New Roman" w:eastAsia="Times New Roman" w:hAnsi="Times New Roman"/>
          <w:sz w:val="18"/>
          <w:szCs w:val="18"/>
          <w:color w:val="auto"/>
        </w:rPr>
        <w:t>No assurance can be given that any equity or debt holder of BioXcel LLC or the Company will not claim in a lawsuit that such terms in fact are not in the best interests of BioXcel LLC or the Company and its applicable equity holders, that the directors and officers of BioXcel LLC or the Company breached their fiduciary duties in connection with such agreements and that any disclosures by the Company to its stockholders regarding these agreements and the relationship between BioXcel LLC and us did not satisfy applicable requirements. In any such instance, we and our directors and officers may also be named as defendants and we would have to defend ourselves and our directors and officers. While we would seek indemnification from BioXcel LLC under the terms of these agreements against any damages or other costs, which could be substantial, no such indemnification has yet been agreed to or may be agreed to and be in effect. Further, any such litigation would be time-consuming and would divert focus and resources from the development of our product candidates and our business, including but not limited to possibly delaying our clinical trials due to our management having to spend time and attention on such litigation.</w:t>
      </w:r>
    </w:p>
    <w:p>
      <w:pPr>
        <w:spacing w:after="0" w:line="16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We continue to depend on BioXcel LLC to provide us with certain services for our business.</w:t>
      </w:r>
    </w:p>
    <w:p>
      <w:pPr>
        <w:spacing w:after="0" w:line="189" w:lineRule="exact"/>
        <w:rPr>
          <w:sz w:val="20"/>
          <w:szCs w:val="20"/>
          <w:color w:val="auto"/>
        </w:rPr>
      </w:pPr>
    </w:p>
    <w:p>
      <w:pPr>
        <w:ind w:left="60" w:right="239" w:firstLine="324"/>
        <w:spacing w:after="0" w:line="258" w:lineRule="auto"/>
        <w:rPr>
          <w:sz w:val="20"/>
          <w:szCs w:val="20"/>
          <w:color w:val="auto"/>
        </w:rPr>
      </w:pPr>
      <w:r>
        <w:rPr>
          <w:rFonts w:ascii="Times New Roman" w:cs="Times New Roman" w:eastAsia="Times New Roman" w:hAnsi="Times New Roman"/>
          <w:sz w:val="18"/>
          <w:szCs w:val="18"/>
          <w:color w:val="auto"/>
        </w:rPr>
        <w:t>We rely, in part, on BioXcel LLC and access to its EvolverAI, to complement our in-house, uniquely integrated AI-to-drug-development capability. EvolverAI is a research and development engine created and owned by BioXcel LLC, to identify, research and develop potential product candidates in neuroscience and immuno-oncology. We negotiated the Services Agreement with BioXcel LLC pursuant to which BioXcel LLC agreed to perform certain intellectual property prosecution and management and research and development activities for us utilizing its EvolverAI.</w:t>
      </w:r>
    </w:p>
    <w:p>
      <w:pPr>
        <w:spacing w:after="0" w:line="143" w:lineRule="exact"/>
        <w:rPr>
          <w:sz w:val="20"/>
          <w:szCs w:val="20"/>
          <w:color w:val="auto"/>
        </w:rPr>
      </w:pPr>
    </w:p>
    <w:p>
      <w:pPr>
        <w:ind w:left="60" w:right="239" w:firstLine="324"/>
        <w:spacing w:after="0" w:line="266" w:lineRule="auto"/>
        <w:rPr>
          <w:sz w:val="20"/>
          <w:szCs w:val="20"/>
          <w:color w:val="auto"/>
        </w:rPr>
      </w:pPr>
      <w:r>
        <w:rPr>
          <w:rFonts w:ascii="Times New Roman" w:cs="Times New Roman" w:eastAsia="Times New Roman" w:hAnsi="Times New Roman"/>
          <w:sz w:val="18"/>
          <w:szCs w:val="18"/>
          <w:color w:val="auto"/>
        </w:rPr>
        <w:t>Under the Services Agreement, we had an option, exercisable until December 31, 2024, to enter into a separate collaborative services agreement with BioXcel LLC pursuant to which BioXcel LLC shall perform product identification and related services for us utilizing its EvolverAI. We agreed to pay BioXcel LLC $18,000 per month</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06415" cy="260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5606415"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01" w:name="page102"/>
    <w:bookmarkEnd w:id="10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79"/>
        <w:spacing w:after="0" w:line="255" w:lineRule="auto"/>
        <w:rPr>
          <w:sz w:val="20"/>
          <w:szCs w:val="20"/>
          <w:color w:val="auto"/>
        </w:rPr>
      </w:pPr>
      <w:r>
        <w:rPr>
          <w:rFonts w:ascii="Times New Roman" w:cs="Times New Roman" w:eastAsia="Times New Roman" w:hAnsi="Times New Roman"/>
          <w:sz w:val="18"/>
          <w:szCs w:val="18"/>
          <w:color w:val="auto"/>
        </w:rPr>
        <w:t>from March 13, 2023, to December 31, 2024 in exchange for this option. We agreed to negotiate any such collaborative services agreement in good faith and to incorporate reasonable market-based terms, including consideration for BioXcel LLC reflecting a low, single-digit royalty on net sales and reasonable development and commercialization milestone payments, provided that (i) development milestone payments shall not exceed $10 million in the aggregate and not be payable prior to proof of concept in humans and (ii) commercialization milestone payments shall be based on reaching annual net sales levels, be limited to 3% of the applicable net sales level, and not exceed $30 million in the aggregate. We did not exercise this option, which expired on December 31, 2024.</w:t>
      </w:r>
    </w:p>
    <w:p>
      <w:pPr>
        <w:spacing w:after="0" w:line="162" w:lineRule="exact"/>
        <w:rPr>
          <w:sz w:val="20"/>
          <w:szCs w:val="20"/>
          <w:color w:val="auto"/>
        </w:rPr>
      </w:pPr>
    </w:p>
    <w:p>
      <w:pPr>
        <w:ind w:left="60" w:right="159" w:firstLine="324"/>
        <w:spacing w:after="0" w:line="254" w:lineRule="auto"/>
        <w:rPr>
          <w:sz w:val="20"/>
          <w:szCs w:val="20"/>
          <w:color w:val="auto"/>
        </w:rPr>
      </w:pPr>
      <w:r>
        <w:rPr>
          <w:rFonts w:ascii="Times New Roman" w:cs="Times New Roman" w:eastAsia="Times New Roman" w:hAnsi="Times New Roman"/>
          <w:sz w:val="18"/>
          <w:szCs w:val="18"/>
          <w:color w:val="auto"/>
        </w:rPr>
        <w:t>In addition, at the time of our initial public offering (“IPO”), BioXcel LLC granted us (i) a first right to negotiate exclusive rights to any additional product candidates in the fields of neuroscience and immuno-oncology that BioXcel LLC may identify on its own and not in connection with BioXcel LLC’s provision of services to us under the Services Agreement and (ii) an exclusivity agreement in the neuroscience and immuno-oncology fields whereby BioXcel LLC agreed not develop drugs, or engage in preclinical discovery for the purpose of developing drugs, in the neuroscience and immuno-oncology fields for or on behalf of a third party, utilizing EvolverAI or otherwise. This first right to negotiate and exclusivity period expired on March 12, 2023, and there is no assurance that we will extend the terms of the agreement. We are continuing to assess our ongoing business needs.</w:t>
      </w:r>
    </w:p>
    <w:p>
      <w:pPr>
        <w:spacing w:after="0" w:line="151" w:lineRule="exact"/>
        <w:rPr>
          <w:sz w:val="20"/>
          <w:szCs w:val="20"/>
          <w:color w:val="auto"/>
        </w:rPr>
      </w:pPr>
    </w:p>
    <w:p>
      <w:pPr>
        <w:ind w:left="60" w:right="379" w:firstLine="324"/>
        <w:spacing w:after="0" w:line="256" w:lineRule="auto"/>
        <w:rPr>
          <w:sz w:val="20"/>
          <w:szCs w:val="20"/>
          <w:color w:val="auto"/>
        </w:rPr>
      </w:pPr>
      <w:r>
        <w:rPr>
          <w:rFonts w:ascii="Times New Roman" w:cs="Times New Roman" w:eastAsia="Times New Roman" w:hAnsi="Times New Roman"/>
          <w:sz w:val="18"/>
          <w:szCs w:val="18"/>
          <w:color w:val="auto"/>
        </w:rPr>
        <w:t>On September 19, 2023, the Company, Krishnan Nandabalan, Ph.D., InveniAI LLC (“Inveni”) and Invea Therapeutics, Inc. (“Invea”) and the other parties thereto entered into a non-compete agreement pursuant to which Dr. Nandabalan, Inveni and Invea agreed not to compete with the Company and its controlled affiliates in the fields of neuroscience and immuno-oncology for a period of five years from September 19, 2023 and not to solicit employees of the Company or its controlled affiliates for a period of two years from September 19, 2023. Inveni and Invea are subsidiaries of BioXcel LLC.</w:t>
      </w:r>
    </w:p>
    <w:p>
      <w:pPr>
        <w:spacing w:after="0" w:line="147" w:lineRule="exact"/>
        <w:rPr>
          <w:sz w:val="20"/>
          <w:szCs w:val="20"/>
          <w:color w:val="auto"/>
        </w:rPr>
      </w:pPr>
    </w:p>
    <w:p>
      <w:pPr>
        <w:ind w:left="60" w:right="219" w:firstLine="324"/>
        <w:spacing w:after="0" w:line="253" w:lineRule="auto"/>
        <w:rPr>
          <w:sz w:val="20"/>
          <w:szCs w:val="20"/>
          <w:color w:val="auto"/>
        </w:rPr>
      </w:pPr>
      <w:r>
        <w:rPr>
          <w:rFonts w:ascii="Times New Roman" w:cs="Times New Roman" w:eastAsia="Times New Roman" w:hAnsi="Times New Roman"/>
          <w:sz w:val="18"/>
          <w:szCs w:val="18"/>
          <w:color w:val="auto"/>
        </w:rPr>
        <w:t>If our rights under the Services Agreement were to become limited or if we are otherwise precluded from conducting research and development using EvolverAI, or if BioXcel LLC, Inveni or Invea do not fulfill their obligations under the agreements, such development could materially adversely affect our future operating results, financial condition, and prospects. Furthermore, certain individuals conducting services on our behalf are not our employees, and we cannot control whether they devote sufficient time, skill and resources to our ongoing development programs. We also cannot ensure that BioXcel LLC retains sufficient resources or personnel or otherwise to conduct its operations. BioXcel LLC may also have relationships with other commercial entities, including our competitors, for whom they may also be conducting research and development activities, which could impede their ability to devote appropriate time to our research and development programs. BioXcel LLC is not currently restricted from using EvolverAI to perform drug discovery services for our direct competitors, and if we do not extend the exclusivity period in the neuroscience and immuno-oncology fields, this could harm our competitive position and adversely affect our future operating results and financial condition.</w:t>
      </w:r>
    </w:p>
    <w:p>
      <w:pPr>
        <w:spacing w:after="0" w:line="159" w:lineRule="exact"/>
        <w:rPr>
          <w:sz w:val="20"/>
          <w:szCs w:val="20"/>
          <w:color w:val="auto"/>
        </w:rPr>
      </w:pPr>
    </w:p>
    <w:p>
      <w:pPr>
        <w:ind w:left="60" w:right="2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management of and beneficial ownership in BioXcel LLC may create, or may create the appearance of, conflicts of interest.</w:t>
      </w:r>
    </w:p>
    <w:p>
      <w:pPr>
        <w:spacing w:after="0" w:line="118" w:lineRule="exact"/>
        <w:rPr>
          <w:sz w:val="20"/>
          <w:szCs w:val="20"/>
          <w:color w:val="auto"/>
        </w:rPr>
      </w:pPr>
    </w:p>
    <w:p>
      <w:pPr>
        <w:ind w:left="60" w:right="179" w:firstLine="324"/>
        <w:spacing w:after="0" w:line="270" w:lineRule="auto"/>
        <w:rPr>
          <w:sz w:val="20"/>
          <w:szCs w:val="20"/>
          <w:color w:val="auto"/>
        </w:rPr>
      </w:pPr>
      <w:r>
        <w:rPr>
          <w:rFonts w:ascii="Times New Roman" w:cs="Times New Roman" w:eastAsia="Times New Roman" w:hAnsi="Times New Roman"/>
          <w:sz w:val="17"/>
          <w:szCs w:val="17"/>
          <w:color w:val="auto"/>
        </w:rPr>
        <w:t>Our Chief Executive Officer and member of our board of directors, Vimal Mehta, Ph.D., is the Chief Executive Officer, President, Treasurer and Secretary and a member of the board of managers of BioXcel LLC and Chief Executive Officer, President, Treasurer and Secretary and the sole member of the board of directors of BioXcel Holdings, Inc. Additionally, as of March 31, 2025, Dr. Mehta, through his beneficial ownership of BioXcel LLC, beneficially owned approximately 8.8% of the Company. The management and ownership of BioXcel LLC by Dr. Mehta may create the appearance of conflicts of interest when Dr. Mehta is faced with decisions that could have different implications for BioXcel LLC than the decisions have for us, including decisions that relate to our Services Agreement and Contribution Agreement, as well as potential agreements relating to future product candidates and AI-related services or collaborations. Any perceived conflicts of interest resulting from investors questioning the independence of our management or the integrity of corporate governance procedures may materially affect our stock price and expose us to litigation risk.</w:t>
      </w:r>
    </w:p>
    <w:p>
      <w:pPr>
        <w:spacing w:after="0" w:line="39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260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5606415"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02" w:name="page103"/>
    <w:bookmarkEnd w:id="10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right="43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Any disputes that arise between us and BioXcel LLC with respect to our past and ongoing relationships could harm our business operations.</w:t>
      </w:r>
    </w:p>
    <w:p>
      <w:pPr>
        <w:spacing w:after="0" w:line="132" w:lineRule="exact"/>
        <w:rPr>
          <w:sz w:val="20"/>
          <w:szCs w:val="20"/>
          <w:color w:val="auto"/>
        </w:rPr>
      </w:pPr>
    </w:p>
    <w:p>
      <w:pPr>
        <w:ind w:left="60" w:right="239" w:firstLine="324"/>
        <w:spacing w:after="0" w:line="282" w:lineRule="auto"/>
        <w:rPr>
          <w:sz w:val="20"/>
          <w:szCs w:val="20"/>
          <w:color w:val="auto"/>
        </w:rPr>
      </w:pPr>
      <w:r>
        <w:rPr>
          <w:rFonts w:ascii="Times New Roman" w:cs="Times New Roman" w:eastAsia="Times New Roman" w:hAnsi="Times New Roman"/>
          <w:sz w:val="18"/>
          <w:szCs w:val="18"/>
          <w:color w:val="auto"/>
        </w:rPr>
        <w:t>Disputes may arise between BioXcel LLC and us in a number of areas relating to our past and ongoing relationships, including:</w:t>
      </w:r>
    </w:p>
    <w:p>
      <w:pPr>
        <w:spacing w:after="0" w:line="121" w:lineRule="exact"/>
        <w:rPr>
          <w:sz w:val="20"/>
          <w:szCs w:val="20"/>
          <w:color w:val="auto"/>
        </w:rPr>
      </w:pPr>
    </w:p>
    <w:p>
      <w:pPr>
        <w:ind w:left="720" w:right="379" w:hanging="319"/>
        <w:spacing w:after="0" w:line="282" w:lineRule="auto"/>
        <w:tabs>
          <w:tab w:leader="none" w:pos="7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intellectual property, technology and business matters, including failure to make required technology transfers and failure to comply with contractual provisions applicable to BioXcel LLC and us;</w:t>
      </w:r>
    </w:p>
    <w:p>
      <w:pPr>
        <w:spacing w:after="0" w:line="121" w:lineRule="exact"/>
        <w:rPr>
          <w:rFonts w:ascii="Times New Roman" w:cs="Times New Roman" w:eastAsia="Times New Roman" w:hAnsi="Times New Roman"/>
          <w:sz w:val="18"/>
          <w:szCs w:val="18"/>
          <w:color w:val="auto"/>
        </w:rPr>
      </w:pPr>
    </w:p>
    <w:p>
      <w:pPr>
        <w:ind w:left="720" w:right="219" w:hanging="319"/>
        <w:spacing w:after="0" w:line="282" w:lineRule="auto"/>
        <w:tabs>
          <w:tab w:leader="none" w:pos="7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labor, tax, employee benefit, indemnification and other matters arising from the separation of BTI from BioXcel LLC;</w:t>
      </w:r>
    </w:p>
    <w:p>
      <w:pPr>
        <w:spacing w:after="0" w:line="13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distribution and supply obligations;</w:t>
      </w:r>
    </w:p>
    <w:p>
      <w:pPr>
        <w:spacing w:after="0" w:line="18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retention and recruiting;</w:t>
      </w:r>
    </w:p>
    <w:p>
      <w:pPr>
        <w:spacing w:after="0" w:line="18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combinations involving us;</w:t>
      </w:r>
    </w:p>
    <w:p>
      <w:pPr>
        <w:spacing w:after="0" w:line="198"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or distributions by BioXcel LLC of all or any portion of its ownership interest in us;</w:t>
      </w:r>
    </w:p>
    <w:p>
      <w:pPr>
        <w:spacing w:after="0" w:line="18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nature, quality and pricing of services BioXcel LLC has agreed to provide us; and</w:t>
      </w:r>
    </w:p>
    <w:p>
      <w:pPr>
        <w:spacing w:after="0" w:line="18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opportunities that may be attractive to both BioXcel LLC and us.</w:t>
      </w:r>
    </w:p>
    <w:p>
      <w:pPr>
        <w:spacing w:after="0" w:line="198" w:lineRule="exact"/>
        <w:rPr>
          <w:sz w:val="20"/>
          <w:szCs w:val="20"/>
          <w:color w:val="auto"/>
        </w:rPr>
      </w:pPr>
    </w:p>
    <w:p>
      <w:pPr>
        <w:ind w:left="60" w:right="159" w:firstLine="324"/>
        <w:spacing w:after="0" w:line="261" w:lineRule="auto"/>
        <w:rPr>
          <w:sz w:val="20"/>
          <w:szCs w:val="20"/>
          <w:color w:val="auto"/>
        </w:rPr>
      </w:pPr>
      <w:r>
        <w:rPr>
          <w:rFonts w:ascii="Times New Roman" w:cs="Times New Roman" w:eastAsia="Times New Roman" w:hAnsi="Times New Roman"/>
          <w:sz w:val="18"/>
          <w:szCs w:val="18"/>
          <w:color w:val="auto"/>
        </w:rPr>
        <w:t>We entered into the Services Agreement with BioXcel LLC related to the separation of our business operations from those of BioXcel LLC that contains certain limitations on BioXcel LLC’s ability to control various aspects of our business and operations, notwithstanding BioXcel LLC’s substantial ownership position. This agreement may be amended upon agreement between us and BioXcel LLC.</w:t>
      </w:r>
    </w:p>
    <w:p>
      <w:pPr>
        <w:spacing w:after="0" w:line="135" w:lineRule="exact"/>
        <w:rPr>
          <w:sz w:val="20"/>
          <w:szCs w:val="20"/>
          <w:color w:val="auto"/>
        </w:rPr>
      </w:pPr>
    </w:p>
    <w:p>
      <w:pPr>
        <w:jc w:val="both"/>
        <w:ind w:left="60" w:right="1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BioXcel LLC may experience challenges with the acquisition, development, enhancement, or deployment of technology necessary for EvolverAI. We may face similar challenges with other AI platforms that we utilize, including our own in-house proprietary platform.</w:t>
      </w:r>
    </w:p>
    <w:p>
      <w:pPr>
        <w:spacing w:after="0" w:line="134" w:lineRule="exact"/>
        <w:rPr>
          <w:sz w:val="20"/>
          <w:szCs w:val="20"/>
          <w:color w:val="auto"/>
        </w:rPr>
      </w:pPr>
    </w:p>
    <w:p>
      <w:pPr>
        <w:ind w:left="60" w:right="139" w:firstLine="324"/>
        <w:spacing w:after="0" w:line="254" w:lineRule="auto"/>
        <w:rPr>
          <w:sz w:val="20"/>
          <w:szCs w:val="20"/>
          <w:color w:val="auto"/>
        </w:rPr>
      </w:pPr>
      <w:r>
        <w:rPr>
          <w:rFonts w:ascii="Times New Roman" w:cs="Times New Roman" w:eastAsia="Times New Roman" w:hAnsi="Times New Roman"/>
          <w:sz w:val="18"/>
          <w:szCs w:val="18"/>
          <w:color w:val="auto"/>
        </w:rPr>
        <w:t>BioXcel LLC operates in businesses that require sophisticated computer systems and software for data collection, data processing, cloud-based platforms, analytics, statistical projections and forecasting, mobile computing, social media analytics and other applications and technologies. BioXcel LLC seeks to address its technology risks by increasing its reliance on the use of innovations by cross-industry technology leaders and adapt these for their pharmaceutical, biotechnology, biopharmaceutical, diagnostic, medical device and contract research and manufacturing clients. Some of the technologies supporting the industries they serve are changing rapidly and we must continue to adapt to these changes in a timely and effective manner at an acceptable cost. They also must continue to deliver data to their clients in forms that are easy to use while simultaneously providing clear answers to complex questions. We also utilize our own in-house AI platform.</w:t>
      </w:r>
    </w:p>
    <w:p>
      <w:pPr>
        <w:spacing w:after="0" w:line="161" w:lineRule="exact"/>
        <w:rPr>
          <w:sz w:val="20"/>
          <w:szCs w:val="20"/>
          <w:color w:val="auto"/>
        </w:rPr>
      </w:pPr>
    </w:p>
    <w:p>
      <w:pPr>
        <w:ind w:left="60" w:right="159" w:firstLine="324"/>
        <w:spacing w:after="0" w:line="253" w:lineRule="auto"/>
        <w:rPr>
          <w:sz w:val="20"/>
          <w:szCs w:val="20"/>
          <w:color w:val="auto"/>
        </w:rPr>
      </w:pPr>
      <w:r>
        <w:rPr>
          <w:rFonts w:ascii="Times New Roman" w:cs="Times New Roman" w:eastAsia="Times New Roman" w:hAnsi="Times New Roman"/>
          <w:sz w:val="18"/>
          <w:szCs w:val="18"/>
          <w:color w:val="auto"/>
        </w:rPr>
        <w:t>There can be no guarantee that we or BioXcel LLC will be able to develop, acquire or integrate new technologies, that these new technologies will meet our and BioXcel LLC’s needs or achieve our expected goals, or that we will be able to do so as quickly or cost-effectively as our competitors. Significant technological change could render BioXcel LLC’s EvolverAI or other AI platforms that we utilize obsolete. BioXcel LLC’s and our continued success will depend on the ability to adapt to changing technologies, manage and process ever-increasing amounts of data and information and improve the performance, features and reliability of these services in response to changing client and industry demands. If EvolverAI or other AI and machine learning models that we use are incorrectly designed, do not operate properly, the data we use to train them is incomplete, inadequate or biased in some way, or if we do not have sufficient rights to use the data on which our AI and machine learning models rely, the performance of our products, services and businesses, as well as our reputation, could suffer or we could incur liability through the violation of laws, third-party privacy rights or contracts to which we are a party. BioXcel LLC or we may experience difficulties that could delay or prevent the successful design, development, testing, and introduction of advanced versions of EvolverAI, limiting our</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06415"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5606415"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03" w:name="page104"/>
    <w:bookmarkEnd w:id="10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39"/>
        <w:spacing w:after="0" w:line="266" w:lineRule="auto"/>
        <w:rPr>
          <w:sz w:val="20"/>
          <w:szCs w:val="20"/>
          <w:color w:val="auto"/>
        </w:rPr>
      </w:pPr>
      <w:r>
        <w:rPr>
          <w:rFonts w:ascii="Times New Roman" w:cs="Times New Roman" w:eastAsia="Times New Roman" w:hAnsi="Times New Roman"/>
          <w:sz w:val="18"/>
          <w:szCs w:val="18"/>
          <w:color w:val="auto"/>
        </w:rPr>
        <w:t>ability to identify new product candidates. New services, or enhancements to existing EvolverAI services, may not adequately meet our requirements. Any of these failures could have a material adverse effect on our operating results and financial condition.</w:t>
      </w:r>
    </w:p>
    <w:p>
      <w:pPr>
        <w:spacing w:after="0" w:line="14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Risks Related to Our Reliance on Third Parties</w:t>
      </w:r>
    </w:p>
    <w:p>
      <w:pPr>
        <w:spacing w:after="0" w:line="185" w:lineRule="exact"/>
        <w:rPr>
          <w:sz w:val="20"/>
          <w:szCs w:val="20"/>
          <w:color w:val="auto"/>
        </w:rPr>
      </w:pPr>
    </w:p>
    <w:p>
      <w:pPr>
        <w:ind w:left="60" w:right="259"/>
        <w:spacing w:after="0" w:line="237" w:lineRule="auto"/>
        <w:rPr>
          <w:sz w:val="20"/>
          <w:szCs w:val="20"/>
          <w:color w:val="auto"/>
        </w:rPr>
      </w:pPr>
      <w:r>
        <w:rPr>
          <w:rFonts w:ascii="Times New Roman" w:cs="Times New Roman" w:eastAsia="Times New Roman" w:hAnsi="Times New Roman"/>
          <w:sz w:val="18"/>
          <w:szCs w:val="18"/>
          <w:b w:val="1"/>
          <w:bCs w:val="1"/>
          <w:i w:val="1"/>
          <w:iCs w:val="1"/>
          <w:color w:val="auto"/>
        </w:rPr>
        <w:t>We are substantially dependent on third parties for the manufacture of our clinical supplies of our product candidates and our commercial supplies of IGALMI</w:t>
      </w:r>
      <w:r>
        <w:rPr>
          <w:rFonts w:ascii="Times New Roman" w:cs="Times New Roman" w:eastAsia="Times New Roman" w:hAnsi="Times New Roman"/>
          <w:sz w:val="26"/>
          <w:szCs w:val="26"/>
          <w:b w:val="1"/>
          <w:bCs w:val="1"/>
          <w:i w:val="1"/>
          <w:iCs w:val="1"/>
          <w:color w:val="auto"/>
          <w:vertAlign w:val="superscript"/>
        </w:rPr>
        <w:t>®</w:t>
      </w:r>
      <w:r>
        <w:rPr>
          <w:rFonts w:ascii="Times New Roman" w:cs="Times New Roman" w:eastAsia="Times New Roman" w:hAnsi="Times New Roman"/>
          <w:sz w:val="18"/>
          <w:szCs w:val="18"/>
          <w:b w:val="1"/>
          <w:bCs w:val="1"/>
          <w:i w:val="1"/>
          <w:iCs w:val="1"/>
          <w:color w:val="auto"/>
        </w:rPr>
        <w:t>, and we intend to rely on third parties to produce commercial supplies of any other approved product candidate. Therefore, our development of our products could be stopped or delayed, and our commercialization of any future product could be stopped, delayed or made less profitable if third-party manufacturers fail to obtain approval of the FDA or comparable regulatory authorities or fail to provide us with drug product in sufficient quantities or at acceptable prices.</w:t>
      </w:r>
    </w:p>
    <w:p>
      <w:pPr>
        <w:spacing w:after="0" w:line="158" w:lineRule="exact"/>
        <w:rPr>
          <w:sz w:val="20"/>
          <w:szCs w:val="20"/>
          <w:color w:val="auto"/>
        </w:rPr>
      </w:pPr>
    </w:p>
    <w:p>
      <w:pPr>
        <w:ind w:left="60" w:right="159" w:firstLine="324"/>
        <w:spacing w:after="0" w:line="242" w:lineRule="auto"/>
        <w:rPr>
          <w:sz w:val="20"/>
          <w:szCs w:val="20"/>
          <w:color w:val="auto"/>
        </w:rPr>
      </w:pPr>
      <w:r>
        <w:rPr>
          <w:rFonts w:ascii="Times New Roman" w:cs="Times New Roman" w:eastAsia="Times New Roman" w:hAnsi="Times New Roman"/>
          <w:sz w:val="18"/>
          <w:szCs w:val="18"/>
          <w:color w:val="auto"/>
        </w:rPr>
        <w:t>We entered into a commercial supply agreement with ARx, LLC (“ARx”) pursuant to which ARx has agreed to exclusively manufacture and supply us with all of our worldwide demand of film formulation of Dex to be used for the commercial supply of IGALMI</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and for ongoing clinical trials of our product candidate BXCL501, subject to certain alternative supply provisions. If ARx is unable or ceases to produce our supply of Dex in sufficient quantities as and when needed or if the ARx agreement becomes too costly, our business would be harmed because there can be no assurance that we will be able to identify or enter into agreements with alternative suppliers on a timely basis on acceptable terms, if at all. An interruption in our ability to sell our products to customers could occur if we encounter delays or difficulties in securing Dex, or if the quantity or quality supplied does not meet our specifications, or if we cannot then obtain an acceptable substitute. If any of these events occur, our business and operating results could be harmed. Our specified minimum annual payment could adversely affect our cash flows in the future, such as in times when we have sufficient inventory and would otherwise be able to use our cash for other purposes.</w:t>
      </w:r>
    </w:p>
    <w:p>
      <w:pPr>
        <w:spacing w:after="0" w:line="176" w:lineRule="exact"/>
        <w:rPr>
          <w:sz w:val="20"/>
          <w:szCs w:val="20"/>
          <w:color w:val="auto"/>
        </w:rPr>
      </w:pPr>
    </w:p>
    <w:p>
      <w:pPr>
        <w:ind w:left="60" w:right="139" w:firstLine="324"/>
        <w:spacing w:after="0" w:line="253" w:lineRule="auto"/>
        <w:rPr>
          <w:sz w:val="20"/>
          <w:szCs w:val="20"/>
          <w:color w:val="auto"/>
        </w:rPr>
      </w:pPr>
      <w:r>
        <w:rPr>
          <w:rFonts w:ascii="Times New Roman" w:cs="Times New Roman" w:eastAsia="Times New Roman" w:hAnsi="Times New Roman"/>
          <w:sz w:val="18"/>
          <w:szCs w:val="18"/>
          <w:color w:val="auto"/>
        </w:rPr>
        <w:t>The manufacture of biotechnology and pharmaceutical products is complex and requires significant expertise, capital investment, process controls and know-how. Common difficulties in biotechnology and pharmaceutical manufacturing may include: sourcing and producing raw materials, transferring technology from chemistry and development activities to production activities, validating initial production designs, scaling manufacturing techniques, improving costs and yields, establishing and maintaining quality controls and stability requirements, eliminating contaminations and operator errors, and maintaining compliance with regulatory requirements. We do not currently have nor do we plan to acquire the infrastructure or capability internally to produce an adequate supply of compounds to meet future requirements for clinical trials and commercialization of our products or to produce our products in accordance with cGMP prescribed by the FDA or similar foreign requirements. Drug manufacturing facilities are subject to inspection before the FDA or foreign regulatory authorities will issue an approval to market a new drug product, and ARx, the Patheon pharma services division of Thermo Fisher Scientific Inc., and any other manufacturers that we may use must adhere to the cGMP or similar foreign regulations prescribed by the FDA or foreign regulatory authorities.</w:t>
      </w:r>
    </w:p>
    <w:p>
      <w:pPr>
        <w:spacing w:after="0" w:line="149" w:lineRule="exact"/>
        <w:rPr>
          <w:sz w:val="20"/>
          <w:szCs w:val="20"/>
          <w:color w:val="auto"/>
        </w:rPr>
      </w:pPr>
    </w:p>
    <w:p>
      <w:pPr>
        <w:ind w:left="60" w:right="179" w:firstLine="324"/>
        <w:spacing w:after="0" w:line="254" w:lineRule="auto"/>
        <w:rPr>
          <w:sz w:val="20"/>
          <w:szCs w:val="20"/>
          <w:color w:val="auto"/>
        </w:rPr>
      </w:pPr>
      <w:r>
        <w:rPr>
          <w:rFonts w:ascii="Times New Roman" w:cs="Times New Roman" w:eastAsia="Times New Roman" w:hAnsi="Times New Roman"/>
          <w:sz w:val="18"/>
          <w:szCs w:val="18"/>
          <w:color w:val="auto"/>
        </w:rPr>
        <w:t>As such, these third-party manufacturers will be required to comply with cGMPs, and other applicable laws and regulations. We have no control over the ability of these third parties to comply with these requirements, or to maintain adequate quality control, quality assurance and qualified personnel. If the FDA or any other applicable regulatory authorities do not approve the facilities of these third parties for the manufacture of our other product candidates or any products that we may successfully develop, or if it withdraws any such approval, or if our suppliers or contract manufacturers decide they no longer want to supply or manufacture for us, we may need to find alternative manufacturing facilities, in which case we might not be able to identify manufacturers for clinical or commercial supply on acceptable terms, or at all. Any of these factors would significantly impact our ability to develop, obtain regulatory approval for or market our product candidates and adversely affect our business.</w:t>
      </w:r>
    </w:p>
    <w:p>
      <w:pPr>
        <w:spacing w:after="0" w:line="148" w:lineRule="exact"/>
        <w:rPr>
          <w:sz w:val="20"/>
          <w:szCs w:val="20"/>
          <w:color w:val="auto"/>
        </w:rPr>
      </w:pPr>
    </w:p>
    <w:p>
      <w:pPr>
        <w:ind w:left="60" w:right="359" w:firstLine="324"/>
        <w:spacing w:after="0" w:line="256" w:lineRule="auto"/>
        <w:rPr>
          <w:sz w:val="20"/>
          <w:szCs w:val="20"/>
          <w:color w:val="auto"/>
        </w:rPr>
      </w:pPr>
      <w:r>
        <w:rPr>
          <w:rFonts w:ascii="Times New Roman" w:cs="Times New Roman" w:eastAsia="Times New Roman" w:hAnsi="Times New Roman"/>
          <w:sz w:val="18"/>
          <w:szCs w:val="18"/>
          <w:color w:val="auto"/>
        </w:rPr>
        <w:t>We, ARx, the Patheon pharma services division of Thermo Fisher Scientific Inc., and/or our other third-party manufacturers may be adversely affected by developments outside of our control, and these developments may delay or prevent further manufacturing of our products. Adverse developments may include labor disputes, resource constraints, shipment delays, inventory shortages, lot failures, unexpected sources of contamination, lawsuits related to our manufacturing techniques, equipment used during manufacturing, or composition of matter, unstable political environments, acts of terrorism, war, natural disasters, and other natural and man-made disasters. If we, ARx, the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06415" cy="260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5606415"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04" w:name="page105"/>
    <w:bookmarkEnd w:id="10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79"/>
        <w:spacing w:after="0" w:line="254" w:lineRule="auto"/>
        <w:rPr>
          <w:sz w:val="20"/>
          <w:szCs w:val="20"/>
          <w:color w:val="auto"/>
        </w:rPr>
      </w:pPr>
      <w:r>
        <w:rPr>
          <w:rFonts w:ascii="Times New Roman" w:cs="Times New Roman" w:eastAsia="Times New Roman" w:hAnsi="Times New Roman"/>
          <w:sz w:val="18"/>
          <w:szCs w:val="18"/>
          <w:color w:val="auto"/>
        </w:rPr>
        <w:t>Patheon pharma services division of Thermo Fisher Scientific Inc., or our other third-party manufacturers were to encounter any of the above difficulties, or otherwise fail to comply with contractual obligations, our ability to provide any product for clinical trial or commercial purposes would be jeopardized. This may increase the costs associated with completing our clinical trials and commercial production. Further, production disruptions may cause us to terminate ongoing clinical trials and/or commence new clinical trials at additional expense. We may also have to take inventory write-offs and incur other charges and expenses for products that fail to meet specifications or pass safety inspections. If production difficulties cannot be solved with acceptable costs, expenses, and timeframes, we may be forced to abandon our clinical development and commercialization plans, which could have a material adverse effect on our business, prospects, financial condition, and the value of our securities.</w:t>
      </w:r>
    </w:p>
    <w:p>
      <w:pPr>
        <w:spacing w:after="0" w:line="157" w:lineRule="exact"/>
        <w:rPr>
          <w:sz w:val="20"/>
          <w:szCs w:val="20"/>
          <w:color w:val="auto"/>
        </w:rPr>
      </w:pPr>
    </w:p>
    <w:p>
      <w:pPr>
        <w:ind w:left="60" w:right="21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or third-party manufacturers on whom we rely, including ARx, may be unable to successfully scale-up manufacturing of our product and product candidates in sufficient quality and quantity, which would delay or prevent us from developing our product candidates and commercializing any approved products.</w:t>
      </w:r>
    </w:p>
    <w:p>
      <w:pPr>
        <w:spacing w:after="0" w:line="134" w:lineRule="exact"/>
        <w:rPr>
          <w:sz w:val="20"/>
          <w:szCs w:val="20"/>
          <w:color w:val="auto"/>
        </w:rPr>
      </w:pPr>
    </w:p>
    <w:p>
      <w:pPr>
        <w:ind w:left="60" w:right="239" w:firstLine="324"/>
        <w:spacing w:after="0" w:line="253" w:lineRule="auto"/>
        <w:rPr>
          <w:sz w:val="20"/>
          <w:szCs w:val="20"/>
          <w:color w:val="auto"/>
        </w:rPr>
      </w:pPr>
      <w:r>
        <w:rPr>
          <w:rFonts w:ascii="Times New Roman" w:cs="Times New Roman" w:eastAsia="Times New Roman" w:hAnsi="Times New Roman"/>
          <w:sz w:val="18"/>
          <w:szCs w:val="18"/>
          <w:color w:val="auto"/>
        </w:rPr>
        <w:t>In order to conduct clinical trials of our product candidates and commercialize any approved product candidates, we, or our manufacturers, including ARx, and the Patheon pharma services division of Thermo Fisher Scientific Inc., will need to manufacture them in large quantities. We, or our manufacturers, may be unable to successfully increase the manufacturing capacity for any of our approved products or product candidates in a timely or cost-effective manner, or at all. In addition, quality issues may arise during scale-up activities. If we, or any of our manufacturers, are unable to successfully scale up the manufacture of our approved products or product candidates in sufficient quality and quantity, the development, testing, and clinical trials of that product candidate may be delayed or infeasible, and regulatory approval or commercial launch of any resulting product may be delayed or not obtained, which could significantly harm our business. If we are unable to obtain or maintain third-party manufacturing for commercial supply of our approved products, or to do so on commercially reasonable terms, we may not be able to develop and commercialize our approved products or product candidates successfully.</w:t>
      </w:r>
    </w:p>
    <w:p>
      <w:pPr>
        <w:spacing w:after="0" w:line="147" w:lineRule="exact"/>
        <w:rPr>
          <w:sz w:val="20"/>
          <w:szCs w:val="20"/>
          <w:color w:val="auto"/>
        </w:rPr>
      </w:pPr>
    </w:p>
    <w:p>
      <w:pPr>
        <w:ind w:left="60" w:right="5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failure to find third-party collaborators to assist or share in the costs of product development could materially harm our business, financial condition, and results of operations.</w:t>
      </w:r>
    </w:p>
    <w:p>
      <w:pPr>
        <w:spacing w:after="0" w:line="132" w:lineRule="exact"/>
        <w:rPr>
          <w:sz w:val="20"/>
          <w:szCs w:val="20"/>
          <w:color w:val="auto"/>
        </w:rPr>
      </w:pPr>
    </w:p>
    <w:p>
      <w:pPr>
        <w:ind w:left="60" w:right="299" w:firstLine="324"/>
        <w:spacing w:after="0" w:line="258" w:lineRule="auto"/>
        <w:rPr>
          <w:sz w:val="20"/>
          <w:szCs w:val="20"/>
          <w:color w:val="auto"/>
        </w:rPr>
      </w:pPr>
      <w:r>
        <w:rPr>
          <w:rFonts w:ascii="Times New Roman" w:cs="Times New Roman" w:eastAsia="Times New Roman" w:hAnsi="Times New Roman"/>
          <w:sz w:val="18"/>
          <w:szCs w:val="18"/>
          <w:color w:val="auto"/>
        </w:rPr>
        <w:t>Our strategy for the development and commercialization of our proprietary products and product candidates may include the formation of collaborative arrangements with third parties. Collaborators have significant discretion in determining the efforts and resources they apply and may not perform their obligations as expected. Potential third-party collaborators include biopharmaceutical, pharmaceutical and biotechnology companies, academic institutions and other entities. Third-party collaborators may assist us in:</w:t>
      </w:r>
    </w:p>
    <w:p>
      <w:pPr>
        <w:spacing w:after="0" w:line="143" w:lineRule="exact"/>
        <w:rPr>
          <w:sz w:val="20"/>
          <w:szCs w:val="20"/>
          <w:color w:val="auto"/>
        </w:rPr>
      </w:pPr>
    </w:p>
    <w:p>
      <w:pPr>
        <w:ind w:left="720" w:hanging="319"/>
        <w:spacing w:after="0"/>
        <w:tabs>
          <w:tab w:leader="none" w:pos="7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funding research, preclinical development, clinical trials and manufacturing;</w:t>
      </w:r>
    </w:p>
    <w:p>
      <w:pPr>
        <w:spacing w:after="0" w:line="18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seeking and obtaining regulatory approvals; and</w:t>
      </w:r>
    </w:p>
    <w:p>
      <w:pPr>
        <w:spacing w:after="0" w:line="190"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successfully commercializing IGALMI</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or product candidates.</w:t>
      </w:r>
    </w:p>
    <w:p>
      <w:pPr>
        <w:spacing w:after="0" w:line="100" w:lineRule="exact"/>
        <w:rPr>
          <w:sz w:val="20"/>
          <w:szCs w:val="20"/>
          <w:color w:val="auto"/>
        </w:rPr>
      </w:pPr>
    </w:p>
    <w:p>
      <w:pPr>
        <w:jc w:val="both"/>
        <w:ind w:left="60" w:right="319" w:firstLine="324"/>
        <w:spacing w:after="0" w:line="281" w:lineRule="auto"/>
        <w:rPr>
          <w:sz w:val="20"/>
          <w:szCs w:val="20"/>
          <w:color w:val="auto"/>
        </w:rPr>
      </w:pPr>
      <w:r>
        <w:rPr>
          <w:rFonts w:ascii="Times New Roman" w:cs="Times New Roman" w:eastAsia="Times New Roman" w:hAnsi="Times New Roman"/>
          <w:sz w:val="17"/>
          <w:szCs w:val="17"/>
          <w:color w:val="auto"/>
        </w:rPr>
        <w:t>If we are not able to establish collaboration agreements, we may be required to undertake product development and commercialization at our own expense. Such an undertaking may limit the number of product candidates that we will be able to develop, significantly increase our capital requirements and place additional strain on our internal resources. Our failure to enter into collaborations could materially harm our business, financial condition and results of operations.</w:t>
      </w:r>
    </w:p>
    <w:p>
      <w:pPr>
        <w:spacing w:after="0" w:line="124" w:lineRule="exact"/>
        <w:rPr>
          <w:sz w:val="20"/>
          <w:szCs w:val="20"/>
          <w:color w:val="auto"/>
        </w:rPr>
      </w:pPr>
    </w:p>
    <w:p>
      <w:pPr>
        <w:ind w:left="60" w:right="159" w:firstLine="324"/>
        <w:spacing w:after="0" w:line="254" w:lineRule="auto"/>
        <w:rPr>
          <w:sz w:val="20"/>
          <w:szCs w:val="20"/>
          <w:color w:val="auto"/>
        </w:rPr>
      </w:pPr>
      <w:r>
        <w:rPr>
          <w:rFonts w:ascii="Times New Roman" w:cs="Times New Roman" w:eastAsia="Times New Roman" w:hAnsi="Times New Roman"/>
          <w:sz w:val="18"/>
          <w:szCs w:val="18"/>
          <w:color w:val="auto"/>
        </w:rPr>
        <w:t>In addition, our dependence on licensing, collaboration and other agreements with third parties may subject us to a number of risks. These agreements may not be on terms that prove favorable to us and may require us to relinquish certain rights in our product candidates. To the extent we agree to work exclusively with one collaborator in a given area, our opportunities to collaborate with other entities could be curtailed. Lengthy negotiations with potential new collaborators may lead to delays in the research, development or commercialization of product candidates. The decision by our collaborators to pursue alternative technologies or the failure of our collaborators to develop or commercialize successfully any product candidate to which they have obtained rights from us could materially harm our business, financial condition and results of operations.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06415" cy="254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5606415"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05" w:name="page106"/>
    <w:bookmarkEnd w:id="10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right="23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rely on third parties to conduct our preclinical and clinical trials. If these third parties do not successfully perform their contractual legal and regulatory duties or meet expected deadlines, we may not be able to obtain regulatory approval for or commercialize our product candidates and our business could be substantially harmed.</w:t>
      </w:r>
    </w:p>
    <w:p>
      <w:pPr>
        <w:spacing w:after="0" w:line="148" w:lineRule="exact"/>
        <w:rPr>
          <w:sz w:val="20"/>
          <w:szCs w:val="20"/>
          <w:color w:val="auto"/>
        </w:rPr>
      </w:pPr>
    </w:p>
    <w:p>
      <w:pPr>
        <w:jc w:val="both"/>
        <w:ind w:left="60" w:right="139" w:firstLine="324"/>
        <w:spacing w:after="0" w:line="272" w:lineRule="auto"/>
        <w:rPr>
          <w:sz w:val="20"/>
          <w:szCs w:val="20"/>
          <w:color w:val="auto"/>
        </w:rPr>
      </w:pPr>
      <w:r>
        <w:rPr>
          <w:rFonts w:ascii="Times New Roman" w:cs="Times New Roman" w:eastAsia="Times New Roman" w:hAnsi="Times New Roman"/>
          <w:sz w:val="17"/>
          <w:szCs w:val="17"/>
          <w:color w:val="auto"/>
        </w:rPr>
        <w:t>We have relied upon and plan to continue to rely upon third-party medical institutions, clinical investigators, contract laboratories and other third-party CROs to monitor and manage data for our ongoing preclinical and clinical programs. We rely on these parties for execution of our preclinical and clinical trials, and control only certain aspects of their activities.</w:t>
      </w:r>
    </w:p>
    <w:p>
      <w:pPr>
        <w:spacing w:after="0" w:line="2" w:lineRule="exact"/>
        <w:rPr>
          <w:sz w:val="20"/>
          <w:szCs w:val="20"/>
          <w:color w:val="auto"/>
        </w:rPr>
      </w:pPr>
    </w:p>
    <w:p>
      <w:pPr>
        <w:ind w:left="60" w:right="159"/>
        <w:spacing w:after="0" w:line="253" w:lineRule="auto"/>
        <w:rPr>
          <w:sz w:val="20"/>
          <w:szCs w:val="20"/>
          <w:color w:val="auto"/>
        </w:rPr>
      </w:pPr>
      <w:r>
        <w:rPr>
          <w:rFonts w:ascii="Times New Roman" w:cs="Times New Roman" w:eastAsia="Times New Roman" w:hAnsi="Times New Roman"/>
          <w:sz w:val="18"/>
          <w:szCs w:val="18"/>
          <w:color w:val="auto"/>
        </w:rPr>
        <w:t>Nevertheless, we are responsible for ensuring that each of our studies is conducted in accordance with the applicable protocol, legal, regulatory and scientific standards, and our reliance on the CROs does not relieve us of our regulatory responsibilities. We and our CROs are required to comply with GCPs, which are regulations and guidelines enforced by the FDA, the competent authorities of the European Economic Area (“EEA”) countries and comparable foreign regulatory authorities for all of our products in clinical development.</w:t>
      </w:r>
    </w:p>
    <w:p>
      <w:pPr>
        <w:spacing w:after="0" w:line="146" w:lineRule="exact"/>
        <w:rPr>
          <w:sz w:val="20"/>
          <w:szCs w:val="20"/>
          <w:color w:val="auto"/>
        </w:rPr>
      </w:pPr>
    </w:p>
    <w:p>
      <w:pPr>
        <w:ind w:left="60" w:right="179" w:firstLine="324"/>
        <w:spacing w:after="0" w:line="254" w:lineRule="auto"/>
        <w:rPr>
          <w:sz w:val="20"/>
          <w:szCs w:val="20"/>
          <w:color w:val="auto"/>
        </w:rPr>
      </w:pPr>
      <w:r>
        <w:rPr>
          <w:rFonts w:ascii="Times New Roman" w:cs="Times New Roman" w:eastAsia="Times New Roman" w:hAnsi="Times New Roman"/>
          <w:sz w:val="18"/>
          <w:szCs w:val="18"/>
          <w:color w:val="auto"/>
        </w:rPr>
        <w:t>Regulatory authorities enforce these GCPs through periodic inspections of trial sponsors, principal investigators and trial sites. If regulatory authorities determine that we or any of our CROs failed to comply with applicable GCPs, the clinical data generated in our clinical trials may be deemed unreliable and the FDA, the EMA or comparable foreign regulatory authorities may require us to perform additional clinical trials before approving our marketing applications. We cannot assure you that upon inspection by a given regulatory authority, such regulatory authority will determine that any of our clinical trials comply with GCP regulations. In addition, our clinical trials must be conducted with product produced under cGMP and similar foreign regulations. Any failure, whether by us or our CROs, to comply with these regulations may require us to repeat clinical trials, which would delay the regulatory approval process.</w:t>
      </w:r>
    </w:p>
    <w:p>
      <w:pPr>
        <w:spacing w:after="0" w:line="151" w:lineRule="exact"/>
        <w:rPr>
          <w:sz w:val="20"/>
          <w:szCs w:val="20"/>
          <w:color w:val="auto"/>
        </w:rPr>
      </w:pPr>
    </w:p>
    <w:p>
      <w:pPr>
        <w:ind w:left="60" w:right="239" w:firstLine="324"/>
        <w:spacing w:after="0" w:line="268" w:lineRule="auto"/>
        <w:rPr>
          <w:sz w:val="20"/>
          <w:szCs w:val="20"/>
          <w:color w:val="auto"/>
        </w:rPr>
      </w:pPr>
      <w:r>
        <w:rPr>
          <w:rFonts w:ascii="Times New Roman" w:cs="Times New Roman" w:eastAsia="Times New Roman" w:hAnsi="Times New Roman"/>
          <w:sz w:val="17"/>
          <w:szCs w:val="17"/>
          <w:color w:val="auto"/>
        </w:rPr>
        <w:t>In addition, if any of our relationships with our third-party CROs terminate, we may not be able to enter into arrangements with alternative CROs or to do so on commercially reasonable terms. In addition, our CROs are not our employees, and except for remedies available to us under our agreements with such CROs, we cannot control whether they devote sufficient time and resources to our on-going clinical, nonclinical and preclinical programs. If CROs do not successfully carry out their contractual duties or obligations or meet expected deadlines, if they need to be replaced or if the quality or accuracy of the clinical data they obtain is compromised due to the failure to adhere to our clinical protocols, regulatory requirements or for other reasons, our clinical trials may be extended, delayed or terminated and we may not be able to obtain regulatory approval for or successfully commercialize our product candidates. For example, investigator misconduct during our TRANQUILITY II trial evaluating BXCL501 in patients with probable Alzheimer’s disease could require us to conduct additional clinical trials before we are able to seek or obtain approval for BXCL501 for use in this patient population, as described more fully in the risk factor above entitled: “</w:t>
      </w:r>
      <w:r>
        <w:rPr>
          <w:rFonts w:ascii="Times New Roman" w:cs="Times New Roman" w:eastAsia="Times New Roman" w:hAnsi="Times New Roman"/>
          <w:sz w:val="17"/>
          <w:szCs w:val="17"/>
          <w:i w:val="1"/>
          <w:iCs w:val="1"/>
          <w:color w:val="auto"/>
        </w:rPr>
        <w:t>Developments relating to our</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TRANQUILITY II Phase 3 trial may impact the timing of our development plans for, and prospects for seeking or obtaining regulatory approval of, BXCL501 for the acute treatment of agitation (non-daily) associated with dementia in patients with probable Alzheimer’s disease</w:t>
      </w:r>
      <w:r>
        <w:rPr>
          <w:rFonts w:ascii="Times New Roman" w:cs="Times New Roman" w:eastAsia="Times New Roman" w:hAnsi="Times New Roman"/>
          <w:sz w:val="17"/>
          <w:szCs w:val="17"/>
          <w:color w:val="auto"/>
        </w:rPr>
        <w:t>.” As a result, our results of operations and the commercial prospects for our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product candidates would be harmed, our costs could increase and our ability to generate revenues could be delayed.</w:t>
      </w:r>
    </w:p>
    <w:p>
      <w:pPr>
        <w:spacing w:after="0" w:line="155" w:lineRule="exact"/>
        <w:rPr>
          <w:sz w:val="20"/>
          <w:szCs w:val="20"/>
          <w:color w:val="auto"/>
        </w:rPr>
      </w:pPr>
    </w:p>
    <w:p>
      <w:pPr>
        <w:ind w:left="60" w:right="199" w:firstLine="324"/>
        <w:spacing w:after="0" w:line="253" w:lineRule="auto"/>
        <w:rPr>
          <w:sz w:val="20"/>
          <w:szCs w:val="20"/>
          <w:color w:val="auto"/>
        </w:rPr>
      </w:pPr>
      <w:r>
        <w:rPr>
          <w:rFonts w:ascii="Times New Roman" w:cs="Times New Roman" w:eastAsia="Times New Roman" w:hAnsi="Times New Roman"/>
          <w:sz w:val="18"/>
          <w:szCs w:val="18"/>
          <w:color w:val="auto"/>
        </w:rPr>
        <w:t>Many of the third parties with whom we contract may also have relationships with other commercial entities, including our competitors, for whom they may also be conducting clinical trials or other drug development activities that could harm our competitive position. If the third parties conducting our GCP preclinical studies or our clinical trials do not perform their contractual duties or obligations, experience work stoppages, do not meet expected deadlines, terminate their agreements with us or need to be replaced, or if the quality or accuracy of the clinical data they obtain is compromised due to their failure to adhere to our clinical trial protocols or to GCPs, or for any other reason, we may need to enter into new arrangements with alternative third parties. Switching or adding CROs involves additional cost and requires management time and focus. In addition, there is a natural transition period when a new CRO commences work. As a result, delays occur, which can materially impact our ability to meet our desired clinical development timelines. Though we carefully manage our relationships with our CROs, there can be no assurance that we will not encounter similar challenges or delays in the future or that these delays or challenges will not have a material adverse impact on our business, financial condition and prospects.</w:t>
      </w:r>
    </w:p>
    <w:p>
      <w:pPr>
        <w:spacing w:after="0" w:line="200" w:lineRule="exact"/>
        <w:rPr>
          <w:sz w:val="20"/>
          <w:szCs w:val="20"/>
          <w:color w:val="auto"/>
        </w:rPr>
      </w:pPr>
    </w:p>
    <w:p>
      <w:pPr>
        <w:spacing w:after="0" w:line="20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5606415"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06" w:name="page107"/>
    <w:bookmarkEnd w:id="10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Risks Related to Our Business and Industry</w:t>
      </w:r>
    </w:p>
    <w:p>
      <w:pPr>
        <w:spacing w:after="0" w:line="198" w:lineRule="exact"/>
        <w:rPr>
          <w:sz w:val="20"/>
          <w:szCs w:val="20"/>
          <w:color w:val="auto"/>
        </w:rPr>
      </w:pPr>
    </w:p>
    <w:p>
      <w:pPr>
        <w:ind w:left="60" w:right="1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Unfavorable global political or economic events and conditions could adversely affect our business, financial condition or results of operations.</w:t>
      </w:r>
    </w:p>
    <w:p>
      <w:pPr>
        <w:spacing w:after="0" w:line="118" w:lineRule="exact"/>
        <w:rPr>
          <w:sz w:val="20"/>
          <w:szCs w:val="20"/>
          <w:color w:val="auto"/>
        </w:rPr>
      </w:pPr>
    </w:p>
    <w:p>
      <w:pPr>
        <w:ind w:left="60" w:right="219" w:firstLine="324"/>
        <w:spacing w:after="0" w:line="252" w:lineRule="auto"/>
        <w:rPr>
          <w:sz w:val="20"/>
          <w:szCs w:val="20"/>
          <w:color w:val="auto"/>
        </w:rPr>
      </w:pPr>
      <w:r>
        <w:rPr>
          <w:rFonts w:ascii="Times New Roman" w:cs="Times New Roman" w:eastAsia="Times New Roman" w:hAnsi="Times New Roman"/>
          <w:sz w:val="18"/>
          <w:szCs w:val="18"/>
          <w:color w:val="auto"/>
        </w:rPr>
        <w:t>Our business could be adversely affected by unstable economic and political conditions within the United States and foreign jurisdictions, including as a result of an economic downturn and geopolitical events, such as changes in U.S. federal policy that affect the geopolitical landscape. In addition, the global economy, including credit and financial markets, has recently experienced extreme volatility and disruptions, including severely diminished liquidity and credit availability, rising interest and inflation rates, declines in consumer confidence, declines in economic growth, increases in unemployment rates and uncertainty about economic stability. In addition, events such as pandemics, epidemics, or outbreaks of an infectious disease may materially and adversely impact our business if we or any of the third parties with whom we engage were to experience shutdowns or other business disruptions. Furthermore, geopolitical conflicts and war, such as the current military conflict between Russia and Ukraine and the war between Israel and Hamas, and other conflicts in the Middle East, could disrupt or otherwise adversely impact our operations and those of third parties upon which we rely. Related sanctions, export controls or other actions have and may in the future be initiated by nations including the U.S., the EU or Russia (e.g., potential cyberattacks, disruption of energy flows, etc.), which could adversely affect our business and/or our supply chain, our CROs, CMOs and other third parties with which we conduct business. Any of the foregoing could harm our business and we cannot anticipate all of the ways in which the current economic climate and financial market conditions could adversely impact our business.</w:t>
      </w:r>
    </w:p>
    <w:p>
      <w:pPr>
        <w:spacing w:after="0" w:line="155" w:lineRule="exact"/>
        <w:rPr>
          <w:sz w:val="20"/>
          <w:szCs w:val="20"/>
          <w:color w:val="auto"/>
        </w:rPr>
      </w:pPr>
    </w:p>
    <w:p>
      <w:pPr>
        <w:ind w:left="60" w:right="139" w:firstLine="324"/>
        <w:spacing w:after="0" w:line="253" w:lineRule="auto"/>
        <w:rPr>
          <w:sz w:val="20"/>
          <w:szCs w:val="20"/>
          <w:color w:val="auto"/>
        </w:rPr>
      </w:pPr>
      <w:r>
        <w:rPr>
          <w:rFonts w:ascii="Times New Roman" w:cs="Times New Roman" w:eastAsia="Times New Roman" w:hAnsi="Times New Roman"/>
          <w:sz w:val="18"/>
          <w:szCs w:val="18"/>
          <w:color w:val="auto"/>
        </w:rPr>
        <w:t>Additionally, trade policies and geopolitical disputes and other international conflicts can result in tariffs, sanctions and other measures that restrict international trade, and can materially adversely affect our business, particularly if these measures affect regions where raw materials are sourced. For example, tensions between the United States and China have led to a series of tariffs being imposed by the United States on imports from China, as well as other business restrictions. Countries may also adopt other measures, such as controls on imports or exports of goods, technology or data, that could adversely impact our operations and supply chain. As these tensions continue to rise, more targeted approaches on certain products, industries or companies could significantly impact our development and commercialization efforts. The U.S. government has recently imposed tariffs on certain foreign goods, and some foreign governments have threatened or instituted retaliatory tariffs on certain U.S. goods and have indicated a willingness to impose additional tariffs on U.S. products, which could increase the cost of goods needed to commercialize our products and continue development of our product candidates. Further, such actions by the U.S. could result in other retaliatory actions by those countries which could impact our ability to profitably commercialize our products in those jurisdictions. As a result, our business, operations, and financial condition could be materially harmed.</w:t>
      </w:r>
    </w:p>
    <w:p>
      <w:pPr>
        <w:spacing w:after="0" w:line="160" w:lineRule="exact"/>
        <w:rPr>
          <w:sz w:val="20"/>
          <w:szCs w:val="20"/>
          <w:color w:val="auto"/>
        </w:rPr>
      </w:pPr>
    </w:p>
    <w:p>
      <w:pPr>
        <w:ind w:left="60" w:right="239" w:firstLine="324"/>
        <w:spacing w:after="0" w:line="253" w:lineRule="auto"/>
        <w:rPr>
          <w:sz w:val="20"/>
          <w:szCs w:val="20"/>
          <w:color w:val="auto"/>
        </w:rPr>
      </w:pPr>
      <w:r>
        <w:rPr>
          <w:rFonts w:ascii="Times New Roman" w:cs="Times New Roman" w:eastAsia="Times New Roman" w:hAnsi="Times New Roman"/>
          <w:sz w:val="18"/>
          <w:szCs w:val="18"/>
          <w:color w:val="auto"/>
        </w:rPr>
        <w:t>A severe or prolonged economic downturn, or additional global financial or political crises, could result in a variety of risks to our business, including delayed clinical studies or preclinical studies, delayed approval of our product candidates, delayed ability to obtain patents and other intellectual property protection, weakened demand for our product candidates, if approved, or our ability to raise additional capital when needed on acceptable terms, if at all. The extent of the impact of these conditions on our operational and financial performance, including our ability to execute our business strategies and initiatives in the expected timeframe, as well as that of third parties upon whom we rely, will depend on future developments which are uncertain and cannot be predicted. A weak or declining economy also could strain our suppliers, possibly resulting in supply disruption. Any of the foregoing could harm our business and we cannot anticipate all of the ways in which the current economic climate and financial market conditions could adversely impact our business. Furthermore, our stock price may decline due in part to the volatility of the stock market and the general economic downturn.</w:t>
      </w:r>
    </w:p>
    <w:p>
      <w:pPr>
        <w:spacing w:after="0" w:line="14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Our future success may depend on our ability to attract and retain qualified personnel, including consultants.</w:t>
      </w:r>
    </w:p>
    <w:p>
      <w:pPr>
        <w:spacing w:after="0" w:line="189" w:lineRule="exact"/>
        <w:rPr>
          <w:sz w:val="20"/>
          <w:szCs w:val="20"/>
          <w:color w:val="auto"/>
        </w:rPr>
      </w:pPr>
    </w:p>
    <w:p>
      <w:pPr>
        <w:ind w:left="60" w:right="219" w:firstLine="324"/>
        <w:spacing w:after="0" w:line="258" w:lineRule="auto"/>
        <w:rPr>
          <w:sz w:val="20"/>
          <w:szCs w:val="20"/>
          <w:color w:val="auto"/>
        </w:rPr>
      </w:pPr>
      <w:r>
        <w:rPr>
          <w:rFonts w:ascii="Times New Roman" w:cs="Times New Roman" w:eastAsia="Times New Roman" w:hAnsi="Times New Roman"/>
          <w:sz w:val="18"/>
          <w:szCs w:val="18"/>
          <w:color w:val="auto"/>
        </w:rPr>
        <w:t>We are dependent on the principal members of our management and scientific teams. Our success and the execution of our operating strategy, to the extent we continue operations, depend largely on the continued service of our employees. In addition to our employees, we have access to certain of BioXcel LLC’s employees and resources through the various agreements we have with BioXcel LLC. We have expanded our management team to include an operational ramp-up of additional technical staff required to achieve our business objectives. We will need to retain such</w:t>
      </w:r>
    </w:p>
    <w:p>
      <w:pPr>
        <w:sectPr>
          <w:pgSz w:w="11900" w:h="16838" w:orient="portrait"/>
          <w:cols w:equalWidth="0" w:num="1">
            <w:col w:w="9019"/>
          </w:cols>
          <w:pgMar w:left="1440" w:top="513" w:right="1440" w:bottom="1440" w:gutter="0" w:footer="0" w:header="0"/>
        </w:sectPr>
      </w:pPr>
    </w:p>
    <w:p>
      <w:pPr>
        <w:spacing w:after="0" w:line="39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06415" cy="260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5606415"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07" w:name="page108"/>
    <w:bookmarkEnd w:id="10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39"/>
        <w:spacing w:after="0" w:line="261" w:lineRule="auto"/>
        <w:rPr>
          <w:sz w:val="20"/>
          <w:szCs w:val="20"/>
          <w:color w:val="auto"/>
        </w:rPr>
      </w:pPr>
      <w:r>
        <w:rPr>
          <w:rFonts w:ascii="Times New Roman" w:cs="Times New Roman" w:eastAsia="Times New Roman" w:hAnsi="Times New Roman"/>
          <w:sz w:val="18"/>
          <w:szCs w:val="18"/>
          <w:color w:val="auto"/>
        </w:rPr>
        <w:t>employees, and may need to continue to expand our managerial, commercial, operational, technical, and scientific, financial, and other resources to manage our operations and clinical trials, continue our research and development activities, and any approved product candidates. Our management and scientific personnel, systems and facilities currently in place may not be adequate to support our future growth.</w:t>
      </w:r>
    </w:p>
    <w:p>
      <w:pPr>
        <w:spacing w:after="0" w:line="153" w:lineRule="exact"/>
        <w:rPr>
          <w:sz w:val="20"/>
          <w:szCs w:val="20"/>
          <w:color w:val="auto"/>
        </w:rPr>
      </w:pPr>
    </w:p>
    <w:p>
      <w:pPr>
        <w:ind w:left="60" w:right="179" w:firstLine="324"/>
        <w:spacing w:after="0" w:line="253" w:lineRule="auto"/>
        <w:rPr>
          <w:sz w:val="20"/>
          <w:szCs w:val="20"/>
          <w:color w:val="auto"/>
        </w:rPr>
      </w:pPr>
      <w:r>
        <w:rPr>
          <w:rFonts w:ascii="Times New Roman" w:cs="Times New Roman" w:eastAsia="Times New Roman" w:hAnsi="Times New Roman"/>
          <w:sz w:val="18"/>
          <w:szCs w:val="18"/>
          <w:color w:val="auto"/>
        </w:rPr>
        <w:t>We may utilize the services of third-party vendors to perform tasks including preclinical and clinical trial management, statistics and analysis, regulatory affairs, medical advisory, market research, formulation development, chemistry, manufacturing and control activities, other drug development functions, legal, auditing, financial advisory, and investor relations. Because we rely on numerous consultants to outsource many key functions of our business, we will need to be able to effectively manage these consultants to ensure that they successfully carry out their contractual obligations and meet expected deadlines. However, if we are unable to effectively manage our outsourced activities or if the quality or accuracy of the services provided by consultants is compromised for any reason, our clinical trials may be extended, delayed or terminated, and we may not be able to obtain regulatory approval for our product candidate or otherwise advance our business. There can be no assurance that we will be able to manage our existing consultants or find other competent outside contractors and consultants on economically reasonable terms, or at all. If we are not able to recruit and retain qualified personnel, we may be unable to successfully implement the tasks necessary to further develop and commercialize our product candidate and, accordingly, may not achieve our research, development and commercialization goals.</w:t>
      </w:r>
    </w:p>
    <w:p>
      <w:pPr>
        <w:spacing w:after="0" w:line="143" w:lineRule="exact"/>
        <w:rPr>
          <w:sz w:val="20"/>
          <w:szCs w:val="20"/>
          <w:color w:val="auto"/>
        </w:rPr>
      </w:pPr>
    </w:p>
    <w:p>
      <w:pPr>
        <w:ind w:left="60" w:right="2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depend on our senior management team, and the loss of one or more of our executive officers or key employees or an inability to attract and retain highly skilled employees could adversely affect our business.</w:t>
      </w:r>
    </w:p>
    <w:p>
      <w:pPr>
        <w:spacing w:after="0" w:line="118" w:lineRule="exact"/>
        <w:rPr>
          <w:sz w:val="20"/>
          <w:szCs w:val="20"/>
          <w:color w:val="auto"/>
        </w:rPr>
      </w:pPr>
    </w:p>
    <w:p>
      <w:pPr>
        <w:ind w:left="60" w:right="179" w:firstLine="324"/>
        <w:spacing w:after="0" w:line="254" w:lineRule="auto"/>
        <w:rPr>
          <w:sz w:val="20"/>
          <w:szCs w:val="20"/>
          <w:color w:val="auto"/>
        </w:rPr>
      </w:pPr>
      <w:r>
        <w:rPr>
          <w:rFonts w:ascii="Times New Roman" w:cs="Times New Roman" w:eastAsia="Times New Roman" w:hAnsi="Times New Roman"/>
          <w:sz w:val="18"/>
          <w:szCs w:val="18"/>
          <w:color w:val="auto"/>
        </w:rPr>
        <w:t>Our success depends largely upon the continued services of our key executive officers, including Vimal Mehta, our Chief Executive Officer, President and a member of our Board, as well as the other principal members of our management, scientific, clinical teams and commercial readiness teams. We do not maintain “key person” insurance for any of these executive officers or any of our other key employees. We also rely on our leadership team in the areas of research and development, marketing, services and selling, general and administrative functions. From time to time, there may be changes in our executive management and leadership teams resulting from the hiring or departure of executives or other key employees, which could disrupt our business. The replacement of one or more of our executive officers or other key employees would likely involve significant time and costs and may significantly delay or prevent the achievement of our business objectives.</w:t>
      </w:r>
    </w:p>
    <w:p>
      <w:pPr>
        <w:spacing w:after="0" w:line="161" w:lineRule="exact"/>
        <w:rPr>
          <w:sz w:val="20"/>
          <w:szCs w:val="20"/>
          <w:color w:val="auto"/>
        </w:rPr>
      </w:pPr>
    </w:p>
    <w:p>
      <w:pPr>
        <w:ind w:left="60" w:right="179" w:firstLine="324"/>
        <w:spacing w:after="0" w:line="255" w:lineRule="auto"/>
        <w:rPr>
          <w:sz w:val="20"/>
          <w:szCs w:val="20"/>
          <w:color w:val="auto"/>
        </w:rPr>
      </w:pPr>
      <w:r>
        <w:rPr>
          <w:rFonts w:ascii="Times New Roman" w:cs="Times New Roman" w:eastAsia="Times New Roman" w:hAnsi="Times New Roman"/>
          <w:sz w:val="18"/>
          <w:szCs w:val="18"/>
          <w:color w:val="auto"/>
        </w:rPr>
        <w:t>To continue to execute our business strategy, we also must attract and retain highly skilled personnel. We might not be successful in maintaining our unique culture and continuing to attract and retain qualified personnel. We have, from time to time, had difficulty hiring and retaining highly skilled personnel with appropriate qualifications, including as a result of the Reprioritization and related consequences for our reputation. We may experience such difficulties in the future, and any further restructuring or related reduction in force could exacerbate such difficulties. The pool of qualified personnel with experience working within the biopharmaceutical and biotechnology market is limited overall. In addition, many of the companies with which we compete for experienced personnel have greater resources than we have.</w:t>
      </w:r>
    </w:p>
    <w:p>
      <w:pPr>
        <w:spacing w:after="0" w:line="148" w:lineRule="exact"/>
        <w:rPr>
          <w:sz w:val="20"/>
          <w:szCs w:val="20"/>
          <w:color w:val="auto"/>
        </w:rPr>
      </w:pPr>
    </w:p>
    <w:p>
      <w:pPr>
        <w:ind w:left="60" w:right="239" w:firstLine="324"/>
        <w:spacing w:after="0" w:line="254" w:lineRule="auto"/>
        <w:rPr>
          <w:sz w:val="20"/>
          <w:szCs w:val="20"/>
          <w:color w:val="auto"/>
        </w:rPr>
      </w:pPr>
      <w:r>
        <w:rPr>
          <w:rFonts w:ascii="Times New Roman" w:cs="Times New Roman" w:eastAsia="Times New Roman" w:hAnsi="Times New Roman"/>
          <w:sz w:val="18"/>
          <w:szCs w:val="18"/>
          <w:color w:val="auto"/>
        </w:rPr>
        <w:t>Furthermore, prior workforce reductions and any future similar cost-saving initiatives may make it difficult for us to maintain valuable aspects of our culture, retain institutional knowledge and expertise, to prevent a negative effect on employee morale or attrition beyond our planned reduction in headcount, and to attract competent personnel who are willing to embrace our culture in the future. Our executive officers and other employees are at-will employees, which means they may terminate their employment relationship with us at any time, and their knowledge of our business and industry would be extremely difficult to replace. We may not be able to retain the services of any members of our senior management or other key employees. If we do not succeed in retaining and motivating existing employees or attracting well-qualified employees in the future, our business, financial condition and results of operations could be materially and adversely affected.</w:t>
      </w:r>
    </w:p>
    <w:p>
      <w:pPr>
        <w:spacing w:after="0" w:line="148" w:lineRule="exact"/>
        <w:rPr>
          <w:sz w:val="20"/>
          <w:szCs w:val="20"/>
          <w:color w:val="auto"/>
        </w:rPr>
      </w:pPr>
    </w:p>
    <w:p>
      <w:pPr>
        <w:ind w:left="60" w:right="239" w:firstLine="324"/>
        <w:spacing w:after="0" w:line="261" w:lineRule="auto"/>
        <w:rPr>
          <w:sz w:val="20"/>
          <w:szCs w:val="20"/>
          <w:color w:val="auto"/>
        </w:rPr>
      </w:pPr>
      <w:r>
        <w:rPr>
          <w:rFonts w:ascii="Times New Roman" w:cs="Times New Roman" w:eastAsia="Times New Roman" w:hAnsi="Times New Roman"/>
          <w:sz w:val="18"/>
          <w:szCs w:val="18"/>
          <w:color w:val="auto"/>
        </w:rPr>
        <w:t>In addition, in making employment decisions, particularly in the biotechnology and high-technology industries, job candidates often consider the value of the stock options or other equity instruments they are to receive in connection with their employment. Volatility in the price of our stock might, therefore, adversely affect our ability to attract or retain highly skilled personnel. Furthermore, the requirement to expense the fair value of stock options and other equity</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06415" cy="260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5606415"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08" w:name="page109"/>
    <w:bookmarkEnd w:id="10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39"/>
        <w:spacing w:after="0" w:line="266" w:lineRule="auto"/>
        <w:rPr>
          <w:sz w:val="20"/>
          <w:szCs w:val="20"/>
          <w:color w:val="auto"/>
        </w:rPr>
      </w:pPr>
      <w:r>
        <w:rPr>
          <w:rFonts w:ascii="Times New Roman" w:cs="Times New Roman" w:eastAsia="Times New Roman" w:hAnsi="Times New Roman"/>
          <w:sz w:val="18"/>
          <w:szCs w:val="18"/>
          <w:color w:val="auto"/>
        </w:rPr>
        <w:t>instruments might discourage us from granting the size or type of stock option or equity awards that job candidates require to join our Company. If we fail to attract new personnel or fail to retain and motivate our current personnel, our business and future growth prospects could be severely harmed.</w:t>
      </w:r>
    </w:p>
    <w:p>
      <w:pPr>
        <w:spacing w:after="0" w:line="145" w:lineRule="exact"/>
        <w:rPr>
          <w:sz w:val="20"/>
          <w:szCs w:val="20"/>
          <w:color w:val="auto"/>
        </w:rPr>
      </w:pPr>
    </w:p>
    <w:p>
      <w:pPr>
        <w:ind w:left="60" w:right="2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acquire other companies or technologies, which could divert our management’s attention, result in dilution to our stockholders and otherwise disrupt our operations and adversely affect our operating results.</w:t>
      </w:r>
    </w:p>
    <w:p>
      <w:pPr>
        <w:spacing w:after="0" w:line="118" w:lineRule="exact"/>
        <w:rPr>
          <w:sz w:val="20"/>
          <w:szCs w:val="20"/>
          <w:color w:val="auto"/>
        </w:rPr>
      </w:pPr>
    </w:p>
    <w:p>
      <w:pPr>
        <w:ind w:left="60" w:right="179" w:firstLine="324"/>
        <w:spacing w:after="0" w:line="261" w:lineRule="auto"/>
        <w:rPr>
          <w:sz w:val="20"/>
          <w:szCs w:val="20"/>
          <w:color w:val="auto"/>
        </w:rPr>
      </w:pPr>
      <w:r>
        <w:rPr>
          <w:rFonts w:ascii="Times New Roman" w:cs="Times New Roman" w:eastAsia="Times New Roman" w:hAnsi="Times New Roman"/>
          <w:sz w:val="18"/>
          <w:szCs w:val="18"/>
          <w:color w:val="auto"/>
        </w:rPr>
        <w:t>We may in the future seek to acquire or invest in businesses, applications and services or technologies that we believe could complement or expand our services, enhance our technical capabilities or otherwise offer growth opportunities. The pursuit of potential acquisitions may divert the attention of management and cause us to incur various expenses in identifying, investigating and pursuing suitable acquisitions, whether or not they are consummated.</w:t>
      </w:r>
    </w:p>
    <w:p>
      <w:pPr>
        <w:spacing w:after="0" w:line="139" w:lineRule="exact"/>
        <w:rPr>
          <w:sz w:val="20"/>
          <w:szCs w:val="20"/>
          <w:color w:val="auto"/>
        </w:rPr>
      </w:pPr>
    </w:p>
    <w:p>
      <w:pPr>
        <w:ind w:left="60" w:right="159" w:firstLine="324"/>
        <w:spacing w:after="0" w:line="261" w:lineRule="auto"/>
        <w:rPr>
          <w:sz w:val="20"/>
          <w:szCs w:val="20"/>
          <w:color w:val="auto"/>
        </w:rPr>
      </w:pPr>
      <w:r>
        <w:rPr>
          <w:rFonts w:ascii="Times New Roman" w:cs="Times New Roman" w:eastAsia="Times New Roman" w:hAnsi="Times New Roman"/>
          <w:sz w:val="18"/>
          <w:szCs w:val="18"/>
          <w:color w:val="auto"/>
        </w:rPr>
        <w:t>In addition, we do not have any experience in acquiring other businesses. If we acquire additional businesses, we may not be able to integrate the acquired personnel, operations and technologies successfully, or effectively manage the combined business following the acquisition. We also may not achieve the anticipated benefits from the acquired business due to a number of factors, including:</w:t>
      </w:r>
    </w:p>
    <w:p>
      <w:pPr>
        <w:spacing w:after="0" w:line="153" w:lineRule="exact"/>
        <w:rPr>
          <w:sz w:val="20"/>
          <w:szCs w:val="20"/>
          <w:color w:val="auto"/>
        </w:rPr>
      </w:pPr>
    </w:p>
    <w:p>
      <w:pPr>
        <w:ind w:left="720" w:hanging="319"/>
        <w:spacing w:after="0"/>
        <w:tabs>
          <w:tab w:leader="none" w:pos="7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integrate or benefit from acquired technologies or services in a profitable manner;</w:t>
      </w:r>
    </w:p>
    <w:p>
      <w:pPr>
        <w:spacing w:after="0" w:line="18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unanticipated costs or liabilities associated with the acquisition;</w:t>
      </w:r>
    </w:p>
    <w:p>
      <w:pPr>
        <w:spacing w:after="0" w:line="18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integrating the accounting systems, operations and personnel of the acquired business;</w:t>
      </w:r>
    </w:p>
    <w:p>
      <w:pPr>
        <w:spacing w:after="0" w:line="198" w:lineRule="exact"/>
        <w:rPr>
          <w:rFonts w:ascii="Times New Roman" w:cs="Times New Roman" w:eastAsia="Times New Roman" w:hAnsi="Times New Roman"/>
          <w:sz w:val="18"/>
          <w:szCs w:val="18"/>
          <w:color w:val="auto"/>
        </w:rPr>
      </w:pPr>
    </w:p>
    <w:p>
      <w:pPr>
        <w:ind w:left="720" w:right="259" w:hanging="319"/>
        <w:spacing w:after="0" w:line="282" w:lineRule="auto"/>
        <w:tabs>
          <w:tab w:leader="none" w:pos="7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and additional expenses associated with supporting legacy products and hosting infrastructure of the acquired business;</w:t>
      </w:r>
    </w:p>
    <w:p>
      <w:pPr>
        <w:spacing w:after="0" w:line="121" w:lineRule="exact"/>
        <w:rPr>
          <w:rFonts w:ascii="Times New Roman" w:cs="Times New Roman" w:eastAsia="Times New Roman" w:hAnsi="Times New Roman"/>
          <w:sz w:val="18"/>
          <w:szCs w:val="18"/>
          <w:color w:val="auto"/>
        </w:rPr>
      </w:pPr>
    </w:p>
    <w:p>
      <w:pPr>
        <w:ind w:left="720" w:right="539" w:hanging="319"/>
        <w:spacing w:after="0" w:line="312" w:lineRule="auto"/>
        <w:tabs>
          <w:tab w:leader="none" w:pos="720"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difficulty converting the customers of the acquired business onto our platform and contract terms, including disparities in the revenue, licensing, support or professional services model of the acquired company;</w:t>
      </w:r>
    </w:p>
    <w:p>
      <w:pPr>
        <w:spacing w:after="0" w:line="99" w:lineRule="exact"/>
        <w:rPr>
          <w:rFonts w:ascii="Times New Roman" w:cs="Times New Roman" w:eastAsia="Times New Roman" w:hAnsi="Times New Roman"/>
          <w:sz w:val="17"/>
          <w:szCs w:val="17"/>
          <w:color w:val="auto"/>
        </w:rPr>
      </w:pPr>
    </w:p>
    <w:p>
      <w:pPr>
        <w:ind w:left="720" w:hanging="319"/>
        <w:spacing w:after="0"/>
        <w:tabs>
          <w:tab w:leader="none" w:pos="7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diversion of management’s attention from other business concerns;</w:t>
      </w:r>
    </w:p>
    <w:p>
      <w:pPr>
        <w:spacing w:after="0" w:line="198" w:lineRule="exact"/>
        <w:rPr>
          <w:rFonts w:ascii="Times New Roman" w:cs="Times New Roman" w:eastAsia="Times New Roman" w:hAnsi="Times New Roman"/>
          <w:sz w:val="18"/>
          <w:szCs w:val="18"/>
          <w:color w:val="auto"/>
        </w:rPr>
      </w:pPr>
    </w:p>
    <w:p>
      <w:pPr>
        <w:ind w:left="720" w:right="579" w:hanging="319"/>
        <w:spacing w:after="0" w:line="282" w:lineRule="auto"/>
        <w:tabs>
          <w:tab w:leader="none" w:pos="7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effects to our existing business relationships with business partners and customers as a result of the acquisition;</w:t>
      </w:r>
    </w:p>
    <w:p>
      <w:pPr>
        <w:spacing w:after="0" w:line="12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loss of key employees;</w:t>
      </w:r>
    </w:p>
    <w:p>
      <w:pPr>
        <w:spacing w:after="0" w:line="18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of resources that are needed in other parts of our business; and</w:t>
      </w:r>
    </w:p>
    <w:p>
      <w:pPr>
        <w:spacing w:after="0" w:line="198"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of substantial portions of our available cash to consummate the acquisition.</w:t>
      </w:r>
    </w:p>
    <w:p>
      <w:pPr>
        <w:spacing w:after="0" w:line="185" w:lineRule="exact"/>
        <w:rPr>
          <w:sz w:val="20"/>
          <w:szCs w:val="20"/>
          <w:color w:val="auto"/>
        </w:rPr>
      </w:pPr>
    </w:p>
    <w:p>
      <w:pPr>
        <w:ind w:left="60" w:right="639" w:firstLine="324"/>
        <w:spacing w:after="0" w:line="261" w:lineRule="auto"/>
        <w:rPr>
          <w:sz w:val="20"/>
          <w:szCs w:val="20"/>
          <w:color w:val="auto"/>
        </w:rPr>
      </w:pPr>
      <w:r>
        <w:rPr>
          <w:rFonts w:ascii="Times New Roman" w:cs="Times New Roman" w:eastAsia="Times New Roman" w:hAnsi="Times New Roman"/>
          <w:sz w:val="18"/>
          <w:szCs w:val="18"/>
          <w:color w:val="auto"/>
        </w:rPr>
        <w:t>In addition, a significant portion of the purchase price of companies we acquire may be allocated to acquired goodwill and other intangible assets, which must be assessed for impairment at least annually. In the future, if our acquisitions do not yield expected returns, we may be required to take charges to our operating results based on this impairment assessment process, which could adversely affect our results of operations.</w:t>
      </w:r>
    </w:p>
    <w:p>
      <w:pPr>
        <w:spacing w:after="0" w:line="139" w:lineRule="exact"/>
        <w:rPr>
          <w:sz w:val="20"/>
          <w:szCs w:val="20"/>
          <w:color w:val="auto"/>
        </w:rPr>
      </w:pPr>
    </w:p>
    <w:p>
      <w:pPr>
        <w:ind w:left="60" w:right="479" w:firstLine="324"/>
        <w:spacing w:after="0" w:line="266" w:lineRule="auto"/>
        <w:rPr>
          <w:sz w:val="20"/>
          <w:szCs w:val="20"/>
          <w:color w:val="auto"/>
        </w:rPr>
      </w:pPr>
      <w:r>
        <w:rPr>
          <w:rFonts w:ascii="Times New Roman" w:cs="Times New Roman" w:eastAsia="Times New Roman" w:hAnsi="Times New Roman"/>
          <w:sz w:val="18"/>
          <w:szCs w:val="18"/>
          <w:color w:val="auto"/>
        </w:rPr>
        <w:t>Acquisitions could also result in dilutive issuances of equity securities or the incurrence of debt, which could adversely affect our operating results. In addition, if an acquired business fails to meet our expectations, our operating results, business and financial position may suffer.</w:t>
      </w:r>
    </w:p>
    <w:p>
      <w:pPr>
        <w:spacing w:after="0" w:line="145" w:lineRule="exact"/>
        <w:rPr>
          <w:sz w:val="20"/>
          <w:szCs w:val="20"/>
          <w:color w:val="auto"/>
        </w:rPr>
      </w:pPr>
    </w:p>
    <w:p>
      <w:pPr>
        <w:ind w:left="60" w:right="6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employees may engage in misconduct or other improper activities, including noncompliance with regulatory standards and requirements and insider trading.</w:t>
      </w:r>
    </w:p>
    <w:p>
      <w:pPr>
        <w:spacing w:after="0" w:line="118" w:lineRule="exact"/>
        <w:rPr>
          <w:sz w:val="20"/>
          <w:szCs w:val="20"/>
          <w:color w:val="auto"/>
        </w:rPr>
      </w:pPr>
    </w:p>
    <w:p>
      <w:pPr>
        <w:ind w:left="60" w:right="499" w:firstLine="324"/>
        <w:spacing w:after="0" w:line="281" w:lineRule="auto"/>
        <w:rPr>
          <w:sz w:val="20"/>
          <w:szCs w:val="20"/>
          <w:color w:val="auto"/>
        </w:rPr>
      </w:pPr>
      <w:r>
        <w:rPr>
          <w:rFonts w:ascii="Times New Roman" w:cs="Times New Roman" w:eastAsia="Times New Roman" w:hAnsi="Times New Roman"/>
          <w:sz w:val="17"/>
          <w:szCs w:val="17"/>
          <w:color w:val="auto"/>
        </w:rPr>
        <w:t>We are exposed to the risk of employee fraud or other misconduct. Misconduct by employees could include intentional failures to comply with any regulations applicable to us, to provide accurate information to regulatory authorities, to comply with manufacturing standards we have established, to comply with federal and state health care fraud and abuse laws and regulations, or to report financial information or data accurately or disclose unauthorized</w:t>
      </w:r>
    </w:p>
    <w:p>
      <w:pPr>
        <w:sectPr>
          <w:pgSz w:w="11900" w:h="16838" w:orient="portrait"/>
          <w:cols w:equalWidth="0" w:num="1">
            <w:col w:w="9019"/>
          </w:cols>
          <w:pgMar w:left="1440" w:top="513" w:right="1440" w:bottom="1440" w:gutter="0" w:footer="0" w:header="0"/>
        </w:sectPr>
      </w:pPr>
    </w:p>
    <w:p>
      <w:pPr>
        <w:spacing w:after="0" w:line="38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06415" cy="260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5606415"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09" w:name="page110"/>
    <w:bookmarkEnd w:id="10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59"/>
        <w:spacing w:after="0" w:line="254" w:lineRule="auto"/>
        <w:rPr>
          <w:sz w:val="20"/>
          <w:szCs w:val="20"/>
          <w:color w:val="auto"/>
        </w:rPr>
      </w:pPr>
      <w:r>
        <w:rPr>
          <w:rFonts w:ascii="Times New Roman" w:cs="Times New Roman" w:eastAsia="Times New Roman" w:hAnsi="Times New Roman"/>
          <w:sz w:val="18"/>
          <w:szCs w:val="18"/>
          <w:color w:val="auto"/>
        </w:rPr>
        <w:t>activities to us. In particular, sales, marketing and business arrangements in the health care industry are subject to extensive laws and regulations intended to prevent fraud, misconduct, kickbacks, self-dealing and other abusive practices. These laws and regulations may restrict or prohibit a wide range of pricing, discounting, marketing and promotion, sales commission, customer incentive programs and other business arrangements. Employee misconduct could also involve the improper use of information obtained during clinical trials, which could result in regulatory sanctions and serious harm to our reputation. We have adopted a Code of Business Conduct and Ethics, but it is not always possible to identify and deter employee misconduct, and the precautions we take to detect and prevent this activity may not be effective in controlling unknown or unmanaged risk.</w:t>
      </w:r>
    </w:p>
    <w:p>
      <w:pPr>
        <w:spacing w:after="0" w:line="161" w:lineRule="exact"/>
        <w:rPr>
          <w:sz w:val="20"/>
          <w:szCs w:val="20"/>
          <w:color w:val="auto"/>
        </w:rPr>
      </w:pPr>
    </w:p>
    <w:p>
      <w:pPr>
        <w:ind w:left="60" w:right="2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Business interruptions could adversely affect future operations, revenues, and financial conditions, and may increase our costs and expenses.</w:t>
      </w:r>
    </w:p>
    <w:p>
      <w:pPr>
        <w:spacing w:after="0" w:line="118" w:lineRule="exact"/>
        <w:rPr>
          <w:sz w:val="20"/>
          <w:szCs w:val="20"/>
          <w:color w:val="auto"/>
        </w:rPr>
      </w:pPr>
    </w:p>
    <w:p>
      <w:pPr>
        <w:ind w:left="60" w:right="159" w:firstLine="324"/>
        <w:spacing w:after="0" w:line="253" w:lineRule="auto"/>
        <w:rPr>
          <w:sz w:val="20"/>
          <w:szCs w:val="20"/>
          <w:color w:val="auto"/>
        </w:rPr>
      </w:pPr>
      <w:r>
        <w:rPr>
          <w:rFonts w:ascii="Times New Roman" w:cs="Times New Roman" w:eastAsia="Times New Roman" w:hAnsi="Times New Roman"/>
          <w:sz w:val="18"/>
          <w:szCs w:val="18"/>
          <w:color w:val="auto"/>
        </w:rPr>
        <w:t>Our operations, and those of our directors, advisors, contractors, consultants, CROs, and collaborators, could be adversely affected by earthquakes, floods, hurricanes, typhoons, extreme weather conditions, fires, water shortages, power failures, business systems failures, medical epidemics, and other natural and man-made disaster or business interruptions. Our phones, electronic devices and computer systems and those of our directors, advisors, contractors, consultants, CROs, and collaborators are vulnerable to damages, theft and accidental loss, negligence, unauthorized access, terrorism, war, electronic and telecommunications failures, and other natural and man- made disasters. Several of our employees conduct business outside of our headquarters and leased or owned facilities. These locations may be subject to additional security and other risk factors due to the limited control of our employees. If such an event as described above were to occur in the future, it may cause interruptions in our operations, delay research and development programs, clinical trials, regulatory activities, manufacturing and quality assurance activities, sales and marketing activities, hiring, training of employees and persons within associated third parties, and other business activities. For example, the loss of clinical trial data from completed or future clinical trials could result in delays in our regulatory approval efforts and significantly increase our costs to recover or reproduce the data.</w:t>
      </w:r>
    </w:p>
    <w:p>
      <w:pPr>
        <w:spacing w:after="0" w:line="139" w:lineRule="exact"/>
        <w:rPr>
          <w:sz w:val="20"/>
          <w:szCs w:val="20"/>
          <w:color w:val="auto"/>
        </w:rPr>
      </w:pPr>
    </w:p>
    <w:p>
      <w:pPr>
        <w:ind w:left="60" w:right="159" w:firstLine="324"/>
        <w:spacing w:after="0" w:line="237" w:lineRule="auto"/>
        <w:rPr>
          <w:sz w:val="20"/>
          <w:szCs w:val="20"/>
          <w:color w:val="auto"/>
        </w:rPr>
      </w:pPr>
      <w:r>
        <w:rPr>
          <w:rFonts w:ascii="Times New Roman" w:cs="Times New Roman" w:eastAsia="Times New Roman" w:hAnsi="Times New Roman"/>
          <w:sz w:val="18"/>
          <w:szCs w:val="18"/>
          <w:color w:val="auto"/>
        </w:rPr>
        <w:t>Likewise, we will rely on third parties, including ARx, to manufacture IGALMI</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and our product candidates and to conduct clinical trials, and similar events as those described in the prior paragraph relating to their business systems, equipment and facilities could also have a material adverse effect on our business. To the extent that any disruption or security breach were to result in a loss of, or damage to, our data or applications, or inappropriate disclosure of confidential or proprietary information, we could incur liability and the further development and commercialization of our product candidate could be delayed or altogether terminated.</w:t>
      </w:r>
    </w:p>
    <w:p>
      <w:pPr>
        <w:spacing w:after="0" w:line="172" w:lineRule="exact"/>
        <w:rPr>
          <w:sz w:val="20"/>
          <w:szCs w:val="20"/>
          <w:color w:val="auto"/>
        </w:rPr>
      </w:pPr>
    </w:p>
    <w:p>
      <w:pPr>
        <w:jc w:val="both"/>
        <w:ind w:left="60" w:right="29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Data breaches or cyber-attacks could disrupt our business operations and information technology systems or those of third parties on which we rely, adversely impact our financial results, or result in the loss or exposure of confidential or sensitive product candidate, clinical trial, employee, or Company information.</w:t>
      </w:r>
    </w:p>
    <w:p>
      <w:pPr>
        <w:spacing w:after="0" w:line="134" w:lineRule="exact"/>
        <w:rPr>
          <w:sz w:val="20"/>
          <w:szCs w:val="20"/>
          <w:color w:val="auto"/>
        </w:rPr>
      </w:pPr>
    </w:p>
    <w:p>
      <w:pPr>
        <w:ind w:left="60" w:right="179" w:firstLine="324"/>
        <w:spacing w:after="0" w:line="255" w:lineRule="auto"/>
        <w:rPr>
          <w:sz w:val="20"/>
          <w:szCs w:val="20"/>
          <w:color w:val="auto"/>
        </w:rPr>
      </w:pPr>
      <w:r>
        <w:rPr>
          <w:rFonts w:ascii="Times New Roman" w:cs="Times New Roman" w:eastAsia="Times New Roman" w:hAnsi="Times New Roman"/>
          <w:sz w:val="18"/>
          <w:szCs w:val="18"/>
          <w:color w:val="auto"/>
        </w:rPr>
        <w:t>We collect and maintain information in digital form that is necessary to conduct our business, and we are increasingly dependent on information technology systems and infrastructure to operate our business, including our mobile and web-based applications, our e-commerce platform and our enterprise software. In the ordinary course of our business, we collect, store and transmit large amounts of confidential information, including intellectual property, proprietary business information, clinical trial data, and personal information (collectively, “Confidential Information”) of customers and our employees and contractors. It is critical that we do so in a secure manner to maintain the confidentiality and integrity of such Confidential Information.</w:t>
      </w:r>
    </w:p>
    <w:p>
      <w:pPr>
        <w:spacing w:after="0" w:line="148" w:lineRule="exact"/>
        <w:rPr>
          <w:sz w:val="20"/>
          <w:szCs w:val="20"/>
          <w:color w:val="auto"/>
        </w:rPr>
      </w:pPr>
    </w:p>
    <w:p>
      <w:pPr>
        <w:ind w:left="60" w:right="179" w:firstLine="324"/>
        <w:spacing w:after="0" w:line="254" w:lineRule="auto"/>
        <w:rPr>
          <w:sz w:val="20"/>
          <w:szCs w:val="20"/>
          <w:color w:val="auto"/>
        </w:rPr>
      </w:pPr>
      <w:r>
        <w:rPr>
          <w:rFonts w:ascii="Times New Roman" w:cs="Times New Roman" w:eastAsia="Times New Roman" w:hAnsi="Times New Roman"/>
          <w:sz w:val="18"/>
          <w:szCs w:val="18"/>
          <w:color w:val="auto"/>
        </w:rPr>
        <w:t>Our information technology systems and those of third parties on which we rely have been and may in the future be attacked or breached by individuals or organizations intending to obtain our Confidential Information; harm or disrupt our business operations; or otherwise misappropriate information or Company funds. A security compromise of our information technology systems or business operations, or those of third parties on which we rely, could occur through a variety of methods such as from cyber-attacks and cyber-intrusions over the Internet, misconfigurations, “bugs” or other vulnerabilities, malware, computer viruses, email spoofing, attachments to e-mails, persons inside or outside our organization or persons with access to systems inside our organization. The risk of such intrusions, threats to data and information technology systems and breaches has generally increased as the number, intensity and sophistication of attempted attacks and intrusions from around the world have increased.</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06415" cy="254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5606415"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10" w:name="page111"/>
    <w:bookmarkEnd w:id="11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19" w:firstLine="324"/>
        <w:spacing w:after="0" w:line="253" w:lineRule="auto"/>
        <w:rPr>
          <w:sz w:val="20"/>
          <w:szCs w:val="20"/>
          <w:color w:val="auto"/>
        </w:rPr>
      </w:pPr>
      <w:r>
        <w:rPr>
          <w:rFonts w:ascii="Times New Roman" w:cs="Times New Roman" w:eastAsia="Times New Roman" w:hAnsi="Times New Roman"/>
          <w:sz w:val="18"/>
          <w:szCs w:val="18"/>
          <w:color w:val="auto"/>
        </w:rPr>
        <w:t>While we maintain some of our own critical information technology systems, we also depend on third parties to provide important information technology services relating to several key business functions. Our measures to prevent, detect and mitigate these threats, including password protection, firewalls, backup servers, threat monitoring and periodic penetration testing, may not be successful in preventing a data breach or limiting the effects of a breach. Because the techniques used to obtain unauthorized access to, or to sabotage, systems change frequently and often are not recognized until launched against a target, we may be unable to anticipate these techniques or implement adequate preventative measures. We may also experience security breaches that may remain undetected for an extended period. Even if identified, we may be unable to adequately investigate or remediate incidents or breaches due to attackers increasingly using tools and techniques that are designed to circumvent controls, to avoid detection, and to remove or obfuscate forensic evidence.</w:t>
      </w:r>
    </w:p>
    <w:p>
      <w:pPr>
        <w:spacing w:after="0" w:line="167" w:lineRule="exact"/>
        <w:rPr>
          <w:sz w:val="20"/>
          <w:szCs w:val="20"/>
          <w:color w:val="auto"/>
        </w:rPr>
      </w:pPr>
    </w:p>
    <w:p>
      <w:pPr>
        <w:ind w:left="60" w:right="159" w:firstLine="324"/>
        <w:spacing w:after="0" w:line="254" w:lineRule="auto"/>
        <w:rPr>
          <w:sz w:val="20"/>
          <w:szCs w:val="20"/>
          <w:color w:val="auto"/>
        </w:rPr>
      </w:pPr>
      <w:r>
        <w:rPr>
          <w:rFonts w:ascii="Times New Roman" w:cs="Times New Roman" w:eastAsia="Times New Roman" w:hAnsi="Times New Roman"/>
          <w:sz w:val="18"/>
          <w:szCs w:val="18"/>
          <w:color w:val="auto"/>
        </w:rPr>
        <w:t>Furthermore, the security measures employed by third-party service providers may prove to be ineffective at preventing breaches of their systems. Any attack that results in disruptions to our operations, or the unauthorized release or loss of Confidential Information, could have a material adverse effect on our business reputation, increase our costs and expose us to material legal claims and liability (such as class actions) and result in regulatory investigations and enforcement actions, fines and penalties, negative reputational impacts that cause us to lose existing or future customers, and/or significant incident response, system restoration or remediation and future compliance costs. If the unauthorized release or loss of Confidential Information were to occur, our operations and financial results and our share price could be adversely affected. Although we maintain insurance for our business, the coverage under our policies may not be adequate to compensate us for all losses that may occur.</w:t>
      </w:r>
    </w:p>
    <w:p>
      <w:pPr>
        <w:spacing w:after="0" w:line="144" w:lineRule="exact"/>
        <w:rPr>
          <w:sz w:val="20"/>
          <w:szCs w:val="20"/>
          <w:color w:val="auto"/>
        </w:rPr>
      </w:pPr>
    </w:p>
    <w:p>
      <w:pPr>
        <w:ind w:left="60" w:right="359"/>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Actual or perceived failures to comply with applicable data protection, privacy and security laws, regulations, standards and other requirements could adversely affect our business, results of operations, and financial condition.</w:t>
      </w:r>
    </w:p>
    <w:p>
      <w:pPr>
        <w:spacing w:after="0" w:line="95" w:lineRule="exact"/>
        <w:rPr>
          <w:sz w:val="20"/>
          <w:szCs w:val="20"/>
          <w:color w:val="auto"/>
        </w:rPr>
      </w:pPr>
    </w:p>
    <w:p>
      <w:pPr>
        <w:ind w:left="60" w:right="219" w:firstLine="324"/>
        <w:spacing w:after="0" w:line="266" w:lineRule="auto"/>
        <w:rPr>
          <w:sz w:val="20"/>
          <w:szCs w:val="20"/>
          <w:color w:val="auto"/>
        </w:rPr>
      </w:pPr>
      <w:r>
        <w:rPr>
          <w:rFonts w:ascii="Times New Roman" w:cs="Times New Roman" w:eastAsia="Times New Roman" w:hAnsi="Times New Roman"/>
          <w:sz w:val="18"/>
          <w:szCs w:val="18"/>
          <w:color w:val="auto"/>
        </w:rPr>
        <w:t>The global data protection landscape is rapidly evolving, and we are or may become subject to numerous state, federal and foreign laws, requirements and regulations governing the collection, use, disclosure, retention, and security of personal data, such as information that we may collect in connection with clinical trials in the U.S. and abroad.</w:t>
      </w:r>
    </w:p>
    <w:p>
      <w:pPr>
        <w:spacing w:after="0" w:line="149" w:lineRule="exact"/>
        <w:rPr>
          <w:sz w:val="20"/>
          <w:szCs w:val="20"/>
          <w:color w:val="auto"/>
        </w:rPr>
      </w:pPr>
    </w:p>
    <w:p>
      <w:pPr>
        <w:ind w:left="60" w:right="159" w:firstLine="324"/>
        <w:spacing w:after="0" w:line="253" w:lineRule="auto"/>
        <w:rPr>
          <w:sz w:val="20"/>
          <w:szCs w:val="20"/>
          <w:color w:val="auto"/>
        </w:rPr>
      </w:pPr>
      <w:r>
        <w:rPr>
          <w:rFonts w:ascii="Times New Roman" w:cs="Times New Roman" w:eastAsia="Times New Roman" w:hAnsi="Times New Roman"/>
          <w:sz w:val="18"/>
          <w:szCs w:val="18"/>
          <w:color w:val="auto"/>
        </w:rPr>
        <w:t>As our operations and business grow, we may become subject to or affected by new or additional data protection laws and regulations and face increased scrutiny or attention from regulatory authorities. In the U.S., HIPAA imposes, among other things, certain standards relating to the privacy, security, transmission, and breach reporting of individually identifiable health information. Most healthcare providers, including research institutions from which we obtain patient health information, are subject to privacy and security regulations promulgated under HIPAA. If we are determined to act as a covered entity or business associate under HIPAA and be directly regulated under HIPAA, any person acting on our behalf may be prosecuted under HIPAA’s criminal provisions either directly or under aiding-and-abetting or conspiracy principles. Consequently, depending on the facts and circumstances, we could face substantial criminal penalties if we knowingly receive individually identifiable health information from a HIPAA-covered healthcare provider or research institution that has not satisfied HIPAA’s requirements for disclosure of individually identifiable health information.</w:t>
      </w:r>
    </w:p>
    <w:p>
      <w:pPr>
        <w:spacing w:after="0" w:line="154" w:lineRule="exact"/>
        <w:rPr>
          <w:sz w:val="20"/>
          <w:szCs w:val="20"/>
          <w:color w:val="auto"/>
        </w:rPr>
      </w:pPr>
    </w:p>
    <w:p>
      <w:pPr>
        <w:ind w:left="60" w:right="199" w:firstLine="324"/>
        <w:spacing w:after="0" w:line="269" w:lineRule="auto"/>
        <w:rPr>
          <w:sz w:val="20"/>
          <w:szCs w:val="20"/>
          <w:color w:val="auto"/>
        </w:rPr>
      </w:pPr>
      <w:r>
        <w:rPr>
          <w:rFonts w:ascii="Times New Roman" w:cs="Times New Roman" w:eastAsia="Times New Roman" w:hAnsi="Times New Roman"/>
          <w:sz w:val="17"/>
          <w:szCs w:val="17"/>
          <w:color w:val="auto"/>
        </w:rPr>
        <w:t>Certain states have also adopted comparable privacy and security laws and regulations, some of which may be more stringent than HIPAA. Such laws and regulations will be subject to interpretation by various courts and other governmental authorities, thus creating potentially complex compliance issues for us and our future customers and strategic partners. For example, the California Consumer Privacy Act, as amended by the California Privacy Rights Act (collectively, the “CCPA”), requires covered businesses that process the personal information of California residents to, among other things: provide certain disclosures to California residents regarding the business’s collection, use, and disclosure of their personal information; receive and respond to requests from California residents to access, delete, and correct their personal information, or to opt out of certain disclosures of their personal information, and enter into specific contractual provisions with service providers that process California resident personal information on the business’s behalf. If we are subject to or affected by HIPAA, the CCPA, or other domestic privacy and data protection laws, any liability from failure to comply with the requirements of these laws could adversely affect our financial condition.</w:t>
      </w:r>
    </w:p>
    <w:p>
      <w:pPr>
        <w:spacing w:after="0" w:line="141" w:lineRule="exact"/>
        <w:rPr>
          <w:sz w:val="20"/>
          <w:szCs w:val="20"/>
          <w:color w:val="auto"/>
        </w:rPr>
      </w:pPr>
    </w:p>
    <w:p>
      <w:pPr>
        <w:ind w:left="60" w:right="659" w:firstLine="324"/>
        <w:spacing w:after="0" w:line="312" w:lineRule="auto"/>
        <w:rPr>
          <w:sz w:val="20"/>
          <w:szCs w:val="20"/>
          <w:color w:val="auto"/>
        </w:rPr>
      </w:pPr>
      <w:r>
        <w:rPr>
          <w:rFonts w:ascii="Times New Roman" w:cs="Times New Roman" w:eastAsia="Times New Roman" w:hAnsi="Times New Roman"/>
          <w:sz w:val="17"/>
          <w:szCs w:val="17"/>
          <w:color w:val="auto"/>
        </w:rPr>
        <w:t>In Europe, the General Data Protection Regulation (“GDPR”) went into effect in May 2018 and imposes strict requirements for processing the personal data of individuals within the EEA. Companies that must comply with the</w:t>
      </w:r>
    </w:p>
    <w:p>
      <w:pPr>
        <w:sectPr>
          <w:pgSz w:w="11900" w:h="16838" w:orient="portrait"/>
          <w:cols w:equalWidth="0" w:num="1">
            <w:col w:w="9019"/>
          </w:cols>
          <w:pgMar w:left="1440" w:top="513" w:right="1440" w:bottom="1440" w:gutter="0" w:footer="0" w:header="0"/>
        </w:sectPr>
      </w:pPr>
    </w:p>
    <w:p>
      <w:pPr>
        <w:spacing w:after="0" w:line="35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06415" cy="260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5606415"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11" w:name="page112"/>
    <w:bookmarkEnd w:id="11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39"/>
        <w:spacing w:after="0" w:line="252" w:lineRule="auto"/>
        <w:rPr>
          <w:sz w:val="20"/>
          <w:szCs w:val="20"/>
          <w:color w:val="auto"/>
        </w:rPr>
      </w:pPr>
      <w:r>
        <w:rPr>
          <w:rFonts w:ascii="Times New Roman" w:cs="Times New Roman" w:eastAsia="Times New Roman" w:hAnsi="Times New Roman"/>
          <w:sz w:val="18"/>
          <w:szCs w:val="18"/>
          <w:color w:val="auto"/>
        </w:rPr>
        <w:t>GDPR face increased compliance obligations and risk, including more robust regulatory enforcement of data protection requirements and potential fines for noncompliance of up to €20 million or 4% of the annual global revenues of the noncompliant company, whichever is greater. Among other requirements, the GDPR regulates transfers of personal data subject to the GDPR to third countries that have not been found to provide adequate protection to such personal data, including the U.S., and the efficacy and longevity of current transfer mechanisms between the EEA, and the United States remains uncertain. On July 10, 2023, the European Commission adopted its Adequacy Decision in relation to the new EU-US Data Privacy Framework (“DPF”), rendering the DPF effective as a GDPR transfer mechanism to U.S. entities self-certified under the DPF. We expect the existing legal complexity and uncertainty regarding international personal data transfers to continue. In particular, we expect the DPF Adequacy Decision to be challenged and international transfers to the United States and to other jurisdictions more generally to continue to be subject to enhanced scrutiny by regulators. As supervisory authorities issue further guidance on personal data export mechanisms, including circumstances where the standard contractual clauses cannot be used, and/or start taking enforcement action, we could suffer additional costs, complaints and/or regulatory investigations or fines, and/or if we are otherwise unable to transfer personal data between and among countries and regions in which we operate, it could affect the manner in which we provide our services, the geographical location or segregation of our relevant systems and operations, and could adversely affect our financial results.</w:t>
      </w:r>
    </w:p>
    <w:p>
      <w:pPr>
        <w:spacing w:after="0" w:line="168" w:lineRule="exact"/>
        <w:rPr>
          <w:sz w:val="20"/>
          <w:szCs w:val="20"/>
          <w:color w:val="auto"/>
        </w:rPr>
      </w:pPr>
    </w:p>
    <w:p>
      <w:pPr>
        <w:ind w:left="60" w:right="319" w:firstLine="324"/>
        <w:spacing w:after="0" w:line="258" w:lineRule="auto"/>
        <w:rPr>
          <w:sz w:val="20"/>
          <w:szCs w:val="20"/>
          <w:color w:val="auto"/>
        </w:rPr>
      </w:pPr>
      <w:r>
        <w:rPr>
          <w:rFonts w:ascii="Times New Roman" w:cs="Times New Roman" w:eastAsia="Times New Roman" w:hAnsi="Times New Roman"/>
          <w:sz w:val="18"/>
          <w:szCs w:val="18"/>
          <w:color w:val="auto"/>
        </w:rPr>
        <w:t>Further, since January 1, 2021, companies have had to comply with the GDPR and also the UK GDPR, which, together with the amended UK Data Protection Act 2018, retains the GDPR in UK national law. The UK GDPR mirrors the fines under the GDPR (i.e., fines up to the greater of £17.5 million or 4% of global turnover). On October 12, 2023, the UK Extension to the DPF came into effect (as approved by the UK Government), as a data transfer mechanism from the UK to U.S. entities self-certified under the DPF.</w:t>
      </w:r>
    </w:p>
    <w:p>
      <w:pPr>
        <w:spacing w:after="0" w:line="143" w:lineRule="exact"/>
        <w:rPr>
          <w:sz w:val="20"/>
          <w:szCs w:val="20"/>
          <w:color w:val="auto"/>
        </w:rPr>
      </w:pPr>
    </w:p>
    <w:p>
      <w:pPr>
        <w:ind w:left="60" w:right="159" w:firstLine="324"/>
        <w:spacing w:after="0" w:line="255" w:lineRule="auto"/>
        <w:rPr>
          <w:sz w:val="20"/>
          <w:szCs w:val="20"/>
          <w:color w:val="auto"/>
        </w:rPr>
      </w:pPr>
      <w:r>
        <w:rPr>
          <w:rFonts w:ascii="Times New Roman" w:cs="Times New Roman" w:eastAsia="Times New Roman" w:hAnsi="Times New Roman"/>
          <w:sz w:val="18"/>
          <w:szCs w:val="18"/>
          <w:color w:val="auto"/>
        </w:rPr>
        <w:t>Although we work to comply with applicable laws, regulations and standards, our contractual obligations and other legal obligations, these requirements are evolving and may be modified, interpreted and applied in an inconsistent manner from one jurisdiction to another, and may conflict with one another or other legal obligations with which we must comply. Any failure or perceived failure by us or our employees, representatives, contractors, consultants, collaborators, or other third parties to comply with such requirements or adequately address privacy and security concerns, even if unfounded, could result in additional cost and liability to us, damage our reputation, and adversely affect our business and results of operations.</w:t>
      </w:r>
    </w:p>
    <w:p>
      <w:pPr>
        <w:spacing w:after="0" w:line="144" w:lineRule="exact"/>
        <w:rPr>
          <w:sz w:val="20"/>
          <w:szCs w:val="20"/>
          <w:color w:val="auto"/>
        </w:rPr>
      </w:pPr>
    </w:p>
    <w:p>
      <w:pPr>
        <w:ind w:left="60" w:right="4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Increased scrutiny of and evolving expectations for environmental, social and governance (“ESG”) initiatives may impose additional costs or otherwise adversely impact our business.</w:t>
      </w:r>
    </w:p>
    <w:p>
      <w:pPr>
        <w:spacing w:after="0" w:line="132" w:lineRule="exact"/>
        <w:rPr>
          <w:sz w:val="20"/>
          <w:szCs w:val="20"/>
          <w:color w:val="auto"/>
        </w:rPr>
      </w:pPr>
    </w:p>
    <w:p>
      <w:pPr>
        <w:ind w:left="60" w:right="179" w:firstLine="324"/>
        <w:spacing w:after="0" w:line="253" w:lineRule="auto"/>
        <w:rPr>
          <w:sz w:val="20"/>
          <w:szCs w:val="20"/>
          <w:color w:val="auto"/>
        </w:rPr>
      </w:pPr>
      <w:r>
        <w:rPr>
          <w:rFonts w:ascii="Times New Roman" w:cs="Times New Roman" w:eastAsia="Times New Roman" w:hAnsi="Times New Roman"/>
          <w:sz w:val="18"/>
          <w:szCs w:val="18"/>
          <w:color w:val="auto"/>
        </w:rPr>
        <w:t>There has been an increased focus from investors, capital providers, shareholder advocacy groups, other market participants, customers, and other stakeholder groups regarding companies’ ESG initiatives. While we may at times engage in voluntary initiatives (such as voluntary disclosures, certifications, or goals, among others) or commitments to improve the ESG profile of our Company and/or offerings, such initiatives or achievements of such commitments may be costly and may not have the desired effect. Additionally, some investors may use third-party or proprietary ESG ratings to guide their investment strategies and, in some cases, may choose not to invest in us if they believe our ESG practices are inadequate. The criteria by which companies’ ESG practices are assessed are evolving, which could result in greater expectations of us and cause us to undertake costly initiatives to satisfy such new criteria. Alternatively, if we elect not to or are unable to satisfy new criteria or do not meet the criteria, some investors may conclude that our policies with respect to ESG are inadequate and choose not to invest in us.</w:t>
      </w:r>
    </w:p>
    <w:p>
      <w:pPr>
        <w:spacing w:after="0" w:line="154" w:lineRule="exact"/>
        <w:rPr>
          <w:sz w:val="20"/>
          <w:szCs w:val="20"/>
          <w:color w:val="auto"/>
        </w:rPr>
      </w:pPr>
    </w:p>
    <w:p>
      <w:pPr>
        <w:ind w:left="60" w:right="159" w:firstLine="324"/>
        <w:spacing w:after="0" w:line="256" w:lineRule="auto"/>
        <w:rPr>
          <w:sz w:val="20"/>
          <w:szCs w:val="20"/>
          <w:color w:val="auto"/>
        </w:rPr>
      </w:pPr>
      <w:r>
        <w:rPr>
          <w:rFonts w:ascii="Times New Roman" w:cs="Times New Roman" w:eastAsia="Times New Roman" w:hAnsi="Times New Roman"/>
          <w:sz w:val="18"/>
          <w:szCs w:val="18"/>
          <w:color w:val="auto"/>
        </w:rPr>
        <w:t>If our ESG practices do not meet evolving investor or other stakeholder expectations and our standards, reputation, ability to attract or retain employees and desirability as an investment or business partner could be negatively impacted. Similarly, our failure or perceived failure to adequately pursue or fulfill any ESG goals and objectives or to satisfy various reporting standards, if any, could expose us to additional regulatory, social or other scrutiny, the imposition of unexpected costs, or damage to our reputation, which in turn could have a material adverse effect on our business and could cause the market value of our common stock to decline.</w:t>
      </w:r>
    </w:p>
    <w:p>
      <w:pPr>
        <w:spacing w:after="0" w:line="200" w:lineRule="exact"/>
        <w:rPr>
          <w:sz w:val="20"/>
          <w:szCs w:val="20"/>
          <w:color w:val="auto"/>
        </w:rPr>
      </w:pPr>
    </w:p>
    <w:p>
      <w:pPr>
        <w:spacing w:after="0" w:line="20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260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5606415"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12" w:name="page113"/>
    <w:bookmarkEnd w:id="11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right="1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failure to successfully acquire, develop and market additional product candidates or approved drug products could impair our ability to grow.</w:t>
      </w:r>
    </w:p>
    <w:p>
      <w:pPr>
        <w:spacing w:after="0" w:line="132" w:lineRule="exact"/>
        <w:rPr>
          <w:sz w:val="20"/>
          <w:szCs w:val="20"/>
          <w:color w:val="auto"/>
        </w:rPr>
      </w:pPr>
    </w:p>
    <w:p>
      <w:pPr>
        <w:ind w:left="60" w:right="199" w:firstLine="324"/>
        <w:spacing w:after="0" w:line="253" w:lineRule="auto"/>
        <w:rPr>
          <w:sz w:val="20"/>
          <w:szCs w:val="20"/>
          <w:color w:val="auto"/>
        </w:rPr>
      </w:pPr>
      <w:r>
        <w:rPr>
          <w:rFonts w:ascii="Times New Roman" w:cs="Times New Roman" w:eastAsia="Times New Roman" w:hAnsi="Times New Roman"/>
          <w:sz w:val="18"/>
          <w:szCs w:val="18"/>
          <w:color w:val="auto"/>
        </w:rPr>
        <w:t>As part of our growth strategy, we may evaluate, acquire, license, develop and/or market third-party products or product candidates and technologies. Our internal research capabilities are limited and we may be dependent upon pharmaceutical and biotechnology companies, academic scientists and other researchers to sell or license products or technology to us. The success of this strategy depends partly upon our ability to identify, select and acquire promising pharmaceutical product candidates and products. The process of proposing, negotiating and implementing a license or acquisition of a product candidate or approved product is lengthy and complex. Other companies, including some with substantially greater financial, marketing and sales resources, may compete with us for the license or acquisition of product candidates and approved products. We have limited resources to identify and execute the acquisition or in-licensing of third-party products, businesses and technologies and integrate them into our current infrastructure. Moreover, we may devote resources to potential acquisitions or in-licensing opportunities that are never completed, or we may fail to realize the anticipated benefits of such efforts. We may not be able to acquire the rights to additional product candidates on terms that we find acceptable, or at all.</w:t>
      </w:r>
    </w:p>
    <w:p>
      <w:pPr>
        <w:spacing w:after="0" w:line="14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In addition, future acquisitions may entail numerous operational and financial risks, including:</w:t>
      </w:r>
    </w:p>
    <w:p>
      <w:pPr>
        <w:spacing w:after="0" w:line="185" w:lineRule="exact"/>
        <w:rPr>
          <w:sz w:val="20"/>
          <w:szCs w:val="20"/>
          <w:color w:val="auto"/>
        </w:rPr>
      </w:pPr>
    </w:p>
    <w:p>
      <w:pPr>
        <w:ind w:left="720" w:hanging="319"/>
        <w:spacing w:after="0"/>
        <w:tabs>
          <w:tab w:leader="none" w:pos="7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exposure to unknown liabilities;</w:t>
      </w:r>
    </w:p>
    <w:p>
      <w:pPr>
        <w:spacing w:after="0" w:line="198" w:lineRule="exact"/>
        <w:rPr>
          <w:rFonts w:ascii="Times New Roman" w:cs="Times New Roman" w:eastAsia="Times New Roman" w:hAnsi="Times New Roman"/>
          <w:sz w:val="18"/>
          <w:szCs w:val="18"/>
          <w:color w:val="auto"/>
        </w:rPr>
      </w:pPr>
    </w:p>
    <w:p>
      <w:pPr>
        <w:ind w:left="720" w:right="459" w:hanging="319"/>
        <w:spacing w:after="0" w:line="282" w:lineRule="auto"/>
        <w:tabs>
          <w:tab w:leader="none" w:pos="7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 of our business and diversion of our management’s and technical personnel’s time and attention to develop acquired products or technologies;</w:t>
      </w:r>
    </w:p>
    <w:p>
      <w:pPr>
        <w:spacing w:after="0" w:line="12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incurrence of substantial debt or dilutive issuances of securities to pay for acquisitions;</w:t>
      </w:r>
    </w:p>
    <w:p>
      <w:pPr>
        <w:spacing w:after="0" w:line="18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than expected acquisition and integration costs;</w:t>
      </w:r>
    </w:p>
    <w:p>
      <w:pPr>
        <w:spacing w:after="0" w:line="198"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amortization expenses;</w:t>
      </w:r>
    </w:p>
    <w:p>
      <w:pPr>
        <w:spacing w:after="0" w:line="184" w:lineRule="exact"/>
        <w:rPr>
          <w:rFonts w:ascii="Times New Roman" w:cs="Times New Roman" w:eastAsia="Times New Roman" w:hAnsi="Times New Roman"/>
          <w:sz w:val="18"/>
          <w:szCs w:val="18"/>
          <w:color w:val="auto"/>
        </w:rPr>
      </w:pPr>
    </w:p>
    <w:p>
      <w:pPr>
        <w:ind w:left="720" w:right="159" w:hanging="319"/>
        <w:spacing w:after="0" w:line="282" w:lineRule="auto"/>
        <w:tabs>
          <w:tab w:leader="none" w:pos="7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and cost in combining the operations and personnel of any acquired businesses with our operations and personnel;</w:t>
      </w:r>
    </w:p>
    <w:p>
      <w:pPr>
        <w:spacing w:after="0" w:line="121" w:lineRule="exact"/>
        <w:rPr>
          <w:rFonts w:ascii="Times New Roman" w:cs="Times New Roman" w:eastAsia="Times New Roman" w:hAnsi="Times New Roman"/>
          <w:sz w:val="18"/>
          <w:szCs w:val="18"/>
          <w:color w:val="auto"/>
        </w:rPr>
      </w:pPr>
    </w:p>
    <w:p>
      <w:pPr>
        <w:ind w:left="720" w:right="699" w:hanging="319"/>
        <w:spacing w:after="0" w:line="282" w:lineRule="auto"/>
        <w:tabs>
          <w:tab w:leader="none" w:pos="7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impairment of relationships with key suppliers or customers of any acquired businesses due to changes in management and ownership; and</w:t>
      </w:r>
    </w:p>
    <w:p>
      <w:pPr>
        <w:spacing w:after="0" w:line="13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retain key employees of any acquired businesses.</w:t>
      </w:r>
    </w:p>
    <w:p>
      <w:pPr>
        <w:spacing w:after="0" w:line="185" w:lineRule="exact"/>
        <w:rPr>
          <w:sz w:val="20"/>
          <w:szCs w:val="20"/>
          <w:color w:val="auto"/>
        </w:rPr>
      </w:pPr>
    </w:p>
    <w:p>
      <w:pPr>
        <w:ind w:left="60" w:right="439" w:firstLine="324"/>
        <w:spacing w:after="0" w:line="256" w:lineRule="auto"/>
        <w:rPr>
          <w:sz w:val="20"/>
          <w:szCs w:val="20"/>
          <w:color w:val="auto"/>
        </w:rPr>
      </w:pPr>
      <w:r>
        <w:rPr>
          <w:rFonts w:ascii="Times New Roman" w:cs="Times New Roman" w:eastAsia="Times New Roman" w:hAnsi="Times New Roman"/>
          <w:sz w:val="18"/>
          <w:szCs w:val="18"/>
          <w:color w:val="auto"/>
        </w:rPr>
        <w:t>Any product candidate that we acquire may require additional development efforts prior to commercial sale, including extensive clinical testing and approval by the FDA and applicable foreign regulatory authorities. All product candidates are prone to risks of failure typical of pharmaceutical product development, including the possibility that a product candidate will not be shown to be sufficiently safe and effective for approval by regulatory authorities. In addition, we cannot provide assurance that any products that we develop or approved products that we acquire will be manufactured profitably or achieve market acceptance.</w:t>
      </w:r>
    </w:p>
    <w:p>
      <w:pPr>
        <w:spacing w:after="0" w:line="143" w:lineRule="exact"/>
        <w:rPr>
          <w:sz w:val="20"/>
          <w:szCs w:val="20"/>
          <w:color w:val="auto"/>
        </w:rPr>
      </w:pPr>
    </w:p>
    <w:p>
      <w:pPr>
        <w:ind w:left="60" w:right="1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ability to use our net operating losses and tax credits to offset future taxable income and income tax liabilities may be limited.</w:t>
      </w:r>
    </w:p>
    <w:p>
      <w:pPr>
        <w:spacing w:after="0" w:line="132" w:lineRule="exact"/>
        <w:rPr>
          <w:sz w:val="20"/>
          <w:szCs w:val="20"/>
          <w:color w:val="auto"/>
        </w:rPr>
      </w:pPr>
    </w:p>
    <w:p>
      <w:pPr>
        <w:ind w:left="60" w:right="159" w:firstLine="324"/>
        <w:spacing w:after="0" w:line="254" w:lineRule="auto"/>
        <w:rPr>
          <w:sz w:val="20"/>
          <w:szCs w:val="20"/>
          <w:color w:val="auto"/>
        </w:rPr>
      </w:pPr>
      <w:r>
        <w:rPr>
          <w:rFonts w:ascii="Times New Roman" w:cs="Times New Roman" w:eastAsia="Times New Roman" w:hAnsi="Times New Roman"/>
          <w:sz w:val="18"/>
          <w:szCs w:val="18"/>
          <w:color w:val="auto"/>
        </w:rPr>
        <w:t>At December 31, 2024 the Company had approximately $432.6 million of gross federal and $443.5 million of gross state net operating loss carry-forwards. Tax Cuts and Jobs Act (“TCJA”) in 2017 amended the net operating losses carryforward rules. Net operating losses generated after December 31, 2017, may be carried forward indefinitely, subject to certain limitations on their use. Net operating losses generated prior to 2018 may be carried forward for twenty years. If not utilized, these net operating losses will expire by 2037. State net operating losses have varying carryforward and applicable expiration periods. $430.0 million of the federal net operating losses were incurred after December 31, 2017, and will be carried forward indefinitely; the balance of the federal net operating losses are subject to expiration no later than 2037. The utilization of such net operating loss carry-forwards and realization of tax benefits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06415"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5606415"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13" w:name="page114"/>
    <w:bookmarkEnd w:id="11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359"/>
        <w:spacing w:after="0" w:line="261" w:lineRule="auto"/>
        <w:rPr>
          <w:sz w:val="20"/>
          <w:szCs w:val="20"/>
          <w:color w:val="auto"/>
        </w:rPr>
      </w:pPr>
      <w:r>
        <w:rPr>
          <w:rFonts w:ascii="Times New Roman" w:cs="Times New Roman" w:eastAsia="Times New Roman" w:hAnsi="Times New Roman"/>
          <w:sz w:val="18"/>
          <w:szCs w:val="18"/>
          <w:color w:val="auto"/>
        </w:rPr>
        <w:t>in future years depends predominantly upon having taxable income. The Company has approximately $16.0 million of federal orphan drug credits and research and development credits which will begin to expire in 2037 if not utilized. The Company also has approximately $1.5 million of state research and development credits which will begin to expire in 2040 if not utilized.</w:t>
      </w:r>
    </w:p>
    <w:p>
      <w:pPr>
        <w:spacing w:after="0" w:line="153" w:lineRule="exact"/>
        <w:rPr>
          <w:sz w:val="20"/>
          <w:szCs w:val="20"/>
          <w:color w:val="auto"/>
        </w:rPr>
      </w:pPr>
    </w:p>
    <w:p>
      <w:pPr>
        <w:ind w:left="60" w:right="239" w:firstLine="324"/>
        <w:spacing w:after="0" w:line="256" w:lineRule="auto"/>
        <w:rPr>
          <w:sz w:val="20"/>
          <w:szCs w:val="20"/>
          <w:color w:val="auto"/>
        </w:rPr>
      </w:pPr>
      <w:r>
        <w:rPr>
          <w:rFonts w:ascii="Times New Roman" w:cs="Times New Roman" w:eastAsia="Times New Roman" w:hAnsi="Times New Roman"/>
          <w:sz w:val="18"/>
          <w:szCs w:val="18"/>
          <w:color w:val="auto"/>
        </w:rPr>
        <w:t>In addition, under sections 382 and 383 of the Code, our federal net operating losses and tax credit carryforwards, such as research/development credits and orphan drug credits, may become subject to an annual limitation in the event of certain cumulative changes in the ownership interest of significant stockholders (or groups of stockholders) in excess of 50% over a rolling three-year period. Similar state provisions may also exist. These ownership changes may limit the amount of the net operating losses and tax credit carryforwards that can be utilized annually to offset future taxable income and income tax, respectively.</w:t>
      </w:r>
    </w:p>
    <w:p>
      <w:pPr>
        <w:spacing w:after="0" w:line="147" w:lineRule="exact"/>
        <w:rPr>
          <w:sz w:val="20"/>
          <w:szCs w:val="20"/>
          <w:color w:val="auto"/>
        </w:rPr>
      </w:pPr>
    </w:p>
    <w:p>
      <w:pPr>
        <w:ind w:left="60" w:right="159" w:firstLine="324"/>
        <w:spacing w:after="0" w:line="255" w:lineRule="auto"/>
        <w:rPr>
          <w:sz w:val="20"/>
          <w:szCs w:val="20"/>
          <w:color w:val="auto"/>
        </w:rPr>
      </w:pPr>
      <w:r>
        <w:rPr>
          <w:rFonts w:ascii="Times New Roman" w:cs="Times New Roman" w:eastAsia="Times New Roman" w:hAnsi="Times New Roman"/>
          <w:sz w:val="18"/>
          <w:szCs w:val="18"/>
          <w:color w:val="auto"/>
        </w:rPr>
        <w:t>Entities are also required to evaluate, measure, recognize and disclose any uncertain federal or state income tax provisions taken on their income tax returns. The Company has analyzed its tax positions and has concluded that as of December 31, 2024, there were no uncertain tax positions. The Company's U.S. federal and state net operating losses have occurred since its inception in 2017 and as such, tax years subject to potential tax examination could apply from that date because the utilization of net operating losses from prior years opens the relevant tax year to audit by The U.S. Internal Revenue Service (“IRS”) and/or state taxing authorities. The Company did not have any unrecognized tax benefits and has not accrued any interest or penalties for the 12 months ended December 31, 2024 and 2023.</w:t>
      </w:r>
    </w:p>
    <w:p>
      <w:pPr>
        <w:spacing w:after="0" w:line="14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Risks Related to Our Intellectual Property</w:t>
      </w:r>
    </w:p>
    <w:p>
      <w:pPr>
        <w:spacing w:after="0" w:line="198" w:lineRule="exact"/>
        <w:rPr>
          <w:sz w:val="20"/>
          <w:szCs w:val="20"/>
          <w:color w:val="auto"/>
        </w:rPr>
      </w:pPr>
    </w:p>
    <w:p>
      <w:pPr>
        <w:jc w:val="both"/>
        <w:ind w:left="60" w:right="53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It is difficult and costly to protect our proprietary rights, and we may not be able to ensure their protection. If our patent position does not adequately protect our product candidates, others could compete against us more directly, which would harm our business, possibly materially.</w:t>
      </w:r>
    </w:p>
    <w:p>
      <w:pPr>
        <w:spacing w:after="0" w:line="134" w:lineRule="exact"/>
        <w:rPr>
          <w:sz w:val="20"/>
          <w:szCs w:val="20"/>
          <w:color w:val="auto"/>
        </w:rPr>
      </w:pPr>
    </w:p>
    <w:p>
      <w:pPr>
        <w:ind w:left="60" w:right="179" w:firstLine="324"/>
        <w:spacing w:after="0" w:line="272" w:lineRule="auto"/>
        <w:rPr>
          <w:sz w:val="20"/>
          <w:szCs w:val="20"/>
          <w:color w:val="auto"/>
        </w:rPr>
      </w:pPr>
      <w:r>
        <w:rPr>
          <w:rFonts w:ascii="Times New Roman" w:cs="Times New Roman" w:eastAsia="Times New Roman" w:hAnsi="Times New Roman"/>
          <w:sz w:val="17"/>
          <w:szCs w:val="17"/>
          <w:color w:val="auto"/>
        </w:rPr>
        <w:t>Our commercial success will depend in part on obtaining, maintaining enforcing and defending our patents, trademarks, trade secrets and other intellectual property rights and proprietary technology for our current and future approved products and product candidates, the processes used to manufacture them and the methods for using them, as well as successfully defending these patents against third-party challenges. We are the owner of record of certain patents and patent applications pending in the U.S. and in certain foreign jurisdictions. Patents issued from non-provisional applications, which are typically filed from provisional patent applications or from PCT applications that enter the national phase. Neither provisional patent applications nor PCT applications issue directly as patents. We own PCT patent applications relating to our platform technologies covering methods of use and applications of the platform technologies.</w:t>
      </w:r>
    </w:p>
    <w:p>
      <w:pPr>
        <w:spacing w:after="0" w:line="131" w:lineRule="exact"/>
        <w:rPr>
          <w:sz w:val="20"/>
          <w:szCs w:val="20"/>
          <w:color w:val="auto"/>
        </w:rPr>
      </w:pPr>
    </w:p>
    <w:p>
      <w:pPr>
        <w:ind w:left="60" w:right="339" w:firstLine="324"/>
        <w:spacing w:after="0" w:line="261" w:lineRule="auto"/>
        <w:rPr>
          <w:sz w:val="20"/>
          <w:szCs w:val="20"/>
          <w:color w:val="auto"/>
        </w:rPr>
      </w:pPr>
      <w:r>
        <w:rPr>
          <w:rFonts w:ascii="Times New Roman" w:cs="Times New Roman" w:eastAsia="Times New Roman" w:hAnsi="Times New Roman"/>
          <w:sz w:val="18"/>
          <w:szCs w:val="18"/>
          <w:color w:val="auto"/>
        </w:rPr>
        <w:t>We cannot be certain that any future patents will issue with claims that cover our product candidates. Our ability to stop third parties from making, using, selling, offering to sell or importing our product candidates is dependent upon the extent to which we have rights under valid and enforceable patents, trademarks, trade secrets and other intellectual property rights and proprietary technology that cover these activities.</w:t>
      </w:r>
    </w:p>
    <w:p>
      <w:pPr>
        <w:spacing w:after="0" w:line="153" w:lineRule="exact"/>
        <w:rPr>
          <w:sz w:val="20"/>
          <w:szCs w:val="20"/>
          <w:color w:val="auto"/>
        </w:rPr>
      </w:pPr>
    </w:p>
    <w:p>
      <w:pPr>
        <w:ind w:left="60" w:right="159" w:firstLine="324"/>
        <w:spacing w:after="0" w:line="269" w:lineRule="auto"/>
        <w:rPr>
          <w:sz w:val="20"/>
          <w:szCs w:val="20"/>
          <w:color w:val="auto"/>
        </w:rPr>
      </w:pPr>
      <w:r>
        <w:rPr>
          <w:rFonts w:ascii="Times New Roman" w:cs="Times New Roman" w:eastAsia="Times New Roman" w:hAnsi="Times New Roman"/>
          <w:sz w:val="17"/>
          <w:szCs w:val="17"/>
          <w:color w:val="auto"/>
        </w:rPr>
        <w:t>The patent positions of biotechnology and pharmaceutical companies can be highly uncertain and involve complex legal and factual questions that have been the subject of much litigation in recent years and for which important legal principles remain unresolved. Therefore, the scope of any patent claims that we have or may obtain cannot be predicted with certainty. No consistent policy regarding the breadth of claims allowed in pharmaceutical patents has emerged to date in the U.S. or in foreign jurisdictions outside of the U.S. Changes in either the patent laws or interpretations of patent laws in the U.S. and other countries may diminish the value of our intellectual property. Accordingly, we cannot predict which of our patent applications will issue, the breadth of claims that may be enforced in the patents that may be issued from the applications we currently, or may in the future, own or license from third parties, whether any of the issued patents will be found to be infringed, invalid or unenforceable or will be threatened or challenged by third parties, that any of our issued patents have, or that any of our currently pending or future patent applications that mature into issued patents will include, claims with a scope sufficient to protect our products and services. Further, if any patents we obtain or license are deemed invalid and unenforceable, our ability to commercialize or license our technology could be adversely affected.</w:t>
      </w:r>
    </w:p>
    <w:p>
      <w:pPr>
        <w:spacing w:after="0" w:line="39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5606415"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14" w:name="page115"/>
    <w:bookmarkEnd w:id="11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79" w:firstLine="324"/>
        <w:spacing w:after="0" w:line="258" w:lineRule="auto"/>
        <w:rPr>
          <w:sz w:val="20"/>
          <w:szCs w:val="20"/>
          <w:color w:val="auto"/>
        </w:rPr>
      </w:pPr>
      <w:r>
        <w:rPr>
          <w:rFonts w:ascii="Times New Roman" w:cs="Times New Roman" w:eastAsia="Times New Roman" w:hAnsi="Times New Roman"/>
          <w:sz w:val="18"/>
          <w:szCs w:val="18"/>
          <w:color w:val="auto"/>
        </w:rPr>
        <w:t>Others have filed, and in the future are likely to file, patent applications covering products and technologies that are similar, identical or competitive to ours or important to our business. We cannot be certain that any patent application owned by a third-party will not have priority over patent applications filed or in-licensed by us, or that we or our licensors will not be involved in interference, opposition, reexamination, review, reissue, post grant review or invalidity proceedings before U.S. or non-U.S. patent offices.</w:t>
      </w:r>
    </w:p>
    <w:p>
      <w:pPr>
        <w:spacing w:after="0" w:line="156" w:lineRule="exact"/>
        <w:rPr>
          <w:sz w:val="20"/>
          <w:szCs w:val="20"/>
          <w:color w:val="auto"/>
        </w:rPr>
      </w:pPr>
    </w:p>
    <w:p>
      <w:pPr>
        <w:ind w:left="60" w:right="159" w:firstLine="324"/>
        <w:spacing w:after="0" w:line="312" w:lineRule="auto"/>
        <w:rPr>
          <w:sz w:val="20"/>
          <w:szCs w:val="20"/>
          <w:color w:val="auto"/>
        </w:rPr>
      </w:pPr>
      <w:r>
        <w:rPr>
          <w:rFonts w:ascii="Times New Roman" w:cs="Times New Roman" w:eastAsia="Times New Roman" w:hAnsi="Times New Roman"/>
          <w:sz w:val="17"/>
          <w:szCs w:val="17"/>
          <w:color w:val="auto"/>
        </w:rPr>
        <w:t>The degree of future protection for our proprietary rights is uncertain because legal means afford only limited protection and may not adequately protect our rights or permit us to gain or keep our competitive advantage. For example:</w:t>
      </w:r>
    </w:p>
    <w:p>
      <w:pPr>
        <w:spacing w:after="0" w:line="99" w:lineRule="exact"/>
        <w:rPr>
          <w:sz w:val="20"/>
          <w:szCs w:val="20"/>
          <w:color w:val="auto"/>
        </w:rPr>
      </w:pPr>
    </w:p>
    <w:p>
      <w:pPr>
        <w:ind w:left="720" w:right="299" w:hanging="319"/>
        <w:spacing w:after="0" w:line="266" w:lineRule="auto"/>
        <w:tabs>
          <w:tab w:leader="none" w:pos="7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be able to independently develop, make and commercialize compounds that are similar to, or are alternatives or duplicates of any of our product candidates, but that are not covered by the claims of our patents or are not infringing, misappropriating, or otherwise violating our other intellectual property rights;</w:t>
      </w:r>
    </w:p>
    <w:p>
      <w:pPr>
        <w:spacing w:after="0" w:line="135" w:lineRule="exact"/>
        <w:rPr>
          <w:rFonts w:ascii="Times New Roman" w:cs="Times New Roman" w:eastAsia="Times New Roman" w:hAnsi="Times New Roman"/>
          <w:sz w:val="18"/>
          <w:szCs w:val="18"/>
          <w:color w:val="auto"/>
        </w:rPr>
      </w:pPr>
    </w:p>
    <w:p>
      <w:pPr>
        <w:ind w:left="720" w:right="819" w:hanging="319"/>
        <w:spacing w:after="0" w:line="282" w:lineRule="auto"/>
        <w:tabs>
          <w:tab w:leader="none" w:pos="7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might not have been the first to make the inventions covered by our issued patents or pending patent applications that we license or may own in the future;</w:t>
      </w:r>
    </w:p>
    <w:p>
      <w:pPr>
        <w:spacing w:after="0" w:line="134" w:lineRule="exact"/>
        <w:rPr>
          <w:rFonts w:ascii="Times New Roman" w:cs="Times New Roman" w:eastAsia="Times New Roman" w:hAnsi="Times New Roman"/>
          <w:sz w:val="18"/>
          <w:szCs w:val="18"/>
          <w:color w:val="auto"/>
        </w:rPr>
      </w:pPr>
    </w:p>
    <w:p>
      <w:pPr>
        <w:ind w:left="720" w:right="199" w:hanging="319"/>
        <w:spacing w:after="0" w:line="282" w:lineRule="auto"/>
        <w:tabs>
          <w:tab w:leader="none" w:pos="7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our future collaborators, might not have been the first to file patent applications covering certain of our or their inventions;</w:t>
      </w:r>
    </w:p>
    <w:p>
      <w:pPr>
        <w:spacing w:after="0" w:line="12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pending patent applications or those that we may own in the future may not result in issued patents;</w:t>
      </w:r>
    </w:p>
    <w:p>
      <w:pPr>
        <w:spacing w:after="0" w:line="184" w:lineRule="exact"/>
        <w:rPr>
          <w:rFonts w:ascii="Times New Roman" w:cs="Times New Roman" w:eastAsia="Times New Roman" w:hAnsi="Times New Roman"/>
          <w:sz w:val="18"/>
          <w:szCs w:val="18"/>
          <w:color w:val="auto"/>
        </w:rPr>
      </w:pPr>
    </w:p>
    <w:p>
      <w:pPr>
        <w:ind w:left="720" w:right="699" w:hanging="319"/>
        <w:spacing w:after="0" w:line="282" w:lineRule="auto"/>
        <w:tabs>
          <w:tab w:leader="none" w:pos="7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claims of our issued patents or patent applications when issued may not cover our products or product candidates;</w:t>
      </w:r>
    </w:p>
    <w:p>
      <w:pPr>
        <w:spacing w:after="0" w:line="13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patents that we obtain may not provide us with any competitive advantages;</w:t>
      </w:r>
    </w:p>
    <w:p>
      <w:pPr>
        <w:spacing w:after="0" w:line="184" w:lineRule="exact"/>
        <w:rPr>
          <w:rFonts w:ascii="Times New Roman" w:cs="Times New Roman" w:eastAsia="Times New Roman" w:hAnsi="Times New Roman"/>
          <w:sz w:val="18"/>
          <w:szCs w:val="18"/>
          <w:color w:val="auto"/>
        </w:rPr>
      </w:pPr>
    </w:p>
    <w:p>
      <w:pPr>
        <w:ind w:left="720" w:right="459" w:hanging="319"/>
        <w:spacing w:after="0" w:line="266" w:lineRule="auto"/>
        <w:tabs>
          <w:tab w:leader="none" w:pos="7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competitors might conduct research and development activities in countries where we do not have patent rights and then use the information learned from such activities to develop, manufacture and commercialize competitive products or product candidates for sale in our major commercial markets;</w:t>
      </w:r>
    </w:p>
    <w:p>
      <w:pPr>
        <w:spacing w:after="0" w:line="13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develop additional proprietary technologies that are patentable;</w:t>
      </w:r>
    </w:p>
    <w:p>
      <w:pPr>
        <w:spacing w:after="0" w:line="198" w:lineRule="exact"/>
        <w:rPr>
          <w:rFonts w:ascii="Times New Roman" w:cs="Times New Roman" w:eastAsia="Times New Roman" w:hAnsi="Times New Roman"/>
          <w:sz w:val="18"/>
          <w:szCs w:val="18"/>
          <w:color w:val="auto"/>
        </w:rPr>
      </w:pPr>
    </w:p>
    <w:p>
      <w:pPr>
        <w:ind w:left="720" w:right="239" w:hanging="319"/>
        <w:spacing w:after="0" w:line="266" w:lineRule="auto"/>
        <w:tabs>
          <w:tab w:leader="none" w:pos="7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choose not to seek patent protection for some of our proprietary technology or product candidates to maintain certain trade secrets or know-how, and a third party may subsequently file a patent covering such trade secrets or know-how;</w:t>
      </w:r>
    </w:p>
    <w:p>
      <w:pPr>
        <w:spacing w:after="0" w:line="13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granted patents may be held invalid or unenforceable as a result of legal challenges by third parties; and</w:t>
      </w:r>
    </w:p>
    <w:p>
      <w:pPr>
        <w:spacing w:after="0" w:line="18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patents of others may have an adverse effect on our business.</w:t>
      </w:r>
    </w:p>
    <w:p>
      <w:pPr>
        <w:spacing w:after="0" w:line="198" w:lineRule="exact"/>
        <w:rPr>
          <w:sz w:val="20"/>
          <w:szCs w:val="20"/>
          <w:color w:val="auto"/>
        </w:rPr>
      </w:pPr>
    </w:p>
    <w:p>
      <w:pPr>
        <w:ind w:left="60" w:right="199"/>
        <w:spacing w:after="0" w:line="282" w:lineRule="auto"/>
        <w:rPr>
          <w:sz w:val="20"/>
          <w:szCs w:val="20"/>
          <w:color w:val="auto"/>
        </w:rPr>
      </w:pPr>
      <w:r>
        <w:rPr>
          <w:rFonts w:ascii="Times New Roman" w:cs="Times New Roman" w:eastAsia="Times New Roman" w:hAnsi="Times New Roman"/>
          <w:sz w:val="18"/>
          <w:szCs w:val="18"/>
          <w:color w:val="auto"/>
        </w:rPr>
        <w:t>Should any of these events occur, they could have a material adverse effect on our business, financial condition, results of operations and prospects.</w:t>
      </w:r>
    </w:p>
    <w:p>
      <w:pPr>
        <w:spacing w:after="0" w:line="117" w:lineRule="exact"/>
        <w:rPr>
          <w:sz w:val="20"/>
          <w:szCs w:val="20"/>
          <w:color w:val="auto"/>
        </w:rPr>
      </w:pPr>
    </w:p>
    <w:p>
      <w:pPr>
        <w:ind w:left="60" w:right="31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Obtaining and maintaining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134" w:lineRule="exact"/>
        <w:rPr>
          <w:sz w:val="20"/>
          <w:szCs w:val="20"/>
          <w:color w:val="auto"/>
        </w:rPr>
      </w:pPr>
    </w:p>
    <w:p>
      <w:pPr>
        <w:ind w:left="60" w:right="239" w:firstLine="324"/>
        <w:spacing w:after="0" w:line="254" w:lineRule="auto"/>
        <w:rPr>
          <w:sz w:val="20"/>
          <w:szCs w:val="20"/>
          <w:color w:val="auto"/>
        </w:rPr>
      </w:pPr>
      <w:r>
        <w:rPr>
          <w:rFonts w:ascii="Times New Roman" w:cs="Times New Roman" w:eastAsia="Times New Roman" w:hAnsi="Times New Roman"/>
          <w:sz w:val="18"/>
          <w:szCs w:val="18"/>
          <w:color w:val="auto"/>
        </w:rPr>
        <w:t>Periodic maintenance, renewal and annuity fees and various other government fees on any issued patent and pending patent application must be paid to the USPTO and foreign patent agencies in several stages or annually over the lifetime of our owned and in-licensed patents and patent applications. In addition, the USPTO and various foreign governmental patent agencies require compliance with various procedural, document submission, fee payment and other requirements during the patent application process. While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06415" cy="260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5606415"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15" w:name="page116"/>
    <w:bookmarkEnd w:id="11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79"/>
        <w:spacing w:after="0" w:line="258" w:lineRule="auto"/>
        <w:rPr>
          <w:sz w:val="20"/>
          <w:szCs w:val="20"/>
          <w:color w:val="auto"/>
        </w:rPr>
      </w:pPr>
      <w:r>
        <w:rPr>
          <w:rFonts w:ascii="Times New Roman" w:cs="Times New Roman" w:eastAsia="Times New Roman" w:hAnsi="Times New Roman"/>
          <w:sz w:val="18"/>
          <w:szCs w:val="18"/>
          <w:color w:val="auto"/>
        </w:rPr>
        <w:t>patent or patent application include, but are not limited to, failure to respond to official actions within prescribed time limits, non-payment of fees and failure to properly legalize and submit formal documents. In such an event, potential competitors might be able to enter the market with similar or identical products or technology. If we or our licensors fail to maintain the patents and patent applications covering our product candidates, it would have a material adverse effect on our business, financial condition, results of operations, and prospects.</w:t>
      </w:r>
    </w:p>
    <w:p>
      <w:pPr>
        <w:spacing w:after="0" w:line="152" w:lineRule="exact"/>
        <w:rPr>
          <w:sz w:val="20"/>
          <w:szCs w:val="20"/>
          <w:color w:val="auto"/>
        </w:rPr>
      </w:pPr>
    </w:p>
    <w:p>
      <w:pPr>
        <w:ind w:left="60" w:right="3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our obligations in the agreements under which we may license intellectual property rights from third parties or otherwise experience disruptions to our business relationships with our licensors, we could lose rights that are important to our business.</w:t>
      </w:r>
    </w:p>
    <w:p>
      <w:pPr>
        <w:spacing w:after="0" w:line="134" w:lineRule="exact"/>
        <w:rPr>
          <w:sz w:val="20"/>
          <w:szCs w:val="20"/>
          <w:color w:val="auto"/>
        </w:rPr>
      </w:pPr>
    </w:p>
    <w:p>
      <w:pPr>
        <w:ind w:left="60" w:right="139" w:firstLine="324"/>
        <w:spacing w:after="0" w:line="254" w:lineRule="auto"/>
        <w:rPr>
          <w:sz w:val="20"/>
          <w:szCs w:val="20"/>
          <w:color w:val="auto"/>
        </w:rPr>
      </w:pPr>
      <w:r>
        <w:rPr>
          <w:rFonts w:ascii="Times New Roman" w:cs="Times New Roman" w:eastAsia="Times New Roman" w:hAnsi="Times New Roman"/>
          <w:sz w:val="18"/>
          <w:szCs w:val="18"/>
          <w:color w:val="auto"/>
        </w:rPr>
        <w:t>We may be required to enter into intellectual property license agreements that are important to our business. These license agreements may impose various diligence, payment, and other obligations on us. For example, we may enter into exclusive license agreements with universities, research institutions, or peer industry third parties pursuant to which we may be required to use commercially reasonable efforts to engage in various development and commercialization activities with respect to licensed products and may need to satisfy specified milestone and royalty payment obligations. If we fail to comply with any obligations under our agreements with any of these licensors, we may be subject to termination of the license agreement in whole or in part; increased financial obligations to our licensors or loss of exclusivity in a particular field or territory, in which case our ability to develop or commercialize products covered by the license agreement will be impaired.</w:t>
      </w:r>
    </w:p>
    <w:p>
      <w:pPr>
        <w:spacing w:after="0" w:line="14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In addition, disputes may arise regarding intellectual property subject to a license agreement, including:</w:t>
      </w:r>
    </w:p>
    <w:p>
      <w:pPr>
        <w:spacing w:after="0" w:line="198" w:lineRule="exact"/>
        <w:rPr>
          <w:sz w:val="20"/>
          <w:szCs w:val="20"/>
          <w:color w:val="auto"/>
        </w:rPr>
      </w:pPr>
    </w:p>
    <w:p>
      <w:pPr>
        <w:ind w:left="720" w:hanging="319"/>
        <w:spacing w:after="0"/>
        <w:tabs>
          <w:tab w:leader="none" w:pos="7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of rights granted under the license agreement and other interpretation-related issues;</w:t>
      </w:r>
    </w:p>
    <w:p>
      <w:pPr>
        <w:spacing w:after="0" w:line="184" w:lineRule="exact"/>
        <w:rPr>
          <w:rFonts w:ascii="Times New Roman" w:cs="Times New Roman" w:eastAsia="Times New Roman" w:hAnsi="Times New Roman"/>
          <w:sz w:val="18"/>
          <w:szCs w:val="18"/>
          <w:color w:val="auto"/>
        </w:rPr>
      </w:pPr>
    </w:p>
    <w:p>
      <w:pPr>
        <w:ind w:left="720" w:right="579" w:hanging="319"/>
        <w:spacing w:after="0" w:line="282" w:lineRule="auto"/>
        <w:tabs>
          <w:tab w:leader="none" w:pos="7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our technology and processes infringe on intellectual property of the licensor that is not subject to the licensing agreement;</w:t>
      </w:r>
    </w:p>
    <w:p>
      <w:pPr>
        <w:spacing w:after="0" w:line="12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diligence obligations under the license agreement and what activities satisfy those obligations;</w:t>
      </w:r>
    </w:p>
    <w:p>
      <w:pPr>
        <w:spacing w:after="0" w:line="198" w:lineRule="exact"/>
        <w:rPr>
          <w:rFonts w:ascii="Times New Roman" w:cs="Times New Roman" w:eastAsia="Times New Roman" w:hAnsi="Times New Roman"/>
          <w:sz w:val="18"/>
          <w:szCs w:val="18"/>
          <w:color w:val="auto"/>
        </w:rPr>
      </w:pPr>
    </w:p>
    <w:p>
      <w:pPr>
        <w:ind w:left="720" w:right="159" w:hanging="319"/>
        <w:spacing w:after="0" w:line="266" w:lineRule="auto"/>
        <w:tabs>
          <w:tab w:leader="none" w:pos="7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third-party expresses interest in an area under a license that we are not pursuing, under the terms of certain of our license agreements, we may be required to sublicense rights in that area to a third-party, and that sublicense could harm our business; and</w:t>
      </w:r>
    </w:p>
    <w:p>
      <w:pPr>
        <w:spacing w:after="0" w:line="135" w:lineRule="exact"/>
        <w:rPr>
          <w:rFonts w:ascii="Times New Roman" w:cs="Times New Roman" w:eastAsia="Times New Roman" w:hAnsi="Times New Roman"/>
          <w:sz w:val="18"/>
          <w:szCs w:val="18"/>
          <w:color w:val="auto"/>
        </w:rPr>
      </w:pPr>
    </w:p>
    <w:p>
      <w:pPr>
        <w:ind w:left="720" w:right="159" w:hanging="319"/>
        <w:spacing w:after="0" w:line="282" w:lineRule="auto"/>
        <w:tabs>
          <w:tab w:leader="none" w:pos="7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ownership of inventions and know-how resulting from the joint creation or use of intellectual property by our licensors and us.</w:t>
      </w:r>
    </w:p>
    <w:p>
      <w:pPr>
        <w:spacing w:after="0" w:line="121" w:lineRule="exact"/>
        <w:rPr>
          <w:sz w:val="20"/>
          <w:szCs w:val="20"/>
          <w:color w:val="auto"/>
        </w:rPr>
      </w:pPr>
    </w:p>
    <w:p>
      <w:pPr>
        <w:ind w:left="60" w:right="419" w:firstLine="324"/>
        <w:spacing w:after="0" w:line="266" w:lineRule="auto"/>
        <w:rPr>
          <w:sz w:val="20"/>
          <w:szCs w:val="20"/>
          <w:color w:val="auto"/>
        </w:rPr>
      </w:pPr>
      <w:r>
        <w:rPr>
          <w:rFonts w:ascii="Times New Roman" w:cs="Times New Roman" w:eastAsia="Times New Roman" w:hAnsi="Times New Roman"/>
          <w:sz w:val="18"/>
          <w:szCs w:val="18"/>
          <w:color w:val="auto"/>
        </w:rPr>
        <w:t>If disputes over intellectual property that we have licensed prevent or impair our ability to maintain our current licensing arrangements on acceptable terms, we may be unable to successfully develop and commercialize the affected approved products or product candidates.</w:t>
      </w:r>
    </w:p>
    <w:p>
      <w:pPr>
        <w:spacing w:after="0" w:line="149" w:lineRule="exact"/>
        <w:rPr>
          <w:sz w:val="20"/>
          <w:szCs w:val="20"/>
          <w:color w:val="auto"/>
        </w:rPr>
      </w:pPr>
    </w:p>
    <w:p>
      <w:pPr>
        <w:jc w:val="both"/>
        <w:ind w:left="60" w:right="219" w:firstLine="324"/>
        <w:spacing w:after="0" w:line="261" w:lineRule="auto"/>
        <w:rPr>
          <w:sz w:val="20"/>
          <w:szCs w:val="20"/>
          <w:color w:val="auto"/>
        </w:rPr>
      </w:pPr>
      <w:r>
        <w:rPr>
          <w:rFonts w:ascii="Times New Roman" w:cs="Times New Roman" w:eastAsia="Times New Roman" w:hAnsi="Times New Roman"/>
          <w:sz w:val="18"/>
          <w:szCs w:val="18"/>
          <w:color w:val="auto"/>
        </w:rPr>
        <w:t>We may need to obtain licenses from third parties to advance our research or allow commercialization of our product candidates. We may fail to obtain any of these licenses at a reasonable cost or on reasonable terms, if at all. In that event, we would be unable to further develop and commercialize one or more of our product candidates, which could harm our business significantly.</w:t>
      </w:r>
    </w:p>
    <w:p>
      <w:pPr>
        <w:spacing w:after="0" w:line="13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We may be subject to claims challenging the inventorship or ownership of our patents and other intellectual property.</w:t>
      </w:r>
    </w:p>
    <w:p>
      <w:pPr>
        <w:spacing w:after="0" w:line="189" w:lineRule="exact"/>
        <w:rPr>
          <w:sz w:val="20"/>
          <w:szCs w:val="20"/>
          <w:color w:val="auto"/>
        </w:rPr>
      </w:pPr>
    </w:p>
    <w:p>
      <w:pPr>
        <w:ind w:left="60" w:right="199" w:firstLine="324"/>
        <w:spacing w:after="0" w:line="254" w:lineRule="auto"/>
        <w:rPr>
          <w:sz w:val="20"/>
          <w:szCs w:val="20"/>
          <w:color w:val="auto"/>
        </w:rPr>
      </w:pPr>
      <w:r>
        <w:rPr>
          <w:rFonts w:ascii="Times New Roman" w:cs="Times New Roman" w:eastAsia="Times New Roman" w:hAnsi="Times New Roman"/>
          <w:sz w:val="18"/>
          <w:szCs w:val="18"/>
          <w:color w:val="auto"/>
        </w:rPr>
        <w:t>We or our licensors may be subject to claims that third parties have an interest in our patents, trade secrets, or other intellectual property that we regard as our own or our licensor’s, based on claims that the relevant agreements with employees or consultants obligating them to assign their intellectual property rights to us or our licensor are ineffective or in conflict with prior or competing contractual obligations to assign inventions and intellectual property rights to another employer, to a former employer, or to another person or entity. We may also be subject to claims that our former employees, contractors or collaborators, or other third parties have an ownership interest in our current or future patents, patent applications, or other intellectual property rights, including as an inventor or co-inventor. For example, we or our licensors may have inventorship disputes arise from conflicting obligations of employees, consultants or</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06415" cy="260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5606415"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16" w:name="page117"/>
    <w:bookmarkEnd w:id="11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39"/>
        <w:spacing w:after="0" w:line="256" w:lineRule="auto"/>
        <w:rPr>
          <w:sz w:val="20"/>
          <w:szCs w:val="20"/>
          <w:color w:val="auto"/>
        </w:rPr>
      </w:pPr>
      <w:r>
        <w:rPr>
          <w:rFonts w:ascii="Times New Roman" w:cs="Times New Roman" w:eastAsia="Times New Roman" w:hAnsi="Times New Roman"/>
          <w:sz w:val="18"/>
          <w:szCs w:val="18"/>
          <w:color w:val="auto"/>
        </w:rPr>
        <w:t>others who are involved in developing our product candidates. Although it is our policy to require our employees, consultants and contractors who may be involved in the development of intellectual property to execute agreements assigning such intellectual property to us, we may be unsuccessful in executing such an agreement with each party who, in fact, conceives or develops intellectual property rights that we regard as our own, and we cannot be certain that our agreements with such parties will be upheld in the face of a potential challenge, or that they will not be breached, for which we may not have an adequate remedy.</w:t>
      </w:r>
    </w:p>
    <w:p>
      <w:pPr>
        <w:spacing w:after="0" w:line="160" w:lineRule="exact"/>
        <w:rPr>
          <w:sz w:val="20"/>
          <w:szCs w:val="20"/>
          <w:color w:val="auto"/>
        </w:rPr>
      </w:pPr>
    </w:p>
    <w:p>
      <w:pPr>
        <w:ind w:left="60" w:right="199" w:firstLine="324"/>
        <w:spacing w:after="0" w:line="252" w:lineRule="auto"/>
        <w:rPr>
          <w:sz w:val="20"/>
          <w:szCs w:val="20"/>
          <w:color w:val="auto"/>
        </w:rPr>
      </w:pPr>
      <w:r>
        <w:rPr>
          <w:rFonts w:ascii="Times New Roman" w:cs="Times New Roman" w:eastAsia="Times New Roman" w:hAnsi="Times New Roman"/>
          <w:sz w:val="18"/>
          <w:szCs w:val="18"/>
          <w:color w:val="auto"/>
        </w:rPr>
        <w:t>We are not aware of any threatened or pending claims related to these matters, but in the future litigation may be necessary to defend against these and other claims challenging inventorship or our or our licensors’ ownership of our owned or in-licensed patents, trade secrets, or other intellectual property, and it may be necessary or we may desire to obtain a license to a third party’s intellectual property rights to settle any such claim; however, there can be no assurance that we would be able to obtain such license on commercially reasonable terms, if at all. If we or our licensors fail in defending any such claims, in addition to paying monetary damages or a settlement payment, we may lose valuable intellectual property rights, such as exclusive ownership of, or right to use, intellectual property that is important to our product candidates. A court could prohibit us from using technologies, features or other intellectual property rights that are essential to our products or technologies, if such technologies or features are found to incorporate or be derived from the trade secrets or other proprietary information of another person or entity, including another or former employers. An inability to incorporate technologies, features or other intellectual property rights that are important or essential to our products or product candidates could have a material adverse effect on our business, financial condition, results of operations, and competitive position, and may prevent us from developing, manufacturing and/or commercializing our products or technologies. In addition, we may lose valuable intellectual property rights or personnel. Even if we are successful in defending against such claims, litigation could result in substantial costs and be a distraction to management and other employees. Any litigation or the threat thereof may adversely affect our ability to hire employees or contract with independent sales representatives. A loss of key personnel or their work product could hamper or prevent our ability to develop, manufacture and/or commercialize our products or services, which could materially and adversely affect our business, financial condition and results of operations. Any of the foregoing could have a material adverse effect on our business, financial condition, results of operations and prospects.</w:t>
      </w:r>
    </w:p>
    <w:p>
      <w:pPr>
        <w:spacing w:after="0" w:line="145" w:lineRule="exact"/>
        <w:rPr>
          <w:sz w:val="20"/>
          <w:szCs w:val="20"/>
          <w:color w:val="auto"/>
        </w:rPr>
      </w:pPr>
    </w:p>
    <w:p>
      <w:pPr>
        <w:ind w:left="60" w:right="5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 NDA submitted under Section 505(b)(2) subjects us to the risk that we may be subject to a patent infringement lawsuit that would delay or prevent the review or approval of our product candidate.</w:t>
      </w:r>
    </w:p>
    <w:p>
      <w:pPr>
        <w:spacing w:after="0" w:line="118" w:lineRule="exact"/>
        <w:rPr>
          <w:sz w:val="20"/>
          <w:szCs w:val="20"/>
          <w:color w:val="auto"/>
        </w:rPr>
      </w:pPr>
    </w:p>
    <w:p>
      <w:pPr>
        <w:ind w:left="60" w:right="179" w:firstLine="324"/>
        <w:spacing w:after="0" w:line="253" w:lineRule="auto"/>
        <w:rPr>
          <w:sz w:val="20"/>
          <w:szCs w:val="20"/>
          <w:color w:val="auto"/>
        </w:rPr>
      </w:pPr>
      <w:r>
        <w:rPr>
          <w:rFonts w:ascii="Times New Roman" w:cs="Times New Roman" w:eastAsia="Times New Roman" w:hAnsi="Times New Roman"/>
          <w:sz w:val="18"/>
          <w:szCs w:val="18"/>
          <w:color w:val="auto"/>
        </w:rPr>
        <w:t>Our product candidates have been or will be submitted to the FDA for approval under Section 505(b)(2) of the FDCA. Section 505(b)(2) permits the submission of an NDA where at least some of the information required for approval comes from studies that were not conducted by, or for, the applicant and on which the applicant has not obtained a right of reference. The 505(b)(2) application would enable us to reference published literature and/or the FDA’s previous findings of safety and effectiveness for a branded reference drug with the same active ingredient. For NDAs submitted under Section 505(b)(2) of the FDCA, the patent certification and related provisions of the Hatch-Waxman Act apply. In accordance with the Hatch-Waxman Act, such NDAs may be required to include paragraph IV certifications, that certify that any patents listed in the FDA’s Orange Book, with respect to any product referenced in the 505(b)(2) application, are invalid, unenforceable or will not be infringed by the manufacture, use or sale of the product that is the subject of the 505(b)(2) NDA.</w:t>
      </w:r>
    </w:p>
    <w:p>
      <w:pPr>
        <w:spacing w:after="0" w:line="167" w:lineRule="exact"/>
        <w:rPr>
          <w:sz w:val="20"/>
          <w:szCs w:val="20"/>
          <w:color w:val="auto"/>
        </w:rPr>
      </w:pPr>
    </w:p>
    <w:p>
      <w:pPr>
        <w:ind w:left="60" w:right="159" w:firstLine="324"/>
        <w:spacing w:after="0" w:line="253" w:lineRule="auto"/>
        <w:rPr>
          <w:sz w:val="20"/>
          <w:szCs w:val="20"/>
          <w:color w:val="auto"/>
        </w:rPr>
      </w:pPr>
      <w:r>
        <w:rPr>
          <w:rFonts w:ascii="Times New Roman" w:cs="Times New Roman" w:eastAsia="Times New Roman" w:hAnsi="Times New Roman"/>
          <w:sz w:val="18"/>
          <w:szCs w:val="18"/>
          <w:color w:val="auto"/>
        </w:rPr>
        <w:t>Under the Hatch-Waxman Act, the holder of patents that the 505(b)(2) application references may file a patent infringement lawsuit after receiving notice of the paragraph IV certification. Filing of a patent infringement lawsuit against the filer of the 505(b)(2) applicant within 45 days of the patent owner’s receipt of notice triggers a one-time, automatic, 30-month stay of the FDA’s ability to approve the 505(b)(2) NDA, unless patent litigation is resolved in the favor of the paragraph IV certification filer, or the patent expires before that time. Accordingly, we may invest a significant amount of time and expense in the development of one or more product candidates only to be subject to significant delay and patent litigation before such product candidates may be commercialized, if at all. In addition, a 505(b)(2) application will not be approved until any non-patent exclusivity, such as exclusivity for obtaining approval of a new chemical entity, listed in the Orange Book for the branded reference drug product has expired. The FDA may also require us to perform one or more additional clinical studies or measurements to support the change from the branded reference drug, which could be time consuming and could substantially delay our achievement of regulatory approvals for such product candidates. The FDA may also reject our future 505(b)(2) submissions and require us to file such submissions under Section 505(b)(1) of the FDCA, which would require us to provide extensive data to establish</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06415"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5606415"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17" w:name="page118"/>
    <w:bookmarkEnd w:id="11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59"/>
        <w:spacing w:after="0" w:line="266" w:lineRule="auto"/>
        <w:rPr>
          <w:sz w:val="20"/>
          <w:szCs w:val="20"/>
          <w:color w:val="auto"/>
        </w:rPr>
      </w:pPr>
      <w:r>
        <w:rPr>
          <w:rFonts w:ascii="Times New Roman" w:cs="Times New Roman" w:eastAsia="Times New Roman" w:hAnsi="Times New Roman"/>
          <w:sz w:val="18"/>
          <w:szCs w:val="18"/>
          <w:color w:val="auto"/>
        </w:rPr>
        <w:t>safety and effectiveness of the drug product for the proposed use and could cause delay and be considerably more expensive and time consuming. These factors, among others, may limit our ability to successfully commercialize our product candidates.</w:t>
      </w:r>
    </w:p>
    <w:p>
      <w:pPr>
        <w:spacing w:after="0" w:line="141" w:lineRule="exact"/>
        <w:rPr>
          <w:sz w:val="20"/>
          <w:szCs w:val="20"/>
          <w:color w:val="auto"/>
        </w:rPr>
      </w:pPr>
    </w:p>
    <w:p>
      <w:pPr>
        <w:jc w:val="both"/>
        <w:ind w:left="60" w:right="199" w:firstLine="324"/>
        <w:spacing w:after="0" w:line="232" w:lineRule="auto"/>
        <w:rPr>
          <w:sz w:val="20"/>
          <w:szCs w:val="20"/>
          <w:color w:val="auto"/>
        </w:rPr>
      </w:pPr>
      <w:r>
        <w:rPr>
          <w:rFonts w:ascii="Times New Roman" w:cs="Times New Roman" w:eastAsia="Times New Roman" w:hAnsi="Times New Roman"/>
          <w:sz w:val="18"/>
          <w:szCs w:val="18"/>
          <w:b w:val="1"/>
          <w:bCs w:val="1"/>
          <w:i w:val="1"/>
          <w:iCs w:val="1"/>
          <w:color w:val="auto"/>
        </w:rPr>
        <w:t>If our intellectual property related to IGALMI</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b w:val="1"/>
          <w:bCs w:val="1"/>
          <w:i w:val="1"/>
          <w:iCs w:val="1"/>
          <w:color w:val="auto"/>
        </w:rPr>
        <w:t xml:space="preserve"> BXCL501, BXCL502, BXCL701, BXCL702 or any future product candidates is not adequate or if we are not able to successfully enforce our intellectual property rights, the commercial value of our products or product candidates may be adversely affected and we may not be able to compete effectively in our market.</w:t>
      </w:r>
    </w:p>
    <w:p>
      <w:pPr>
        <w:spacing w:after="0" w:line="158" w:lineRule="exact"/>
        <w:rPr>
          <w:sz w:val="20"/>
          <w:szCs w:val="20"/>
          <w:color w:val="auto"/>
        </w:rPr>
      </w:pPr>
    </w:p>
    <w:p>
      <w:pPr>
        <w:jc w:val="both"/>
        <w:ind w:left="60" w:right="219" w:firstLine="324"/>
        <w:spacing w:after="0" w:line="269" w:lineRule="auto"/>
        <w:rPr>
          <w:sz w:val="20"/>
          <w:szCs w:val="20"/>
          <w:color w:val="auto"/>
        </w:rPr>
      </w:pPr>
      <w:r>
        <w:rPr>
          <w:rFonts w:ascii="Times New Roman" w:cs="Times New Roman" w:eastAsia="Times New Roman" w:hAnsi="Times New Roman"/>
          <w:sz w:val="17"/>
          <w:szCs w:val="17"/>
          <w:color w:val="auto"/>
        </w:rPr>
        <w:t>Third parties, including our competitors, may currently, or in the future, infringe, misappropriate or otherwise violate our issued patents or other intellectual property rights, and we may file lawsuits or initiate other proceedings to protect or enforce our patents or other intellectual property rights, which could be expensive, time-consuming and unsuccessful. We regularly monitor for unauthorized use of our intellectual property rights and, from time to time, analyze whether to seek enforce our rights against potential infringement, misappropriation or violation of our intellectual property rights.</w:t>
      </w:r>
    </w:p>
    <w:p>
      <w:pPr>
        <w:spacing w:after="0" w:line="3" w:lineRule="exact"/>
        <w:rPr>
          <w:sz w:val="20"/>
          <w:szCs w:val="20"/>
          <w:color w:val="auto"/>
        </w:rPr>
      </w:pPr>
    </w:p>
    <w:p>
      <w:pPr>
        <w:ind w:left="60" w:right="159"/>
        <w:spacing w:after="0" w:line="251" w:lineRule="auto"/>
        <w:rPr>
          <w:sz w:val="20"/>
          <w:szCs w:val="20"/>
          <w:color w:val="auto"/>
        </w:rPr>
      </w:pPr>
      <w:r>
        <w:rPr>
          <w:rFonts w:ascii="Times New Roman" w:cs="Times New Roman" w:eastAsia="Times New Roman" w:hAnsi="Times New Roman"/>
          <w:sz w:val="18"/>
          <w:szCs w:val="18"/>
          <w:color w:val="auto"/>
        </w:rPr>
        <w:t>However, the steps we have taken, and are taking, to protect our proprietary rights may not be adequate to enforce our rights as against such infringement, misappropriation or violation of our intellectual property rights. In certain circumstances it may not be practicable or cost-effective for us to enforce our intellectual property rights fully, particularly in certain developing countries or where the initiation of a claim might harm our business relationships. We may also be hindered or prevented from enforcing our rights with respect to a government entity or instrumentality because of the doctrine of sovereign immunity. Our ability to enforce our patent or other intellectual property rights depends on our ability to detect infringement. It may be difficult to detect infringers who do not advertise the components or methods that are used in connection with their products or technologies. Moreover, it may be difficult or impossible to obtain evidence of infringement in a competitor’s or potential competitor’s product or technologies. Thus, we may not be able to detect unauthorized use of, or take appropriate steps to enforce, our intellectual property rights. Any inability to meaningfully enforce our intellectual property rights could harm our ability to compete and reduce demand for our products and product candidates.</w:t>
      </w:r>
    </w:p>
    <w:p>
      <w:pPr>
        <w:spacing w:after="0" w:line="152" w:lineRule="exact"/>
        <w:rPr>
          <w:sz w:val="20"/>
          <w:szCs w:val="20"/>
          <w:color w:val="auto"/>
        </w:rPr>
      </w:pPr>
    </w:p>
    <w:p>
      <w:pPr>
        <w:ind w:left="60" w:right="139" w:firstLine="324"/>
        <w:spacing w:after="0" w:line="251" w:lineRule="auto"/>
        <w:rPr>
          <w:sz w:val="20"/>
          <w:szCs w:val="20"/>
          <w:color w:val="auto"/>
        </w:rPr>
      </w:pPr>
      <w:r>
        <w:rPr>
          <w:rFonts w:ascii="Times New Roman" w:cs="Times New Roman" w:eastAsia="Times New Roman" w:hAnsi="Times New Roman"/>
          <w:sz w:val="18"/>
          <w:szCs w:val="18"/>
          <w:color w:val="auto"/>
        </w:rPr>
        <w:t>Even where laws provide protection, costly and time-consuming litigation could be necessary to enforce and determine the scope of our proprietary rights, and the outcome of such litigation would be uncertain. If we choose to commence a proceeding or litigation to prevent another party from infringing our patents, that party could counterclaim that our patents are invalid or should not be enforced against them. In patent litigation in the United States, defendant counterclaims alleging invalidity and/or unenforceability are commonplace. Grounds for a validity challenge could be an alleged failure to meet any of several statutory requirements, including lack of novelty, obviousness or non-enablement. Grounds for an unenforceability assertion could be an allegation that someone connected with prosecution of the patent withheld relevant information from the USPTO, or made a misleading statement, during prosecution. The outcome following legal assertions of invalidity and unenforceability is unpredictable. With respect to validity, for example, we cannot be certain that there is no invalidating prior art, of which we and the patent examiner were unaware during prosecution. There is a risk that the examiner or court will decide that our patents are invalid or unenforceable, in whole or in part, and that we do not have the right to stop the other party from using the related inventions. There is also the risk that, even if the validity of our patents is upheld, the examiner or court may construe the patent’s claims or other intellectual property narrowly or refuse to stop the other party from using the technology at issue on the grounds that such other party’s activities do not infringe our rights to such patents. In addition, the U.S. Supreme Court has recently modified some tests used by the USPTO in granting patents over the past 20 years, which may decrease the likelihood that we will be able to obtain patents and increase the likelihood of challenge to any patents we obtain or license. Any proceedings or litigation to enforce our intellectual property rights or defend ourselves against claims of infringement of third-party intellectual property rights could be costly and divert the attention of managerial and scientific personnel, regardless of whether such litigation is ultimately resolved in our favor. We may not have sufficient resources to bring these actions to a successful conclusion. If a defendant were to prevail on its legal assertion of invalidity and/or unenforceability against our intellectual property related to a product or a product candidate, we could lose at least part, and perhaps all, of the patent protection on such product or product candidate. Such a loss of patent protection would have a material adverse impact on our business. Moreover, our competitors could counterclaim that we infringe their intellectual property, and some of our competitors have substantially greater intellectual property portfolios than we do. An adverse result in any litigation or administrative proceeding could put one or more of our patents or other intellectual property rights at risk of being invalidated or interpreted narrowly, which could adversely affect our competitive business position, financial condition and results of operations. Moreover, if we are unable to</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1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06415" cy="2603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5606415"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18" w:name="page119"/>
    <w:bookmarkEnd w:id="11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39"/>
        <w:spacing w:after="0" w:line="253" w:lineRule="auto"/>
        <w:rPr>
          <w:sz w:val="20"/>
          <w:szCs w:val="20"/>
          <w:color w:val="auto"/>
        </w:rPr>
      </w:pPr>
      <w:r>
        <w:rPr>
          <w:rFonts w:ascii="Times New Roman" w:cs="Times New Roman" w:eastAsia="Times New Roman" w:hAnsi="Times New Roman"/>
          <w:sz w:val="18"/>
          <w:szCs w:val="18"/>
          <w:color w:val="auto"/>
        </w:rPr>
        <w:t>successfully defend against claims that we have infringed the intellectual property rights of others, we may be prevented from using certain intellectual property and may be liable for damages, which in turn could materially adversely affect our business, financial condition or results of operations. Even if we are successful in any litigation, we may incur significant expense in connection with such proceedings, and the amount of any monetary damages may be inadequate to compensate us for damage as a result of the infringement and the proceedings. Further, a court may decide not to grant an injunction against further infringing activity and instead award only monetary damages, which may not be an adequate remedy. Furthermore, the monetary cost of such litigation and the diversion of the attention of our management could outweigh any benefit we receive as a result of the proceedings. Uncertainties resulting from the initiation and continuation of patent litigation or other proceedings could have a material adverse effect on our business. Any of the foregoing may cause us to incur substantial costs, and could place a significant strain on our financial resources, divert the attention of management from our core business and harm our reputation.</w:t>
      </w:r>
    </w:p>
    <w:p>
      <w:pPr>
        <w:spacing w:after="0" w:line="165" w:lineRule="exact"/>
        <w:rPr>
          <w:sz w:val="20"/>
          <w:szCs w:val="20"/>
          <w:color w:val="auto"/>
        </w:rPr>
      </w:pPr>
    </w:p>
    <w:p>
      <w:pPr>
        <w:ind w:left="60" w:right="139" w:firstLine="324"/>
        <w:spacing w:after="0" w:line="258" w:lineRule="auto"/>
        <w:rPr>
          <w:sz w:val="20"/>
          <w:szCs w:val="20"/>
          <w:color w:val="auto"/>
        </w:rPr>
      </w:pPr>
      <w:r>
        <w:rPr>
          <w:rFonts w:ascii="Times New Roman" w:cs="Times New Roman" w:eastAsia="Times New Roman" w:hAnsi="Times New Roman"/>
          <w:sz w:val="18"/>
          <w:szCs w:val="18"/>
          <w:color w:val="auto"/>
        </w:rPr>
        <w:t>Further, because of the substantial amount of discovery required in connection with intellectual property litigation, there is a risk that some of our confidential information could be compromised by disclosure during litigation. There could also be public announcements of the results of hearing, motions, or other interim developments. If securities analysts or investors perceive these results to be negative, it could have a material adverse effect on the price of shares of our common stock.</w:t>
      </w:r>
    </w:p>
    <w:p>
      <w:pPr>
        <w:spacing w:after="0" w:line="139" w:lineRule="exact"/>
        <w:rPr>
          <w:sz w:val="20"/>
          <w:szCs w:val="20"/>
          <w:color w:val="auto"/>
        </w:rPr>
      </w:pPr>
    </w:p>
    <w:p>
      <w:pPr>
        <w:ind w:left="60" w:right="15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Third parties may initiate legal proceedings alleging that we are infringing, misappropriating or otherwise violating their intellectual property rights, and/or third party claims seeking to invalidate our patents, which would be costly, time consuming and, if successfully asserted against us, may prevent or delay our product development efforts and stop us from commercializing or increase the costs of commercializing our product candidates.</w:t>
      </w:r>
    </w:p>
    <w:p>
      <w:pPr>
        <w:spacing w:after="0" w:line="140" w:lineRule="exact"/>
        <w:rPr>
          <w:sz w:val="20"/>
          <w:szCs w:val="20"/>
          <w:color w:val="auto"/>
        </w:rPr>
      </w:pPr>
    </w:p>
    <w:p>
      <w:pPr>
        <w:ind w:left="60" w:right="159" w:firstLine="324"/>
        <w:spacing w:after="0" w:line="267" w:lineRule="auto"/>
        <w:rPr>
          <w:sz w:val="20"/>
          <w:szCs w:val="20"/>
          <w:color w:val="auto"/>
        </w:rPr>
      </w:pPr>
      <w:r>
        <w:rPr>
          <w:rFonts w:ascii="Times New Roman" w:cs="Times New Roman" w:eastAsia="Times New Roman" w:hAnsi="Times New Roman"/>
          <w:sz w:val="17"/>
          <w:szCs w:val="17"/>
          <w:color w:val="auto"/>
        </w:rPr>
        <w:t>Our commercial success will depend in part on our ability to develop, manufacture or commercialize our products and product candidates without infringing, misappropriating or otherwise violating the intellectual property rights of third parties. There is considerable patent and other intellectual property litigation in the pharmaceutical and biotechnology industries, and companies in the industry have used intellectual property litigation to gain a competitive advantage. We may become party to, or threatened with, adversarial proceedings or litigation regarding intellectual property rights with respect to our products, or the manufacture or use of our product candidates. In addition to infringement claims against us, third parties may also raise similar claims before administrative bodies in the United States or abroad. Such mechanisms include interference proceedings, post grant review, inter partes review, and derivation proceedings before the USPTO and similar proceedings in foreign jurisdictions. If third parties prepare and file patent applications in the United States that also claim technology similar or identical to ours, we may have to participate in interference or derivation proceedings in the USPTO to determine which party is entitled to a patent on the disputed invention. We may also become involved in similar opposition proceedings in the European Patent Office or similar offices in other jurisdictions regarding our intellectual property rights with respect to our products and technology. Since patent applications are confidential for a period of time after filing, we cannot be certain that we were the first to file any patent application related to our product candidates. Such administrative proceedings could result in revocation of or amendment to our patents in such a way that they no longer cover our products or product candidates. With respect to the validity question, for example, we cannot be certain that there is no invalidating prior art, of which we, our patent counsel, and the patent examiner were unaware during prosecution. If a third party were to prevail on a legal assertion of invalidity and/or unenforceability, we may lose at least part, and perhaps all, of the patent protection on our products or technologies. Such a loss of patent protection would have a material adverse impact on our business, financial condition, results of operations, and prospects.</w:t>
      </w:r>
    </w:p>
    <w:p>
      <w:pPr>
        <w:spacing w:after="0" w:line="377" w:lineRule="exact"/>
        <w:rPr>
          <w:sz w:val="20"/>
          <w:szCs w:val="20"/>
          <w:color w:val="auto"/>
        </w:rPr>
      </w:pPr>
    </w:p>
    <w:p>
      <w:pPr>
        <w:ind w:left="60" w:right="259" w:firstLine="324"/>
        <w:spacing w:after="0" w:line="253" w:lineRule="auto"/>
        <w:rPr>
          <w:sz w:val="20"/>
          <w:szCs w:val="20"/>
          <w:color w:val="auto"/>
        </w:rPr>
      </w:pPr>
      <w:r>
        <w:rPr>
          <w:rFonts w:ascii="Times New Roman" w:cs="Times New Roman" w:eastAsia="Times New Roman" w:hAnsi="Times New Roman"/>
          <w:sz w:val="18"/>
          <w:szCs w:val="18"/>
          <w:color w:val="auto"/>
        </w:rPr>
        <w:t>The legal threshold for initiating litigation or contested proceedings is low, so that even lawsuits or proceedings with a low probability of success might be initiated and require significant resources to defend. The costs of these lawsuits could affect our results of operations and divert the attention of managerial and scientific personnel. Some of these third parties may be better capitalized and have more resources than us. There is a risk that a court would decide that we are infringing the third-party’s patents and would order us to stop the activities covered by the patents. In that event, we may not have a viable way around the patent and may need to halt commercialization of the relevant product candidate. In addition, there is a risk that a court will order us to pay the other party damages for having violated the other party’s patents. We also could be ordered to pay substantial damages, including treble damages and attorney’s fees if we are found to be willfully infringing a third party’s patents or other intellectual property rights. In addition, we may be obligated to indemnify our licensors and collaborators against certain intellectual property infringement claims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1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06415"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5606415"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19" w:name="page120"/>
    <w:bookmarkEnd w:id="11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59"/>
        <w:spacing w:after="0" w:line="255" w:lineRule="auto"/>
        <w:rPr>
          <w:sz w:val="20"/>
          <w:szCs w:val="20"/>
          <w:color w:val="auto"/>
        </w:rPr>
      </w:pPr>
      <w:r>
        <w:rPr>
          <w:rFonts w:ascii="Times New Roman" w:cs="Times New Roman" w:eastAsia="Times New Roman" w:hAnsi="Times New Roman"/>
          <w:sz w:val="18"/>
          <w:szCs w:val="18"/>
          <w:color w:val="auto"/>
        </w:rPr>
        <w:t>brought by third parties, which could require us to expend additional resources. The pharmaceutical and biotechnology industries have produced a proliferation of patents, and it is not always clear to industry participants, including us, which patents cover various types of products or methods of use. The coverage of patents is subject to interpretation by the courts, and the interpretation is not always uniform. Even if we believe such claims are without merit, a court of competent jurisdiction could hold that these third party patents are valid and enforceable, and infringed by the use of our products and/or technologies, which could have a negative impact on the commercial success of our current and any future products or technologies.</w:t>
      </w:r>
    </w:p>
    <w:p>
      <w:pPr>
        <w:spacing w:after="0" w:line="162" w:lineRule="exact"/>
        <w:rPr>
          <w:sz w:val="20"/>
          <w:szCs w:val="20"/>
          <w:color w:val="auto"/>
        </w:rPr>
      </w:pPr>
    </w:p>
    <w:p>
      <w:pPr>
        <w:ind w:left="60" w:right="219" w:firstLine="324"/>
        <w:spacing w:after="0" w:line="253" w:lineRule="auto"/>
        <w:rPr>
          <w:sz w:val="20"/>
          <w:szCs w:val="20"/>
          <w:color w:val="auto"/>
        </w:rPr>
      </w:pPr>
      <w:r>
        <w:rPr>
          <w:rFonts w:ascii="Times New Roman" w:cs="Times New Roman" w:eastAsia="Times New Roman" w:hAnsi="Times New Roman"/>
          <w:sz w:val="18"/>
          <w:szCs w:val="18"/>
          <w:color w:val="auto"/>
        </w:rPr>
        <w:t>If we are sued for patent infringement, we would need to demonstrate that our products or methods either do not infringe the patent claims of the relevant patent or that the patent claims are invalid, and we may not be able to do this. Proving invalidity is difficult. For example, in the U.S., proving invalidity requires a showing of clear and convincing evidence to overcome the presumption of validity enjoyed by issued patents. Even if we are successful in these proceedings, we may incur substantial costs and divert management’s time and attention in pursuing these proceedings, which could have a material adverse effect on us. If we are unable to avoid infringing the patent rights of others, we may be required to seek a license, which may not be available, defend an infringement action or challenge the validity of the patents in court. Patent litigation is costly and time consuming. We may not have sufficient resources to bring these actions to a successful conclusion. In addition, if we do not obtain a license, develop or obtain non-infringing technology, fail to defend an infringement action successfully or have infringed patents declared invalid, we may incur substantial monetary damages, encounter significant delays in bringing our product candidates to market and be precluded from manufacturing or selling our product candidates.</w:t>
      </w:r>
    </w:p>
    <w:p>
      <w:pPr>
        <w:spacing w:after="0" w:line="149" w:lineRule="exact"/>
        <w:rPr>
          <w:sz w:val="20"/>
          <w:szCs w:val="20"/>
          <w:color w:val="auto"/>
        </w:rPr>
      </w:pPr>
    </w:p>
    <w:p>
      <w:pPr>
        <w:ind w:left="60" w:right="1059" w:firstLine="324"/>
        <w:spacing w:after="0" w:line="282" w:lineRule="auto"/>
        <w:rPr>
          <w:sz w:val="20"/>
          <w:szCs w:val="20"/>
          <w:color w:val="auto"/>
        </w:rPr>
      </w:pPr>
      <w:r>
        <w:rPr>
          <w:rFonts w:ascii="Times New Roman" w:cs="Times New Roman" w:eastAsia="Times New Roman" w:hAnsi="Times New Roman"/>
          <w:sz w:val="18"/>
          <w:szCs w:val="18"/>
          <w:color w:val="auto"/>
        </w:rPr>
        <w:t>We cannot be certain that others have not filed patent applications for technology covered by our pending applications, or that we were the first to invent the technology, because:</w:t>
      </w:r>
    </w:p>
    <w:p>
      <w:pPr>
        <w:spacing w:after="0" w:line="121" w:lineRule="exact"/>
        <w:rPr>
          <w:sz w:val="20"/>
          <w:szCs w:val="20"/>
          <w:color w:val="auto"/>
        </w:rPr>
      </w:pPr>
    </w:p>
    <w:p>
      <w:pPr>
        <w:ind w:left="720" w:hanging="319"/>
        <w:spacing w:after="0"/>
        <w:tabs>
          <w:tab w:leader="none" w:pos="7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some patent applications in the U.S. may be maintained in secrecy until the patents are issued;</w:t>
      </w:r>
    </w:p>
    <w:p>
      <w:pPr>
        <w:spacing w:after="0" w:line="198"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patent applications in the U.S. are typically not published until 18 months after the priority date; and</w:t>
      </w:r>
    </w:p>
    <w:p>
      <w:pPr>
        <w:spacing w:after="0" w:line="18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publications in the scientific literature often lag behind actual discoveries.</w:t>
      </w:r>
    </w:p>
    <w:p>
      <w:pPr>
        <w:spacing w:after="0" w:line="185" w:lineRule="exact"/>
        <w:rPr>
          <w:sz w:val="20"/>
          <w:szCs w:val="20"/>
          <w:color w:val="auto"/>
        </w:rPr>
      </w:pPr>
    </w:p>
    <w:p>
      <w:pPr>
        <w:ind w:left="60" w:right="179" w:firstLine="324"/>
        <w:spacing w:after="0" w:line="254" w:lineRule="auto"/>
        <w:rPr>
          <w:sz w:val="20"/>
          <w:szCs w:val="20"/>
          <w:color w:val="auto"/>
        </w:rPr>
      </w:pPr>
      <w:r>
        <w:rPr>
          <w:rFonts w:ascii="Times New Roman" w:cs="Times New Roman" w:eastAsia="Times New Roman" w:hAnsi="Times New Roman"/>
          <w:sz w:val="18"/>
          <w:szCs w:val="18"/>
          <w:color w:val="auto"/>
        </w:rPr>
        <w:t>Our competitors may have filed, and may in the future file, patent applications covering technology similar to ours. Any such patent application may have priority over our patent applications, which could further require us to obtain rights to issued patents covering such technologies. If another party has filed U.S. patent applications on inventions similar to ours that claim priority to any applications filed prior to the priority dates of our applications, we may have to participate in an interference proceeding declared by the USPTO to determine priority of invention in the U.S. The costs of these proceedings could be substantial, and it is possible that such efforts would be unsuccessful if, unbeknownst to us, the other party had independently arrived at the same or similar inventions prior to our own inventions, resulting in a loss of our U.S. patent position with respect to such inventions. Other countries have similar laws that permit secrecy of patent applications and may be entitled to priority over our applications in such jurisdictions.</w:t>
      </w:r>
    </w:p>
    <w:p>
      <w:pPr>
        <w:spacing w:after="0" w:line="161" w:lineRule="exact"/>
        <w:rPr>
          <w:sz w:val="20"/>
          <w:szCs w:val="20"/>
          <w:color w:val="auto"/>
        </w:rPr>
      </w:pPr>
    </w:p>
    <w:p>
      <w:pPr>
        <w:ind w:left="60" w:right="359" w:firstLine="324"/>
        <w:spacing w:after="0" w:line="261" w:lineRule="auto"/>
        <w:rPr>
          <w:sz w:val="20"/>
          <w:szCs w:val="20"/>
          <w:color w:val="auto"/>
        </w:rPr>
      </w:pPr>
      <w:r>
        <w:rPr>
          <w:rFonts w:ascii="Times New Roman" w:cs="Times New Roman" w:eastAsia="Times New Roman" w:hAnsi="Times New Roman"/>
          <w:sz w:val="18"/>
          <w:szCs w:val="18"/>
          <w:color w:val="auto"/>
        </w:rPr>
        <w:t>Some of our competitors may be able to sustain the costs of complex patent litigation more effectively than we can because they have substantially greater resources. In addition, any uncertainties resulting from the initiation and continuation of any litigation could have a material adverse effect on our ability to raise the funds necessary to continue our operations.</w:t>
      </w:r>
    </w:p>
    <w:p>
      <w:pPr>
        <w:spacing w:after="0" w:line="13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enforce our intellectual property rights throughout the world.</w:t>
      </w:r>
    </w:p>
    <w:p>
      <w:pPr>
        <w:spacing w:after="0" w:line="189" w:lineRule="exact"/>
        <w:rPr>
          <w:sz w:val="20"/>
          <w:szCs w:val="20"/>
          <w:color w:val="auto"/>
        </w:rPr>
      </w:pPr>
    </w:p>
    <w:p>
      <w:pPr>
        <w:ind w:left="60" w:right="199" w:firstLine="324"/>
        <w:spacing w:after="0" w:line="255" w:lineRule="auto"/>
        <w:rPr>
          <w:sz w:val="20"/>
          <w:szCs w:val="20"/>
          <w:color w:val="auto"/>
        </w:rPr>
      </w:pPr>
      <w:r>
        <w:rPr>
          <w:rFonts w:ascii="Times New Roman" w:cs="Times New Roman" w:eastAsia="Times New Roman" w:hAnsi="Times New Roman"/>
          <w:sz w:val="18"/>
          <w:szCs w:val="18"/>
          <w:color w:val="auto"/>
        </w:rPr>
        <w:t>The laws of some foreign countries do not protect intellectual property rights to the same extent as the laws of the United States. Many companies have encountered significant problems in protecting and defending intellectual property rights in certain foreign jurisdictions. The legal systems of some countries, particularly developing countries, do not favor the enforcement of patents and other intellectual property protection, especially those relating to life sciences. This could make it difficult for us to stop the infringement of our patents or the misappropriation of our other intellectual property rights. For example, many foreign countries have compulsory licensing laws under which a patent owner must grant licenses to third parties.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06415" cy="254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5606415"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20" w:name="page121"/>
    <w:bookmarkEnd w:id="12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39" w:firstLine="324"/>
        <w:spacing w:after="0" w:line="255" w:lineRule="auto"/>
        <w:rPr>
          <w:sz w:val="20"/>
          <w:szCs w:val="20"/>
          <w:color w:val="auto"/>
        </w:rPr>
      </w:pPr>
      <w:r>
        <w:rPr>
          <w:rFonts w:ascii="Times New Roman" w:cs="Times New Roman" w:eastAsia="Times New Roman" w:hAnsi="Times New Roman"/>
          <w:sz w:val="18"/>
          <w:szCs w:val="18"/>
          <w:color w:val="auto"/>
        </w:rPr>
        <w:t>Proceedings to enforce our patent rights in foreign jurisdictions, whether or not successful, could result in substantial costs and divert our efforts and attention from other aspects of our business. Furthermore, while we intend to protect our intellectual property rights in our expected significant markets, we cannot ensure that we will be able to initiate or maintain similar efforts in all jurisdictions in which we may wish to market our products. Accordingly, our efforts to protect our intellectual property rights in such countries may be inadequate. In addition, changes in the law and legal decisions by courts in the United States and foreign countries may affect our ability to obtain and enforce adequate intellectual property protection for our technology.</w:t>
      </w:r>
    </w:p>
    <w:p>
      <w:pPr>
        <w:spacing w:after="0" w:line="162" w:lineRule="exact"/>
        <w:rPr>
          <w:sz w:val="20"/>
          <w:szCs w:val="20"/>
          <w:color w:val="auto"/>
        </w:rPr>
      </w:pPr>
    </w:p>
    <w:p>
      <w:pPr>
        <w:ind w:left="60" w:right="159" w:firstLine="324"/>
        <w:spacing w:after="0" w:line="254" w:lineRule="auto"/>
        <w:rPr>
          <w:sz w:val="20"/>
          <w:szCs w:val="20"/>
          <w:color w:val="auto"/>
        </w:rPr>
      </w:pPr>
      <w:r>
        <w:rPr>
          <w:rFonts w:ascii="Times New Roman" w:cs="Times New Roman" w:eastAsia="Times New Roman" w:hAnsi="Times New Roman"/>
          <w:sz w:val="18"/>
          <w:szCs w:val="18"/>
          <w:color w:val="auto"/>
        </w:rPr>
        <w:t>Finally, a Unitary Patent and Unified Patent Court (“UPC”) system was implemented in Europe on June 1, 2023. This new regime may present uncertainties for our ability to protect and enforce our patent rights against competitors in Europe. Under the UPC, all European patents, including those issued prior to ratification of the European Patent Package, by default automatically fall under the jurisdiction of the UPC. The UPC provides our competitors with a new forum to centrally revoke our European patents, and allows for the possibility of a competitor to obtain pan-European injunctions. It will be several years before we will understand the scope of patent rights that will be recognized and the strength of patent remedies that will be provided by the UPC. Under the EU Patent Package, we will have the right to opt our patents out of the UPC over the first seven years of the court’s existence, but doing so may preclude us from realizing the benefits of the new unified court.</w:t>
      </w:r>
    </w:p>
    <w:p>
      <w:pPr>
        <w:spacing w:after="0" w:line="144" w:lineRule="exact"/>
        <w:rPr>
          <w:sz w:val="20"/>
          <w:szCs w:val="20"/>
          <w:color w:val="auto"/>
        </w:rPr>
      </w:pPr>
    </w:p>
    <w:p>
      <w:pPr>
        <w:ind w:left="60" w:right="2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trademarks and trade names are not adequately protected, we may not be able to build name recognition in our markets of interest and our competitive position may be harmed.</w:t>
      </w:r>
    </w:p>
    <w:p>
      <w:pPr>
        <w:spacing w:after="0" w:line="118" w:lineRule="exact"/>
        <w:rPr>
          <w:sz w:val="20"/>
          <w:szCs w:val="20"/>
          <w:color w:val="auto"/>
        </w:rPr>
      </w:pPr>
    </w:p>
    <w:p>
      <w:pPr>
        <w:ind w:left="60" w:right="199" w:firstLine="324"/>
        <w:spacing w:after="0" w:line="253" w:lineRule="auto"/>
        <w:rPr>
          <w:sz w:val="20"/>
          <w:szCs w:val="20"/>
          <w:color w:val="auto"/>
        </w:rPr>
      </w:pPr>
      <w:r>
        <w:rPr>
          <w:rFonts w:ascii="Times New Roman" w:cs="Times New Roman" w:eastAsia="Times New Roman" w:hAnsi="Times New Roman"/>
          <w:sz w:val="18"/>
          <w:szCs w:val="18"/>
          <w:color w:val="auto"/>
        </w:rPr>
        <w:t>Our trademarks could be challenged, invalidated, infringed, and circumvented by third parties, and our trademarks could also be diluted, declared generic or found to be infringing on other marks. If any of the foregoing occurs, we could be forced to re-brand our products or technologies, resulting in loss of brand recognition and requiring us to devote resources to advertising and marketing new brands, and suffer other competitive harm. Third parties may also adopt trademarks similar to ours, which could harm our brand identity and lead to market confusion. Further, there can be no assurance that competitors will not infringe on our trademarks or that we will have adequate resources to enforce our trademarks. At times, competitors may adopt trade names or trademarks similar to ours, thereby impeding our ability to build brand identity and possibly leading to market confusion. Certain of our current or future trademarks may become so well known by the public that their use becomes generic and they lose trademark protection. Over the long term, if we are unable to establish name recognition based on our trademarks and trade names, then we may not be able to compete effectively. Any of the foregoing could have a material adverse effect on our competitive position, business, financial condition, operating results and prospects.</w:t>
      </w:r>
    </w:p>
    <w:p>
      <w:pPr>
        <w:spacing w:after="0" w:line="155" w:lineRule="exact"/>
        <w:rPr>
          <w:sz w:val="20"/>
          <w:szCs w:val="20"/>
          <w:color w:val="auto"/>
        </w:rPr>
      </w:pPr>
    </w:p>
    <w:p>
      <w:pPr>
        <w:ind w:left="60" w:right="179" w:firstLine="324"/>
        <w:spacing w:after="0" w:line="246" w:lineRule="auto"/>
        <w:rPr>
          <w:sz w:val="20"/>
          <w:szCs w:val="20"/>
          <w:color w:val="auto"/>
        </w:rPr>
      </w:pPr>
      <w:r>
        <w:rPr>
          <w:rFonts w:ascii="Times New Roman" w:cs="Times New Roman" w:eastAsia="Times New Roman" w:hAnsi="Times New Roman"/>
          <w:sz w:val="18"/>
          <w:szCs w:val="18"/>
          <w:color w:val="auto"/>
        </w:rPr>
        <w:t>We rely on our trademarks, trade names and brand names, such as “IGALMI</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and our logo, to distinguish our company and our products from our competitors and the products of our competitors, and have registered or applied to register many of these trademarks in the United States and certain countries outside the United States, however, we have not yet registered all of our trademarks in all of our current and potential markets. There can be no assurance that our trademark applications will be approved for registration. During trademark registration proceedings, we may receive rejections. Although we are given an opportunity to respond to those rejections, we may be unable to overcome such rejections. In addition, in proceedings before the USPTO and comparable agencies in many foreign jurisdictions, third parties may also oppose our trademark applications and may seek to cancel trademark registrations or otherwise challenge our use of the trademarks. Opposition or cancellation proceedings may be filed against our trademark filings in these agencies, and such filings may not survive such proceedings. While we may be able to continue the use of our trademarks in the event registration is not available, particularly in the United States, where trademark rights are acquired based on use and not registration, third parties may be able to enjoin the continued use of our trademarks if such parties are able to successfully claim infringement in court. In addition, opposition or cancellation proceedings may be filed against our trademark applications and registrations and our trademarks may not survive such proceedings. If we do not secure registrations for our trademarks, we may encounter more difficulty in enforcing them against third parties than we otherwise would. Our trademarks or trade names may be infringed, circumvented, declared generic or determined to be violating or infringing on other marks.</w:t>
      </w:r>
    </w:p>
    <w:p>
      <w:pPr>
        <w:spacing w:after="0" w:line="200" w:lineRule="exact"/>
        <w:rPr>
          <w:sz w:val="20"/>
          <w:szCs w:val="20"/>
          <w:color w:val="auto"/>
        </w:rPr>
      </w:pPr>
    </w:p>
    <w:p>
      <w:pPr>
        <w:spacing w:after="0" w:line="21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5606415"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21" w:name="page122"/>
    <w:bookmarkEnd w:id="12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right="2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not able to adequately prevent disclosure of trade secrets and other proprietary information, the value of our technology and products could be significantly diminished.</w:t>
      </w:r>
    </w:p>
    <w:p>
      <w:pPr>
        <w:spacing w:after="0" w:line="132" w:lineRule="exact"/>
        <w:rPr>
          <w:sz w:val="20"/>
          <w:szCs w:val="20"/>
          <w:color w:val="auto"/>
        </w:rPr>
      </w:pPr>
    </w:p>
    <w:p>
      <w:pPr>
        <w:ind w:left="60" w:right="199" w:firstLine="324"/>
        <w:spacing w:after="0" w:line="251" w:lineRule="auto"/>
        <w:rPr>
          <w:sz w:val="20"/>
          <w:szCs w:val="20"/>
          <w:color w:val="auto"/>
        </w:rPr>
      </w:pPr>
      <w:r>
        <w:rPr>
          <w:rFonts w:ascii="Times New Roman" w:cs="Times New Roman" w:eastAsia="Times New Roman" w:hAnsi="Times New Roman"/>
          <w:sz w:val="18"/>
          <w:szCs w:val="18"/>
          <w:color w:val="auto"/>
        </w:rPr>
        <w:t>In addition to patent protection, we also rely on other intellectual property rights, including protection of copyright, trade secrets, know-how and/or other proprietary information to protect our proprietary technologies, especially where we do not believe patent protection is appropriate or obtainable. However, trade secrets are difficult to protect, and some courts are less willing or unwilling to protect trade secrets. To maintain the confidentiality of our trade secrets and proprietary information, we rely in part on confidentiality agreements with our employees, consultants, outside scientific collaborators, sponsored researchers and other advisors to protect our trade secrets and other proprietary information. However, we cannot guarantee that we have entered into such agreements with each party that may have or have had access to our trade secrets or proprietary technology and processes and we may not enter into such agreements with all employees, consultants and third parties who have been involved in the development of our intellectual property rights. Although we generally require all of our employees, consultants, advisors and any third parties who have access to our proprietary know-how, information, or technology to enter into confidentiality agreements, we cannot provide any assurances that all such agreements have been duly executed. In addition, despite the protections we do place on our intellectual property or other proprietary rights, monitoring unauthorized use and disclosure of our intellectual property rights by employees, consultants and other third parties who have access to such intellectual property or other proprietary rights is difficult, and we do not know whether the steps we have taken to protect our intellectual property or other proprietary rights will be adequate. Therefore, we may not be able to prevent the unauthorized disclosure or use of our technical knowledge or other trade secrets by such employees, consultants, advisors or third parties, despite the existence generally of these confidentiality restrictions. These agreements may not effectively prevent disclosure of confidential information and may not provide an adequate remedy in the event of unauthorized disclosure of confidential information. There can be no assurances that such employees, consultants, advisors or third parties will not breach their agreements with us, that we will have adequate remedies for any breach, or that our trade secrets will not otherwise become known or independently developed by third parties, including our competitors. If any of our trade secrets were to be lawfully obtained or independently developed by a competitor, we would have no right to prevent them, or those to whom they communicate it, from using that technology or information to compete with us. If any of our trade secrets were to be disclosed to or independently developed by a competitor, our competitive position would be harmed. The exposure of our trade secrets and other proprietary information would impair our competitive advantages and could have a material adverse effect on our business, financial condition and results of operations. In particular, a failure to protect our proprietary rights may allow competitors to copy our technology, which could adversely affect our pricing and market share.</w:t>
      </w:r>
    </w:p>
    <w:p>
      <w:pPr>
        <w:spacing w:after="0" w:line="162" w:lineRule="exact"/>
        <w:rPr>
          <w:sz w:val="20"/>
          <w:szCs w:val="20"/>
          <w:color w:val="auto"/>
        </w:rPr>
      </w:pPr>
    </w:p>
    <w:p>
      <w:pPr>
        <w:ind w:left="60" w:right="239" w:firstLine="324"/>
        <w:spacing w:after="0" w:line="252" w:lineRule="auto"/>
        <w:rPr>
          <w:sz w:val="20"/>
          <w:szCs w:val="20"/>
          <w:color w:val="auto"/>
        </w:rPr>
      </w:pPr>
      <w:r>
        <w:rPr>
          <w:rFonts w:ascii="Times New Roman" w:cs="Times New Roman" w:eastAsia="Times New Roman" w:hAnsi="Times New Roman"/>
          <w:sz w:val="18"/>
          <w:szCs w:val="18"/>
          <w:color w:val="auto"/>
        </w:rPr>
        <w:t>In addition to contractual measures, we try to protect the confidential nature of our proprietary information by maintaining physical security of our premises and electronic security of our information technology systems. Such security measures may not, for example, in the case of misappropriation of a trade secret by an employee, consultant or other third party with authorized access, provide adequate protection for our proprietary information. Our security measures may not prevent an employee, consultant or other third party from misappropriating our trade secrets and providing them to a competitor, and recourse we take against such misconduct may not provide an adequate remedy to protect our interests fully. Unauthorized parties may also attempt to copy or reverse engineer certain aspects of our products or services that we consider proprietary. Enforcing a claim that a party illegally disclosed or misappropriated a trade secret can be difficult, expensive and time-consuming, and the outcome is unpredictable. Further, we may not be able to obtain adequate remedies for any breach. While we use commonly accepted security measures, trade secret violations are often a matter of state law in the United States, and the criteria for protection of trade secrets can vary among different jurisdictions. If the steps we have taken to maintain our trade secrets are deemed inadequate, we may have insufficient recourse against third parties for misappropriating the trade secret. In addition, trade secrets may be independently developed by others in a manner that could prevent legal recourse by us. If any of our intellectual property rights or confidential or proprietary information, such as our trade secrets, were to be disclosed or misappropriated, or if any such information was independently developed by a competitor, it could have a material adverse effect on our competitive position, business, financial condition, results of operations and prospects.</w:t>
      </w:r>
    </w:p>
    <w:p>
      <w:pPr>
        <w:spacing w:after="0" w:line="153" w:lineRule="exact"/>
        <w:rPr>
          <w:sz w:val="20"/>
          <w:szCs w:val="20"/>
          <w:color w:val="auto"/>
        </w:rPr>
      </w:pPr>
    </w:p>
    <w:p>
      <w:pPr>
        <w:ind w:left="60" w:right="279" w:firstLine="324"/>
        <w:spacing w:after="0" w:line="261" w:lineRule="auto"/>
        <w:rPr>
          <w:sz w:val="20"/>
          <w:szCs w:val="20"/>
          <w:color w:val="auto"/>
        </w:rPr>
      </w:pPr>
      <w:r>
        <w:rPr>
          <w:rFonts w:ascii="Times New Roman" w:cs="Times New Roman" w:eastAsia="Times New Roman" w:hAnsi="Times New Roman"/>
          <w:sz w:val="18"/>
          <w:szCs w:val="18"/>
          <w:color w:val="auto"/>
        </w:rPr>
        <w:t>Furthermore, any license agreements we enter into in the future may require us to notify, and in some cases license back to the licensor, certain additional proprietary information or intellectual property that we developed using the rights licensed to us under these agreements. Any such licenses back to the licensor could allow our licensors to use that proprietary information or intellectual property in a manner that could harm our business. In addition, others may</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06415" cy="2603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5606415"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22" w:name="page123"/>
    <w:bookmarkEnd w:id="12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59"/>
        <w:spacing w:after="0" w:line="253" w:lineRule="auto"/>
        <w:rPr>
          <w:sz w:val="20"/>
          <w:szCs w:val="20"/>
          <w:color w:val="auto"/>
        </w:rPr>
      </w:pPr>
      <w:r>
        <w:rPr>
          <w:rFonts w:ascii="Times New Roman" w:cs="Times New Roman" w:eastAsia="Times New Roman" w:hAnsi="Times New Roman"/>
          <w:sz w:val="18"/>
          <w:szCs w:val="18"/>
          <w:color w:val="auto"/>
        </w:rPr>
        <w:t>independently discover our trade secrets and proprietary information. For example, the FDA, as part of its transparency initiative, is currently considering whether to make additional information publicly available on a routine basis, including information that we may consider to be trade secrets or other proprietary information, and it is not clear at the present time how the FDA’s disclosure policies may change in the future, if at all. Costly and time-consuming litigation could be necessary to enforce and determine the scope of our proprietary rights, and failure to obtain or maintain trade secret protection could adversely affect our competitive business position. Further, it is possible that others will independently develop the same or similar technology, products or services or otherwise obtain access to our unpatented technology, and in such cases, we could not assert any trade secret rights against such parties. If we fail to obtain or maintain trade secret protection, or if our competitors obtain our trade secrets or independently develop technology or products similar to ours, our competitive market position could be materially and adversely affected. In addition, some courts are less willing or unwilling to protect trade secrets and agreement terms that address non-competition are difficult to enforce in many jurisdictions and might not be enforceable in certain cases.</w:t>
      </w:r>
    </w:p>
    <w:p>
      <w:pPr>
        <w:spacing w:after="0" w:line="159" w:lineRule="exact"/>
        <w:rPr>
          <w:sz w:val="20"/>
          <w:szCs w:val="20"/>
          <w:color w:val="auto"/>
        </w:rPr>
      </w:pPr>
    </w:p>
    <w:p>
      <w:pPr>
        <w:ind w:left="60" w:right="53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claims that our employees, consultants or independent contractors have misappropriated the intellectual property rights, including know-how or trade secrets of a third party.</w:t>
      </w:r>
    </w:p>
    <w:p>
      <w:pPr>
        <w:spacing w:after="0" w:line="118" w:lineRule="exact"/>
        <w:rPr>
          <w:sz w:val="20"/>
          <w:szCs w:val="20"/>
          <w:color w:val="auto"/>
        </w:rPr>
      </w:pPr>
    </w:p>
    <w:p>
      <w:pPr>
        <w:ind w:left="60" w:right="179" w:firstLine="324"/>
        <w:spacing w:after="0" w:line="252" w:lineRule="auto"/>
        <w:rPr>
          <w:sz w:val="20"/>
          <w:szCs w:val="20"/>
          <w:color w:val="auto"/>
        </w:rPr>
      </w:pPr>
      <w:r>
        <w:rPr>
          <w:rFonts w:ascii="Times New Roman" w:cs="Times New Roman" w:eastAsia="Times New Roman" w:hAnsi="Times New Roman"/>
          <w:sz w:val="18"/>
          <w:szCs w:val="18"/>
          <w:color w:val="auto"/>
        </w:rPr>
        <w:t>We may be subject to claims that our employees or consultants have wrongfully used for our benefit or disclosed to us confidential information of third parties. As is common in the biotechnology and pharmaceutical industries, we employ individuals who were previously employed at other biotechnology or pharmaceutical companies, including our competitors or potential competitors. Some of these employees, consultants and contractors may have executed proprietary rights, non-disclosure and non-competition agreements in connection with such previous employment or engagement. Although we try to ensure that our employees, consultants and independent contractors do not use the intellectual property rights, proprietary information, know-how, or trade secrets of others in their work for us, and do not perform work for us that is in conflict with their obligations to another employer or any other entity, we may be subject to claims that we or our employees, consultants or independent contractors have, inadvertently or otherwise misappropriated the intellectual property, including know-how, trade secrets or other proprietary information of their former employers or clients. To the extent that our employees, consultants or contractors use intellectual property rights or proprietary information owned by others in their work for us, disputes may arise as to the rights in any related or resulting know-how and inventions. Litigation may be necessary to defend against these claims. If we fail in defending any such claims, in addition to paying monetary damages, we could lose valuable intellectual property rights or personnel, which could adversely impact our business. There is no guarantee of success in defending these claims, and even if we are successful, litigation could result in substantial costs and be a distraction to management.</w:t>
      </w:r>
    </w:p>
    <w:p>
      <w:pPr>
        <w:spacing w:after="0" w:line="150" w:lineRule="exact"/>
        <w:rPr>
          <w:sz w:val="20"/>
          <w:szCs w:val="20"/>
          <w:color w:val="auto"/>
        </w:rPr>
      </w:pPr>
    </w:p>
    <w:p>
      <w:pPr>
        <w:ind w:left="60" w:right="33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intellectual property may not be sufficient to protect our products from competition, which may negatively affect our business as well as limit our partnership or acquisition appeal.</w:t>
      </w:r>
    </w:p>
    <w:p>
      <w:pPr>
        <w:spacing w:after="0" w:line="132" w:lineRule="exact"/>
        <w:rPr>
          <w:sz w:val="20"/>
          <w:szCs w:val="20"/>
          <w:color w:val="auto"/>
        </w:rPr>
      </w:pPr>
    </w:p>
    <w:p>
      <w:pPr>
        <w:ind w:left="60" w:right="159" w:firstLine="324"/>
        <w:spacing w:after="0" w:line="261" w:lineRule="auto"/>
        <w:rPr>
          <w:sz w:val="20"/>
          <w:szCs w:val="20"/>
          <w:color w:val="auto"/>
        </w:rPr>
      </w:pPr>
      <w:r>
        <w:rPr>
          <w:rFonts w:ascii="Times New Roman" w:cs="Times New Roman" w:eastAsia="Times New Roman" w:hAnsi="Times New Roman"/>
          <w:sz w:val="18"/>
          <w:szCs w:val="18"/>
          <w:color w:val="auto"/>
        </w:rPr>
        <w:t>We may be subject to competition despite the existence of intellectual property we license or own. We can give no assurances that our intellectual property claims will be sufficient to prevent third parties from designing around patents we own or license and developing and commercializing competitive products. The existence of competitive products that avoid our intellectual property could materially adversely affect our operating results and financial condition.</w:t>
      </w:r>
    </w:p>
    <w:p>
      <w:pPr>
        <w:spacing w:after="0" w:line="139" w:lineRule="exact"/>
        <w:rPr>
          <w:sz w:val="20"/>
          <w:szCs w:val="20"/>
          <w:color w:val="auto"/>
        </w:rPr>
      </w:pPr>
    </w:p>
    <w:p>
      <w:pPr>
        <w:ind w:left="60" w:right="199" w:firstLine="324"/>
        <w:spacing w:after="0" w:line="266" w:lineRule="auto"/>
        <w:rPr>
          <w:sz w:val="20"/>
          <w:szCs w:val="20"/>
          <w:color w:val="auto"/>
        </w:rPr>
      </w:pPr>
      <w:r>
        <w:rPr>
          <w:rFonts w:ascii="Times New Roman" w:cs="Times New Roman" w:eastAsia="Times New Roman" w:hAnsi="Times New Roman"/>
          <w:sz w:val="18"/>
          <w:szCs w:val="18"/>
          <w:color w:val="auto"/>
        </w:rPr>
        <w:t>Furthermore, limitations, or perceived limitations, in our intellectual property may limit the interest of third parties to partner, collaborate or otherwise transact with us, if third parties perceive a higher than acceptable risk to commercialization of our products or future products.</w:t>
      </w:r>
    </w:p>
    <w:p>
      <w:pPr>
        <w:spacing w:after="0" w:line="135" w:lineRule="exact"/>
        <w:rPr>
          <w:sz w:val="20"/>
          <w:szCs w:val="20"/>
          <w:color w:val="auto"/>
        </w:rPr>
      </w:pPr>
    </w:p>
    <w:p>
      <w:pPr>
        <w:ind w:left="60" w:right="279" w:firstLine="324"/>
        <w:spacing w:after="0" w:line="255" w:lineRule="auto"/>
        <w:rPr>
          <w:sz w:val="20"/>
          <w:szCs w:val="20"/>
          <w:color w:val="auto"/>
        </w:rPr>
      </w:pPr>
      <w:r>
        <w:rPr>
          <w:rFonts w:ascii="Times New Roman" w:cs="Times New Roman" w:eastAsia="Times New Roman" w:hAnsi="Times New Roman"/>
          <w:sz w:val="18"/>
          <w:szCs w:val="18"/>
          <w:color w:val="auto"/>
        </w:rPr>
        <w:t>Our drug re-innovation approach involves the filing of patent applications covering new methods of use and/or new formulations of previously known, studied and/or marketed drugs. Although the protection afforded by our patent and patent applications may be significant with respect to BXCL501, BXCL502, BXCL701 and BXCL702, when looking at our patents’ ability to block competition, the protection offered by our patents may be, to some extent, more limited than the protection provided by patents claiming the composition of matter of entirely new chemical structures previously unknown. If a competitor were able to successfully design around any method of use and formulation patents we may have in the future, our business and competitive advantage could be adversely affected.</w:t>
      </w:r>
    </w:p>
    <w:p>
      <w:pPr>
        <w:spacing w:after="0" w:line="162" w:lineRule="exact"/>
        <w:rPr>
          <w:sz w:val="20"/>
          <w:szCs w:val="20"/>
          <w:color w:val="auto"/>
        </w:rPr>
      </w:pPr>
    </w:p>
    <w:p>
      <w:pPr>
        <w:ind w:left="60" w:right="399" w:firstLine="324"/>
        <w:spacing w:after="0" w:line="312" w:lineRule="auto"/>
        <w:rPr>
          <w:sz w:val="20"/>
          <w:szCs w:val="20"/>
          <w:color w:val="auto"/>
        </w:rPr>
      </w:pPr>
      <w:r>
        <w:rPr>
          <w:rFonts w:ascii="Times New Roman" w:cs="Times New Roman" w:eastAsia="Times New Roman" w:hAnsi="Times New Roman"/>
          <w:sz w:val="17"/>
          <w:szCs w:val="17"/>
          <w:color w:val="auto"/>
        </w:rPr>
        <w:t>We may elect to sue a third party, or otherwise make a claim, alleging infringement or other violation of patents, trademarks, trade dress, copyrights, trade secrets, domain names or other intellectual property rights that we either own</w:t>
      </w:r>
    </w:p>
    <w:p>
      <w:pPr>
        <w:sectPr>
          <w:pgSz w:w="11900" w:h="16838" w:orient="portrait"/>
          <w:cols w:equalWidth="0" w:num="1">
            <w:col w:w="9019"/>
          </w:cols>
          <w:pgMar w:left="1440" w:top="513" w:right="1440" w:bottom="1440" w:gutter="0" w:footer="0" w:header="0"/>
        </w:sectPr>
      </w:pPr>
    </w:p>
    <w:p>
      <w:pPr>
        <w:spacing w:after="0" w:line="35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06415"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5606415"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23" w:name="page124"/>
    <w:bookmarkEnd w:id="12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59"/>
        <w:spacing w:after="0" w:line="282" w:lineRule="auto"/>
        <w:rPr>
          <w:sz w:val="20"/>
          <w:szCs w:val="20"/>
          <w:color w:val="auto"/>
        </w:rPr>
      </w:pPr>
      <w:r>
        <w:rPr>
          <w:rFonts w:ascii="Times New Roman" w:cs="Times New Roman" w:eastAsia="Times New Roman" w:hAnsi="Times New Roman"/>
          <w:sz w:val="18"/>
          <w:szCs w:val="18"/>
          <w:color w:val="auto"/>
        </w:rPr>
        <w:t>or license from BioXcel LLC. If we do not prevail in enforcing our intellectual property rights in this type of litigation, we may be subject to:</w:t>
      </w:r>
    </w:p>
    <w:p>
      <w:pPr>
        <w:spacing w:after="0" w:line="135" w:lineRule="exact"/>
        <w:rPr>
          <w:sz w:val="20"/>
          <w:szCs w:val="20"/>
          <w:color w:val="auto"/>
        </w:rPr>
      </w:pPr>
    </w:p>
    <w:p>
      <w:pPr>
        <w:ind w:left="720" w:hanging="319"/>
        <w:spacing w:after="0"/>
        <w:tabs>
          <w:tab w:leader="none" w:pos="7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paying monetary damages related to the legal expenses of the third party;</w:t>
      </w:r>
    </w:p>
    <w:p>
      <w:pPr>
        <w:spacing w:after="0" w:line="184" w:lineRule="exact"/>
        <w:rPr>
          <w:rFonts w:ascii="Times New Roman" w:cs="Times New Roman" w:eastAsia="Times New Roman" w:hAnsi="Times New Roman"/>
          <w:sz w:val="18"/>
          <w:szCs w:val="18"/>
          <w:color w:val="auto"/>
        </w:rPr>
      </w:pPr>
    </w:p>
    <w:p>
      <w:pPr>
        <w:ind w:left="720" w:right="419" w:hanging="319"/>
        <w:spacing w:after="0" w:line="282" w:lineRule="auto"/>
        <w:tabs>
          <w:tab w:leader="none" w:pos="7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facing additional competition that may have a significant adverse effect on our product pricing, market share, business operations, financial condition, and the commercial viability of our products; and</w:t>
      </w:r>
    </w:p>
    <w:p>
      <w:pPr>
        <w:spacing w:after="0" w:line="121" w:lineRule="exact"/>
        <w:rPr>
          <w:rFonts w:ascii="Times New Roman" w:cs="Times New Roman" w:eastAsia="Times New Roman" w:hAnsi="Times New Roman"/>
          <w:sz w:val="18"/>
          <w:szCs w:val="18"/>
          <w:color w:val="auto"/>
        </w:rPr>
      </w:pPr>
    </w:p>
    <w:p>
      <w:pPr>
        <w:jc w:val="both"/>
        <w:ind w:left="720" w:right="199" w:hanging="319"/>
        <w:spacing w:after="0" w:line="266" w:lineRule="auto"/>
        <w:tabs>
          <w:tab w:leader="none" w:pos="7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restructuring our company or delaying or terminating select business opportunities, including, but not limited to, research and development, clinical trial, and commercialization activities, due to a potential deterioration of our financial condition or market competitiveness.</w:t>
      </w:r>
    </w:p>
    <w:p>
      <w:pPr>
        <w:spacing w:after="0" w:line="149" w:lineRule="exact"/>
        <w:rPr>
          <w:sz w:val="20"/>
          <w:szCs w:val="20"/>
          <w:color w:val="auto"/>
        </w:rPr>
      </w:pPr>
    </w:p>
    <w:p>
      <w:pPr>
        <w:ind w:left="60" w:right="159" w:firstLine="324"/>
        <w:spacing w:after="0" w:line="258" w:lineRule="auto"/>
        <w:rPr>
          <w:sz w:val="20"/>
          <w:szCs w:val="20"/>
          <w:color w:val="auto"/>
        </w:rPr>
      </w:pPr>
      <w:r>
        <w:rPr>
          <w:rFonts w:ascii="Times New Roman" w:cs="Times New Roman" w:eastAsia="Times New Roman" w:hAnsi="Times New Roman"/>
          <w:sz w:val="18"/>
          <w:szCs w:val="18"/>
          <w:color w:val="auto"/>
        </w:rPr>
        <w:t>A third-party may also challenge the validity, enforceability or scope of the intellectual property rights that we license or own; and the result of these challenges may narrow the scope or claims of or invalidate patents that are integral to our product candidates in the future. There can be no assurance that we will be able to successfully defend patents we own in an action against third parties due to the unpredictability of litigation and the high costs associated with intellectual property litigation, amongst other factors.</w:t>
      </w:r>
    </w:p>
    <w:p>
      <w:pPr>
        <w:spacing w:after="0" w:line="143" w:lineRule="exact"/>
        <w:rPr>
          <w:sz w:val="20"/>
          <w:szCs w:val="20"/>
          <w:color w:val="auto"/>
        </w:rPr>
      </w:pPr>
    </w:p>
    <w:p>
      <w:pPr>
        <w:jc w:val="both"/>
        <w:ind w:left="60" w:right="299" w:firstLine="324"/>
        <w:spacing w:after="0" w:line="266" w:lineRule="auto"/>
        <w:rPr>
          <w:sz w:val="20"/>
          <w:szCs w:val="20"/>
          <w:color w:val="auto"/>
        </w:rPr>
      </w:pPr>
      <w:r>
        <w:rPr>
          <w:rFonts w:ascii="Times New Roman" w:cs="Times New Roman" w:eastAsia="Times New Roman" w:hAnsi="Times New Roman"/>
          <w:sz w:val="18"/>
          <w:szCs w:val="18"/>
          <w:color w:val="auto"/>
        </w:rPr>
        <w:t>Intellectual property rights and enforcement may be less extensive in jurisdictions outside of the U.S.; thus, we may not be able to protect our intellectual property and third parties may be able to market competitive products that may use some or all of our intellectual property.</w:t>
      </w:r>
    </w:p>
    <w:p>
      <w:pPr>
        <w:spacing w:after="0" w:line="135" w:lineRule="exact"/>
        <w:rPr>
          <w:sz w:val="20"/>
          <w:szCs w:val="20"/>
          <w:color w:val="auto"/>
        </w:rPr>
      </w:pPr>
    </w:p>
    <w:p>
      <w:pPr>
        <w:ind w:left="60" w:right="339" w:firstLine="324"/>
        <w:spacing w:after="0" w:line="258" w:lineRule="auto"/>
        <w:rPr>
          <w:sz w:val="20"/>
          <w:szCs w:val="20"/>
          <w:color w:val="auto"/>
        </w:rPr>
      </w:pPr>
      <w:r>
        <w:rPr>
          <w:rFonts w:ascii="Times New Roman" w:cs="Times New Roman" w:eastAsia="Times New Roman" w:hAnsi="Times New Roman"/>
          <w:sz w:val="18"/>
          <w:szCs w:val="18"/>
          <w:color w:val="auto"/>
        </w:rPr>
        <w:t>Changes to patent law, including the Leahy-Smith America Invents Act of 2011 and the Patent Reform Act of 2009 and other future article of legislation, may substantially change the regulations and procedures surrounding patent applications, issuance of patents, and prosecution of patents. We can give no assurances that patents we own or license and can be successfully defended or will protect us against future intellectual property challenges, particularly as they pertain to changes in patent law and future patent law interpretations.</w:t>
      </w:r>
    </w:p>
    <w:p>
      <w:pPr>
        <w:spacing w:after="0" w:line="156" w:lineRule="exact"/>
        <w:rPr>
          <w:sz w:val="20"/>
          <w:szCs w:val="20"/>
          <w:color w:val="auto"/>
        </w:rPr>
      </w:pPr>
    </w:p>
    <w:p>
      <w:pPr>
        <w:ind w:left="60" w:right="199" w:firstLine="324"/>
        <w:spacing w:after="0" w:line="253" w:lineRule="auto"/>
        <w:rPr>
          <w:sz w:val="20"/>
          <w:szCs w:val="20"/>
          <w:color w:val="auto"/>
        </w:rPr>
      </w:pPr>
      <w:r>
        <w:rPr>
          <w:rFonts w:ascii="Times New Roman" w:cs="Times New Roman" w:eastAsia="Times New Roman" w:hAnsi="Times New Roman"/>
          <w:sz w:val="18"/>
          <w:szCs w:val="18"/>
          <w:color w:val="auto"/>
        </w:rPr>
        <w:t>In Europe, a new unitary patent system took effect on June 1, 2023, and may significantly impact European patents, including those granted before the introduction of the new system. Under the new system, Applicants can, upon grant of a patent, opt for that patent to become a Unitary Patent which will be subject to the jurisdiction of a new Unitary Patent Court (UPC). Patents granted before the implementation of the new system can be opted out of UPC jurisdiction, remaining as national patents in the UPC countries. Patents that remain under the jurisdiction of the UPC may be challenged in a single UPC-based revocation proceeding that, if successful, could invalidate the patent in all countries who are signatories to the UPC. Further, because the UPC is a new court system and there is little precedent for the court’s laws, there is increased uncertainty regarding the outcome of any patent litigation. We are unable to predict what impact the new patent regime may have on our ability to exclude competitors in the European market. In addition to changes in patent laws, geopolitical dynamics, including Russia’s incursion into Ukraine, and the imposition of tariffs and responses to tariffs, may impact our ability to obtain and enforce patents in particular jurisdictions. If we are unable to obtain and enforce patents as needed in particular markets, our ability to exclude competitors in those markets may be reduced.</w:t>
      </w:r>
    </w:p>
    <w:p>
      <w:pPr>
        <w:spacing w:after="0" w:line="228" w:lineRule="exact"/>
        <w:rPr>
          <w:sz w:val="20"/>
          <w:szCs w:val="20"/>
          <w:color w:val="auto"/>
        </w:rPr>
      </w:pPr>
    </w:p>
    <w:p>
      <w:pPr>
        <w:ind w:left="60" w:right="519" w:firstLine="324"/>
        <w:spacing w:after="0" w:line="261" w:lineRule="auto"/>
        <w:rPr>
          <w:sz w:val="20"/>
          <w:szCs w:val="20"/>
          <w:color w:val="auto"/>
        </w:rPr>
      </w:pPr>
      <w:r>
        <w:rPr>
          <w:rFonts w:ascii="Times New Roman" w:cs="Times New Roman" w:eastAsia="Times New Roman" w:hAnsi="Times New Roman"/>
          <w:sz w:val="18"/>
          <w:szCs w:val="18"/>
          <w:color w:val="auto"/>
        </w:rPr>
        <w:t>In addition, enforcing and maintaining our intellectual property protection depends on compliance with various procedural, document submission, fee payment and other requirements imposed by the USPTO, courts and foreign government patent agencies, and our patent protection could be reduced or eliminated for non- compliance with these requirements.</w:t>
      </w:r>
    </w:p>
    <w:p>
      <w:pPr>
        <w:spacing w:after="0" w:line="13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Risks Related to Owning our Common Stock</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The price of our common stock may fluctuate substantially.</w:t>
      </w:r>
    </w:p>
    <w:p>
      <w:pPr>
        <w:spacing w:after="0" w:line="202" w:lineRule="exact"/>
        <w:rPr>
          <w:sz w:val="20"/>
          <w:szCs w:val="20"/>
          <w:color w:val="auto"/>
        </w:rPr>
      </w:pPr>
    </w:p>
    <w:p>
      <w:pPr>
        <w:ind w:left="60" w:right="159" w:firstLine="324"/>
        <w:spacing w:after="0" w:line="261" w:lineRule="auto"/>
        <w:rPr>
          <w:sz w:val="20"/>
          <w:szCs w:val="20"/>
          <w:color w:val="auto"/>
        </w:rPr>
      </w:pPr>
      <w:r>
        <w:rPr>
          <w:rFonts w:ascii="Times New Roman" w:cs="Times New Roman" w:eastAsia="Times New Roman" w:hAnsi="Times New Roman"/>
          <w:sz w:val="18"/>
          <w:szCs w:val="18"/>
          <w:color w:val="auto"/>
        </w:rPr>
        <w:t>You should consider an investment in our common stock to be risky, and you should invest in our common stock only if you can withstand a significant loss and wide fluctuations in the market value of your investment. Some factors that may cause the market price of our common stock to fluctuate, in addition to the other risks mentioned in this "Risk Factors" section, are:</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06415"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5606415"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24" w:name="page125"/>
    <w:bookmarkEnd w:id="12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20" w:hanging="319"/>
        <w:spacing w:after="0"/>
        <w:tabs>
          <w:tab w:leader="none" w:pos="7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 of our common stock by our stockholders, executives, and directors;</w:t>
      </w:r>
    </w:p>
    <w:p>
      <w:pPr>
        <w:spacing w:after="0" w:line="198"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volatility and limitations in trading volumes of our shares of common stock;</w:t>
      </w:r>
    </w:p>
    <w:p>
      <w:pPr>
        <w:spacing w:after="0" w:line="184" w:lineRule="exact"/>
        <w:rPr>
          <w:rFonts w:ascii="Times New Roman" w:cs="Times New Roman" w:eastAsia="Times New Roman" w:hAnsi="Times New Roman"/>
          <w:sz w:val="18"/>
          <w:szCs w:val="18"/>
          <w:color w:val="auto"/>
        </w:rPr>
      </w:pPr>
    </w:p>
    <w:p>
      <w:pPr>
        <w:ind w:left="720" w:right="199" w:hanging="319"/>
        <w:spacing w:after="0" w:line="282" w:lineRule="auto"/>
        <w:tabs>
          <w:tab w:leader="none" w:pos="7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speculative trading in and short sales of our stock, as well as trading phenomena such as the “short squeeze” and “short and distort” schemes;</w:t>
      </w:r>
    </w:p>
    <w:p>
      <w:pPr>
        <w:spacing w:after="0" w:line="121" w:lineRule="exact"/>
        <w:rPr>
          <w:rFonts w:ascii="Times New Roman" w:cs="Times New Roman" w:eastAsia="Times New Roman" w:hAnsi="Times New Roman"/>
          <w:sz w:val="18"/>
          <w:szCs w:val="18"/>
          <w:color w:val="auto"/>
        </w:rPr>
      </w:pPr>
    </w:p>
    <w:p>
      <w:pPr>
        <w:ind w:left="720" w:right="319" w:hanging="319"/>
        <w:spacing w:after="0" w:line="282" w:lineRule="auto"/>
        <w:tabs>
          <w:tab w:leader="none" w:pos="7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financings to conduct and complete research and development activities including, but not limited to, our clinical trials, and other business activities;</w:t>
      </w:r>
    </w:p>
    <w:p>
      <w:pPr>
        <w:spacing w:after="0" w:line="134" w:lineRule="exact"/>
        <w:rPr>
          <w:rFonts w:ascii="Times New Roman" w:cs="Times New Roman" w:eastAsia="Times New Roman" w:hAnsi="Times New Roman"/>
          <w:sz w:val="18"/>
          <w:szCs w:val="18"/>
          <w:color w:val="auto"/>
        </w:rPr>
      </w:pPr>
    </w:p>
    <w:p>
      <w:pPr>
        <w:ind w:left="720" w:right="779" w:hanging="319"/>
        <w:spacing w:after="0" w:line="282" w:lineRule="auto"/>
        <w:tabs>
          <w:tab w:leader="none" w:pos="7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possible delays in the expected recognition of revenue due to lengthy and sometimes unpredictable sales timelines;</w:t>
      </w:r>
    </w:p>
    <w:p>
      <w:pPr>
        <w:spacing w:after="0" w:line="121" w:lineRule="exact"/>
        <w:rPr>
          <w:rFonts w:ascii="Times New Roman" w:cs="Times New Roman" w:eastAsia="Times New Roman" w:hAnsi="Times New Roman"/>
          <w:sz w:val="18"/>
          <w:szCs w:val="18"/>
          <w:color w:val="auto"/>
        </w:rPr>
      </w:pPr>
    </w:p>
    <w:p>
      <w:pPr>
        <w:jc w:val="both"/>
        <w:ind w:left="720" w:right="379" w:hanging="319"/>
        <w:spacing w:after="0" w:line="266" w:lineRule="auto"/>
        <w:tabs>
          <w:tab w:leader="none" w:pos="7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success of introductions of new applications and services by us or our competitors or any other change in the competitive dynamics of our industry, including consolidation among competitors, customers or strategic partners;</w:t>
      </w:r>
    </w:p>
    <w:p>
      <w:pPr>
        <w:spacing w:after="0" w:line="13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network outages or security breaches;</w:t>
      </w:r>
    </w:p>
    <w:p>
      <w:pPr>
        <w:spacing w:after="0" w:line="198"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new customers;</w:t>
      </w:r>
    </w:p>
    <w:p>
      <w:pPr>
        <w:spacing w:after="0" w:line="18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 renewal rates and the timing and terms of customer renewals;</w:t>
      </w:r>
    </w:p>
    <w:p>
      <w:pPr>
        <w:spacing w:after="0" w:line="18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secure resources and the necessary personnel to conduct clinical trials on our desired schedule;</w:t>
      </w:r>
    </w:p>
    <w:p>
      <w:pPr>
        <w:spacing w:after="0" w:line="198" w:lineRule="exact"/>
        <w:rPr>
          <w:rFonts w:ascii="Times New Roman" w:cs="Times New Roman" w:eastAsia="Times New Roman" w:hAnsi="Times New Roman"/>
          <w:sz w:val="18"/>
          <w:szCs w:val="18"/>
          <w:color w:val="auto"/>
        </w:rPr>
      </w:pPr>
    </w:p>
    <w:p>
      <w:pPr>
        <w:ind w:left="720" w:right="219" w:hanging="319"/>
        <w:spacing w:after="0" w:line="282" w:lineRule="auto"/>
        <w:tabs>
          <w:tab w:leader="none" w:pos="7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commencement, enrollment or results of our clinical trials for our product candidates or any future clinical trials we may conduct;</w:t>
      </w:r>
    </w:p>
    <w:p>
      <w:pPr>
        <w:spacing w:after="0" w:line="12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development status of our product candidates;</w:t>
      </w:r>
    </w:p>
    <w:p>
      <w:pPr>
        <w:spacing w:after="0" w:line="184" w:lineRule="exact"/>
        <w:rPr>
          <w:rFonts w:ascii="Times New Roman" w:cs="Times New Roman" w:eastAsia="Times New Roman" w:hAnsi="Times New Roman"/>
          <w:sz w:val="18"/>
          <w:szCs w:val="18"/>
          <w:color w:val="auto"/>
        </w:rPr>
      </w:pPr>
    </w:p>
    <w:p>
      <w:pPr>
        <w:ind w:left="720" w:right="239" w:hanging="319"/>
        <w:spacing w:after="0" w:line="282" w:lineRule="auto"/>
        <w:tabs>
          <w:tab w:leader="none" w:pos="7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delays or adverse developments or perceived adverse developments with respect to the FDA’s review of our preclinical and clinical trials;</w:t>
      </w:r>
    </w:p>
    <w:p>
      <w:pPr>
        <w:spacing w:after="0" w:line="134" w:lineRule="exact"/>
        <w:rPr>
          <w:rFonts w:ascii="Times New Roman" w:cs="Times New Roman" w:eastAsia="Times New Roman" w:hAnsi="Times New Roman"/>
          <w:sz w:val="18"/>
          <w:szCs w:val="18"/>
          <w:color w:val="auto"/>
        </w:rPr>
      </w:pPr>
    </w:p>
    <w:p>
      <w:pPr>
        <w:ind w:left="720" w:right="179" w:hanging="319"/>
        <w:spacing w:after="0" w:line="282" w:lineRule="auto"/>
        <w:tabs>
          <w:tab w:leader="none" w:pos="7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delay in our submission for studies or product approvals or adverse regulatory decisions, including failure to receive regulatory approval for our product candidates;</w:t>
      </w:r>
    </w:p>
    <w:p>
      <w:pPr>
        <w:spacing w:after="0" w:line="12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unanticipated safety concerns related to the use of our product candidates;</w:t>
      </w:r>
    </w:p>
    <w:p>
      <w:pPr>
        <w:spacing w:after="0" w:line="18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failures to meet external expectations or management guidance;</w:t>
      </w:r>
    </w:p>
    <w:p>
      <w:pPr>
        <w:spacing w:after="0" w:line="198" w:lineRule="exact"/>
        <w:rPr>
          <w:rFonts w:ascii="Times New Roman" w:cs="Times New Roman" w:eastAsia="Times New Roman" w:hAnsi="Times New Roman"/>
          <w:sz w:val="18"/>
          <w:szCs w:val="18"/>
          <w:color w:val="auto"/>
        </w:rPr>
      </w:pPr>
    </w:p>
    <w:p>
      <w:pPr>
        <w:ind w:left="720" w:right="779" w:hanging="319"/>
        <w:spacing w:after="0" w:line="282" w:lineRule="auto"/>
        <w:tabs>
          <w:tab w:leader="none" w:pos="7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capital structure or dividend policy, future issuances of securities, sales of large blocks of common stock by our stockholders;</w:t>
      </w:r>
    </w:p>
    <w:p>
      <w:pPr>
        <w:spacing w:after="0" w:line="12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cash position;</w:t>
      </w:r>
    </w:p>
    <w:p>
      <w:pPr>
        <w:spacing w:after="0" w:line="18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and events surrounding financing efforts, including debt and equity securities;</w:t>
      </w:r>
    </w:p>
    <w:p>
      <w:pPr>
        <w:spacing w:after="0" w:line="198"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enter into new markets or develop new products;</w:t>
      </w:r>
    </w:p>
    <w:p>
      <w:pPr>
        <w:spacing w:after="0" w:line="18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reputational issues;</w:t>
      </w:r>
    </w:p>
    <w:p>
      <w:pPr>
        <w:spacing w:after="0" w:line="18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from existing technologies and products or new technologies and products that may emerge;</w:t>
      </w:r>
    </w:p>
    <w:p>
      <w:pPr>
        <w:spacing w:after="0" w:line="198" w:lineRule="exact"/>
        <w:rPr>
          <w:rFonts w:ascii="Times New Roman" w:cs="Times New Roman" w:eastAsia="Times New Roman" w:hAnsi="Times New Roman"/>
          <w:sz w:val="18"/>
          <w:szCs w:val="18"/>
          <w:color w:val="auto"/>
        </w:rPr>
      </w:pPr>
    </w:p>
    <w:p>
      <w:pPr>
        <w:ind w:left="720" w:right="219" w:hanging="319"/>
        <w:spacing w:after="0" w:line="282" w:lineRule="auto"/>
        <w:tabs>
          <w:tab w:leader="none" w:pos="7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of acquisitions, partnerships, collaborations, joint ventures, new products, capital commitments, or other events by us or our competitors;</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06415" cy="17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5606415"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25" w:name="page126"/>
    <w:bookmarkEnd w:id="12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20" w:right="339" w:hanging="319"/>
        <w:spacing w:after="0" w:line="282" w:lineRule="auto"/>
        <w:tabs>
          <w:tab w:leader="none" w:pos="7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general economic, political and market conditions in or any of the regions in which we conduct our business;</w:t>
      </w:r>
    </w:p>
    <w:p>
      <w:pPr>
        <w:spacing w:after="0" w:line="13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industry conditions or perceptions;</w:t>
      </w:r>
    </w:p>
    <w:p>
      <w:pPr>
        <w:spacing w:after="0" w:line="18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valuations of similar companies or groups of companies;</w:t>
      </w:r>
    </w:p>
    <w:p>
      <w:pPr>
        <w:spacing w:after="0" w:line="184" w:lineRule="exact"/>
        <w:rPr>
          <w:rFonts w:ascii="Times New Roman" w:cs="Times New Roman" w:eastAsia="Times New Roman" w:hAnsi="Times New Roman"/>
          <w:sz w:val="18"/>
          <w:szCs w:val="18"/>
          <w:color w:val="auto"/>
        </w:rPr>
      </w:pPr>
    </w:p>
    <w:p>
      <w:pPr>
        <w:ind w:left="720" w:right="419" w:hanging="319"/>
        <w:spacing w:after="0" w:line="282" w:lineRule="auto"/>
        <w:tabs>
          <w:tab w:leader="none" w:pos="7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analyst research reports, recommendation and changes in recommendations, price targets, and withdrawals of coverage;</w:t>
      </w:r>
    </w:p>
    <w:p>
      <w:pPr>
        <w:spacing w:after="0" w:line="13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departures and additions of key personnel;</w:t>
      </w:r>
    </w:p>
    <w:p>
      <w:pPr>
        <w:spacing w:after="0" w:line="18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disputes and litigations related to intellectual properties, proprietary rights, and contractual obligations;</w:t>
      </w:r>
    </w:p>
    <w:p>
      <w:pPr>
        <w:spacing w:after="0" w:line="18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applicable laws, rules, regulations, or accounting practices and other dynamics; and</w:t>
      </w:r>
    </w:p>
    <w:p>
      <w:pPr>
        <w:spacing w:after="0" w:line="198"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events or factors, many of which may be out of our control.</w:t>
      </w:r>
    </w:p>
    <w:p>
      <w:pPr>
        <w:spacing w:after="0" w:line="185" w:lineRule="exact"/>
        <w:rPr>
          <w:sz w:val="20"/>
          <w:szCs w:val="20"/>
          <w:color w:val="auto"/>
        </w:rPr>
      </w:pPr>
    </w:p>
    <w:p>
      <w:pPr>
        <w:ind w:left="60" w:right="159" w:firstLine="324"/>
        <w:spacing w:after="0" w:line="281" w:lineRule="auto"/>
        <w:rPr>
          <w:sz w:val="20"/>
          <w:szCs w:val="20"/>
          <w:color w:val="auto"/>
        </w:rPr>
      </w:pPr>
      <w:r>
        <w:rPr>
          <w:rFonts w:ascii="Times New Roman" w:cs="Times New Roman" w:eastAsia="Times New Roman" w:hAnsi="Times New Roman"/>
          <w:sz w:val="17"/>
          <w:szCs w:val="17"/>
          <w:color w:val="auto"/>
        </w:rPr>
        <w:t>In addition, if the market for stocks in our industry or industries related to our industry, or the stock market in general, experiences a loss of investor confidence, the trading price of our common stock could decline for reasons unrelated to our business, financial condition and results of operations. If any of the foregoing occurs, it could cause our stock price to fall and may expose us to lawsuits that, even if unsuccessful, could be costly to defend and a distraction to management.</w:t>
      </w:r>
    </w:p>
    <w:p>
      <w:pPr>
        <w:spacing w:after="0" w:line="120" w:lineRule="exact"/>
        <w:rPr>
          <w:sz w:val="20"/>
          <w:szCs w:val="20"/>
          <w:color w:val="auto"/>
        </w:rPr>
      </w:pPr>
    </w:p>
    <w:p>
      <w:pPr>
        <w:ind w:left="60" w:right="37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Future sales and issuances of our common stock, including common stock that may be sold following exercise of outstanding warrants, would result in additional dilution of the percentage ownership of our stockholders and could adversely impact the share price of our common stock.</w:t>
      </w:r>
    </w:p>
    <w:p>
      <w:pPr>
        <w:spacing w:after="0" w:line="148" w:lineRule="exact"/>
        <w:rPr>
          <w:sz w:val="20"/>
          <w:szCs w:val="20"/>
          <w:color w:val="auto"/>
        </w:rPr>
      </w:pPr>
    </w:p>
    <w:p>
      <w:pPr>
        <w:ind w:left="60" w:right="179" w:firstLine="324"/>
        <w:spacing w:after="0" w:line="255" w:lineRule="auto"/>
        <w:rPr>
          <w:sz w:val="20"/>
          <w:szCs w:val="20"/>
          <w:color w:val="auto"/>
        </w:rPr>
      </w:pPr>
      <w:r>
        <w:rPr>
          <w:rFonts w:ascii="Times New Roman" w:cs="Times New Roman" w:eastAsia="Times New Roman" w:hAnsi="Times New Roman"/>
          <w:sz w:val="18"/>
          <w:szCs w:val="18"/>
          <w:color w:val="auto"/>
        </w:rPr>
        <w:t>We expect that significant additional capital will be needed in the future to continue our planned operations, including, without limitation, funding our trials and studies, marketing and commercializing our products and funding our operations. Accordingly, we have sold, and in the future may sell, common stock, convertible securities or other equity securities in one or more transactions at prices and in a manner we determine from time to time. To the extent we raise additional capital by issuing additional shares of common stock or securities convertible or exchangeable for our common stock, our stockholders may experience substantial dilution, and new investors could gain rights superior to our existing stockholders.</w:t>
      </w:r>
    </w:p>
    <w:p>
      <w:pPr>
        <w:spacing w:after="0" w:line="148" w:lineRule="exact"/>
        <w:rPr>
          <w:sz w:val="20"/>
          <w:szCs w:val="20"/>
          <w:color w:val="auto"/>
        </w:rPr>
      </w:pPr>
    </w:p>
    <w:p>
      <w:pPr>
        <w:ind w:left="60" w:right="139" w:firstLine="324"/>
        <w:spacing w:after="0" w:line="252" w:lineRule="auto"/>
        <w:rPr>
          <w:sz w:val="20"/>
          <w:szCs w:val="20"/>
          <w:color w:val="auto"/>
        </w:rPr>
      </w:pPr>
      <w:r>
        <w:rPr>
          <w:rFonts w:ascii="Times New Roman" w:cs="Times New Roman" w:eastAsia="Times New Roman" w:hAnsi="Times New Roman"/>
          <w:sz w:val="18"/>
          <w:szCs w:val="18"/>
          <w:color w:val="auto"/>
        </w:rPr>
        <w:t xml:space="preserve">In March 2024, we issued and sold in a registered direct offering 190,913 shares of our common stock, accompanying warrants to purchase up to 538,728 shares of our common stock and pre-funded warrants to purchase up to 347,814 shares of our common stock. In November 2024, we issued and sold in a registered direct offering 350,000 shares of our common stock, accompanying warrants to purchase up to 912,500 shares of our common stock and pre-funded warrants to purchase up to 562,500 shares of our common stock, (see Note 11, </w:t>
      </w:r>
      <w:r>
        <w:rPr>
          <w:rFonts w:ascii="Times New Roman" w:cs="Times New Roman" w:eastAsia="Times New Roman" w:hAnsi="Times New Roman"/>
          <w:sz w:val="18"/>
          <w:szCs w:val="18"/>
          <w:i w:val="1"/>
          <w:iCs w:val="1"/>
          <w:color w:val="auto"/>
        </w:rPr>
        <w:t>Common Stock Financing Activities</w:t>
      </w:r>
      <w:r>
        <w:rPr>
          <w:rFonts w:ascii="Times New Roman" w:cs="Times New Roman" w:eastAsia="Times New Roman" w:hAnsi="Times New Roman"/>
          <w:sz w:val="18"/>
          <w:szCs w:val="18"/>
          <w:color w:val="auto"/>
        </w:rPr>
        <w:t xml:space="preserve"> in this Annual Report on Form 10-K for additional information). In addition, we issued additional warrants to purchase up to 312,506 shares of common stock in connection with the Fifth Amendment of our Credit Agreement (see Note 9, </w:t>
      </w:r>
      <w:r>
        <w:rPr>
          <w:rFonts w:ascii="Times New Roman" w:cs="Times New Roman" w:eastAsia="Times New Roman" w:hAnsi="Times New Roman"/>
          <w:sz w:val="18"/>
          <w:szCs w:val="18"/>
          <w:i w:val="1"/>
          <w:iCs w:val="1"/>
          <w:color w:val="auto"/>
        </w:rPr>
        <w:t>Debt and Credit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Facilities </w:t>
      </w:r>
      <w:r>
        <w:rPr>
          <w:rFonts w:ascii="Times New Roman" w:cs="Times New Roman" w:eastAsia="Times New Roman" w:hAnsi="Times New Roman"/>
          <w:sz w:val="18"/>
          <w:szCs w:val="18"/>
          <w:color w:val="auto"/>
        </w:rPr>
        <w:t>in this Annual Report on Form 10-K for additional information). In March 2025, we issued and sold in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registered direct offering 188,383 shares of common stock, pre-funded warrants to purchase up to 3,811,617 shares of our common stock, accompanying warrants to purchase up to 4 million shares, and option warrants to purchase an additional 4 million shares of common stock (or pre-funded warrants in lieu thereof) and 4 million warrants. The option warrants expired on March 18, 2025 without being exercised. The number of shares of common stock underlying our outstanding warrants is significant in relation to our outstanding common stock (121% as of May 9, 2025), which could have a negative effect on the market price of our common stock and make it more difficult for us to raise funds through future equity offerings. In the event these warrants are exercised, our stockholders will experience additional dilution. To the extent outstanding stock options or warrants are exercised, there would be further dilution to our existing stockholders, which could impact the price of our common stock.</w:t>
      </w:r>
    </w:p>
    <w:p>
      <w:pPr>
        <w:spacing w:after="0" w:line="200" w:lineRule="exact"/>
        <w:rPr>
          <w:sz w:val="20"/>
          <w:szCs w:val="20"/>
          <w:color w:val="auto"/>
        </w:rPr>
      </w:pPr>
    </w:p>
    <w:p>
      <w:pPr>
        <w:spacing w:after="0" w:line="20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2603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5606415"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26" w:name="page127"/>
    <w:bookmarkEnd w:id="12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right="43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do not intend to pay cash dividends on our shares of common stock so any returns will be limited to the value of our shares.</w:t>
      </w:r>
    </w:p>
    <w:p>
      <w:pPr>
        <w:spacing w:after="0" w:line="132" w:lineRule="exact"/>
        <w:rPr>
          <w:sz w:val="20"/>
          <w:szCs w:val="20"/>
          <w:color w:val="auto"/>
        </w:rPr>
      </w:pPr>
    </w:p>
    <w:p>
      <w:pPr>
        <w:ind w:left="60" w:right="679" w:firstLine="324"/>
        <w:spacing w:after="0" w:line="266" w:lineRule="auto"/>
        <w:rPr>
          <w:sz w:val="20"/>
          <w:szCs w:val="20"/>
          <w:color w:val="auto"/>
        </w:rPr>
      </w:pPr>
      <w:r>
        <w:rPr>
          <w:rFonts w:ascii="Times New Roman" w:cs="Times New Roman" w:eastAsia="Times New Roman" w:hAnsi="Times New Roman"/>
          <w:sz w:val="18"/>
          <w:szCs w:val="18"/>
          <w:color w:val="auto"/>
        </w:rPr>
        <w:t>We currently anticipate that we will retain future earnings for the development, operation and expansion of our business and do not anticipate declaring or paying any cash dividends for the foreseeable future. Any return to stockholders will therefore be limited to the increase, if any, of our share price.</w:t>
      </w:r>
    </w:p>
    <w:p>
      <w:pPr>
        <w:spacing w:after="0" w:line="131" w:lineRule="exact"/>
        <w:rPr>
          <w:sz w:val="20"/>
          <w:szCs w:val="20"/>
          <w:color w:val="auto"/>
        </w:rPr>
      </w:pPr>
    </w:p>
    <w:p>
      <w:pPr>
        <w:ind w:left="60" w:right="1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were deemed to be an investment company under the Investment Company Act of 1940, as amended (the “1940 Act”), applicable restrictions could make it impractical for us to continue our business as contemplated and could have a material adverse effect on our business, financial condition and results of operations.</w:t>
      </w:r>
    </w:p>
    <w:p>
      <w:pPr>
        <w:spacing w:after="0" w:line="134" w:lineRule="exact"/>
        <w:rPr>
          <w:sz w:val="20"/>
          <w:szCs w:val="20"/>
          <w:color w:val="auto"/>
        </w:rPr>
      </w:pPr>
    </w:p>
    <w:p>
      <w:pPr>
        <w:ind w:left="60" w:right="219" w:firstLine="324"/>
        <w:spacing w:after="0" w:line="255" w:lineRule="auto"/>
        <w:rPr>
          <w:sz w:val="20"/>
          <w:szCs w:val="20"/>
          <w:color w:val="auto"/>
        </w:rPr>
      </w:pPr>
      <w:r>
        <w:rPr>
          <w:rFonts w:ascii="Times New Roman" w:cs="Times New Roman" w:eastAsia="Times New Roman" w:hAnsi="Times New Roman"/>
          <w:sz w:val="18"/>
          <w:szCs w:val="18"/>
          <w:color w:val="auto"/>
        </w:rPr>
        <w:t>Under Sections 3(a)(1)(A) and (C) of the 1940 Act, a company generally will be deemed to be an “investment company” for purposes of the 1940 Act if (1) it is, or holds itself out as being, engaged primarily, or proposes to engage primarily, in the business of investing, reinvesting or trading in securities or (2) it engages, or proposes to engage, in the business of investing, reinvesting, owning, holding or trading in securities and it owns or proposes to acquire investment securities having a value exceeding 40% of the value of its total assets (exclusive of U.S. government securities and cash items) on an unconsolidated basis. We do not believe that we are an “investment company,” as such term is defined in the 1940 Act.</w:t>
      </w:r>
    </w:p>
    <w:p>
      <w:pPr>
        <w:spacing w:after="0" w:line="162" w:lineRule="exact"/>
        <w:rPr>
          <w:sz w:val="20"/>
          <w:szCs w:val="20"/>
          <w:color w:val="auto"/>
        </w:rPr>
      </w:pPr>
    </w:p>
    <w:p>
      <w:pPr>
        <w:ind w:left="60" w:right="379" w:firstLine="324"/>
        <w:spacing w:after="0" w:line="256" w:lineRule="auto"/>
        <w:rPr>
          <w:sz w:val="20"/>
          <w:szCs w:val="20"/>
          <w:color w:val="auto"/>
        </w:rPr>
      </w:pPr>
      <w:r>
        <w:rPr>
          <w:rFonts w:ascii="Times New Roman" w:cs="Times New Roman" w:eastAsia="Times New Roman" w:hAnsi="Times New Roman"/>
          <w:sz w:val="18"/>
          <w:szCs w:val="18"/>
          <w:color w:val="auto"/>
        </w:rPr>
        <w:t>Notwithstanding Sections 3(a)(1)(A) and (C) of the 1940 Act, we are a research and development company and comply with the safe harbor requirements of Rule 3a-8 of the 1940 Act. We intend to conduct our operations so that we will not be deemed an investment company. However, if we were to be deemed an investment company, restrictions imposed by the 1940 Act, including limitations on our capital structure and our ability to transact with affiliates, could make it impractical for us to continue our business as contemplated and could have a material adverse effect on our business, financial condition and results of operations.</w:t>
      </w:r>
    </w:p>
    <w:p>
      <w:pPr>
        <w:spacing w:after="0" w:line="143" w:lineRule="exact"/>
        <w:rPr>
          <w:sz w:val="20"/>
          <w:szCs w:val="20"/>
          <w:color w:val="auto"/>
        </w:rPr>
      </w:pPr>
    </w:p>
    <w:p>
      <w:pPr>
        <w:ind w:left="60" w:right="1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 “smaller reporting company” and are able to avail ourselves of reduced disclosure requirements applicable to smaller reporting companies, which could make our common stock less attractive to investors.</w:t>
      </w:r>
    </w:p>
    <w:p>
      <w:pPr>
        <w:spacing w:after="0" w:line="11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We are a smaller reporting company, and we will remain a smaller reporting company until we determine that either</w:t>
      </w:r>
    </w:p>
    <w:p>
      <w:pPr>
        <w:spacing w:after="0" w:line="27" w:lineRule="exact"/>
        <w:rPr>
          <w:sz w:val="20"/>
          <w:szCs w:val="20"/>
          <w:color w:val="auto"/>
        </w:rPr>
      </w:pPr>
    </w:p>
    <w:p>
      <w:pPr>
        <w:ind w:left="60" w:right="179" w:hanging="10"/>
        <w:spacing w:after="0" w:line="251" w:lineRule="auto"/>
        <w:tabs>
          <w:tab w:leader="none" w:pos="315"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annual revenues are at least $100 million and our voting and non-voting common stock held by non-affiliates is at least $250 million measured on the last business day of our most recent second fiscal quarter, or (2) our voting and non-voting common stock held by non-affiliates is at least $700 million measured on the last business day of our most recent second fiscal quarter. Smaller reporting companies are able to provide simplified executive compensation disclosure, and have certain other reduced disclosure obligations, including, among other things, being required to provide only two years of audited financial statements and not being required to provide selected financial data, supplemental financial information or risk factors. In addition, as a non-accelerated filer, we are exempt from the auditor attestation requirements of Section 404 of the Sarbanes-Oxley Act.</w:t>
      </w:r>
    </w:p>
    <w:p>
      <w:pPr>
        <w:spacing w:after="0" w:line="167" w:lineRule="exact"/>
        <w:rPr>
          <w:sz w:val="20"/>
          <w:szCs w:val="20"/>
          <w:color w:val="auto"/>
        </w:rPr>
      </w:pPr>
    </w:p>
    <w:p>
      <w:pPr>
        <w:ind w:left="60" w:right="359" w:firstLine="324"/>
        <w:spacing w:after="0" w:line="261" w:lineRule="auto"/>
        <w:rPr>
          <w:sz w:val="20"/>
          <w:szCs w:val="20"/>
          <w:color w:val="auto"/>
        </w:rPr>
      </w:pPr>
      <w:r>
        <w:rPr>
          <w:rFonts w:ascii="Times New Roman" w:cs="Times New Roman" w:eastAsia="Times New Roman" w:hAnsi="Times New Roman"/>
          <w:sz w:val="18"/>
          <w:szCs w:val="18"/>
          <w:color w:val="auto"/>
        </w:rPr>
        <w:t>We have elected to take advantage of certain of the reduced reporting obligations. We cannot predict whether investors will find our common stock less attractive if we rely on these exemptions. If some investors find our common stock less attractive as a result, there may be a less active trading market for our common stock and our stock price may be reduced or more volatile.</w:t>
      </w:r>
    </w:p>
    <w:p>
      <w:pPr>
        <w:spacing w:after="0" w:line="135" w:lineRule="exact"/>
        <w:rPr>
          <w:sz w:val="20"/>
          <w:szCs w:val="20"/>
          <w:color w:val="auto"/>
        </w:rPr>
      </w:pPr>
    </w:p>
    <w:p>
      <w:pPr>
        <w:ind w:left="60" w:right="19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are and may in the future be subject to legal proceedings, claims and investigations in or outside the ordinary course of business. Such proceedings, claims and investigations could be costly and time-consuming to defend and could result in unfavorable outcomes, which may have a material adverse effect on our business, operating results and financial condition, and negatively affect the price of our common stock.</w:t>
      </w:r>
    </w:p>
    <w:p>
      <w:pPr>
        <w:spacing w:after="0" w:line="140" w:lineRule="exact"/>
        <w:rPr>
          <w:sz w:val="20"/>
          <w:szCs w:val="20"/>
          <w:color w:val="auto"/>
        </w:rPr>
      </w:pPr>
    </w:p>
    <w:p>
      <w:pPr>
        <w:ind w:left="60" w:right="159" w:firstLine="324"/>
        <w:spacing w:after="0" w:line="256" w:lineRule="auto"/>
        <w:rPr>
          <w:sz w:val="20"/>
          <w:szCs w:val="20"/>
          <w:color w:val="auto"/>
        </w:rPr>
      </w:pPr>
      <w:r>
        <w:rPr>
          <w:rFonts w:ascii="Times New Roman" w:cs="Times New Roman" w:eastAsia="Times New Roman" w:hAnsi="Times New Roman"/>
          <w:sz w:val="18"/>
          <w:szCs w:val="18"/>
          <w:color w:val="auto"/>
        </w:rPr>
        <w:t xml:space="preserve">We are, and may in the future become, subject to various legal proceedings, claims and investigations that arise in or outside the ordinary course of business. For example, on July 7, 2023, plaintiff Katelyn Martin filed a class action complaint against the Company and certain executives in the United States District Court for the District of Connecticut, captioned </w:t>
      </w:r>
      <w:r>
        <w:rPr>
          <w:rFonts w:ascii="Times New Roman" w:cs="Times New Roman" w:eastAsia="Times New Roman" w:hAnsi="Times New Roman"/>
          <w:sz w:val="18"/>
          <w:szCs w:val="18"/>
          <w:i w:val="1"/>
          <w:iCs w:val="1"/>
          <w:color w:val="auto"/>
        </w:rPr>
        <w:t>Martin v. BioXcel Therapeutics, et al.</w:t>
      </w:r>
      <w:r>
        <w:rPr>
          <w:rFonts w:ascii="Times New Roman" w:cs="Times New Roman" w:eastAsia="Times New Roman" w:hAnsi="Times New Roman"/>
          <w:sz w:val="18"/>
          <w:szCs w:val="18"/>
          <w:color w:val="auto"/>
        </w:rPr>
        <w:t xml:space="preserve">, 3:23-cv-00915 (D. Conn). The case has since been renamed to </w:t>
      </w:r>
      <w:r>
        <w:rPr>
          <w:rFonts w:ascii="Times New Roman" w:cs="Times New Roman" w:eastAsia="Times New Roman" w:hAnsi="Times New Roman"/>
          <w:sz w:val="18"/>
          <w:szCs w:val="18"/>
          <w:i w:val="1"/>
          <w:iCs w:val="1"/>
          <w:color w:val="auto"/>
        </w:rPr>
        <w:t>Hills et 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v. BioXcel Therapeutics, Inc. et al</w:t>
      </w:r>
      <w:r>
        <w:rPr>
          <w:rFonts w:ascii="Times New Roman" w:cs="Times New Roman" w:eastAsia="Times New Roman" w:hAnsi="Times New Roman"/>
          <w:sz w:val="18"/>
          <w:szCs w:val="18"/>
          <w:color w:val="auto"/>
        </w:rPr>
        <w:t>. On October 4, 2023, pursuant to the Private Securities Litigation Reform Act, the court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appointed two co-Lead Plaintiffs. The co-Lead Plaintiffs filed an amended complaint</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06415" cy="2603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5606415"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27" w:name="page128"/>
    <w:bookmarkEnd w:id="12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39"/>
        <w:spacing w:after="0" w:line="253" w:lineRule="auto"/>
        <w:rPr>
          <w:sz w:val="20"/>
          <w:szCs w:val="20"/>
          <w:color w:val="auto"/>
        </w:rPr>
      </w:pPr>
      <w:r>
        <w:rPr>
          <w:rFonts w:ascii="Times New Roman" w:cs="Times New Roman" w:eastAsia="Times New Roman" w:hAnsi="Times New Roman"/>
          <w:sz w:val="18"/>
          <w:szCs w:val="18"/>
          <w:color w:val="auto"/>
        </w:rPr>
        <w:t>on December 5, 2023, alleging violations of Sections 10(b) and 20A of the Exchange Act and SEC Rule 10b-5 promulgated thereunder. On July 11, 2024, the Court dismissed the amended complaint without prejudice and, on August 1, 2024, co-Lead Plaintiffs filed a second amended complaint. The second amended complaint alleges that defendants made false or misleading statements regarding the TRANQUILITY II trial and the development of BXCL501 for an expanded indication related to the treatment of certain Alzheimer’s-related agitation. The Company moved to dismiss the second amended complaint on September 6, 2024. On February 24, 2025, while the Company’s motion to dismiss remained pending, Plaintiffs moved for leave to further amend their complaint. The Company filed an opposition to the motion on March 17, 2025 and Plaintiffs filed a reply in support of the motion on April 7, 2025. On April 9, 2025, the parties filed a joint motion requesting that the Court stay the action pending the outcome of a private mediation session scheduled for May 12, 2025. The Court granted the motion, staying the action until May 23, 2025, by which date the parties are required to file either a motion to continue the stay or a motion to lift the stay.</w:t>
      </w:r>
    </w:p>
    <w:p>
      <w:pPr>
        <w:spacing w:after="0" w:line="165" w:lineRule="exact"/>
        <w:rPr>
          <w:sz w:val="20"/>
          <w:szCs w:val="20"/>
          <w:color w:val="auto"/>
        </w:rPr>
      </w:pPr>
    </w:p>
    <w:p>
      <w:pPr>
        <w:ind w:left="60" w:right="219" w:firstLine="324"/>
        <w:spacing w:after="0" w:line="254" w:lineRule="auto"/>
        <w:rPr>
          <w:sz w:val="20"/>
          <w:szCs w:val="20"/>
          <w:color w:val="auto"/>
        </w:rPr>
      </w:pPr>
      <w:r>
        <w:rPr>
          <w:rFonts w:ascii="Times New Roman" w:cs="Times New Roman" w:eastAsia="Times New Roman" w:hAnsi="Times New Roman"/>
          <w:sz w:val="18"/>
          <w:szCs w:val="18"/>
          <w:color w:val="auto"/>
        </w:rPr>
        <w:t xml:space="preserve">On November 28, 2023, Plaintiffs Pratheesan Panancherry and Jeffrey Bastress filed a stockholder derivative complaint in the United States District Court for the District of Connecticut purportedly on behalf of the Company and against Vimal Mehta, Richard I. Steinhart, Peter Mueller, June Bray, Sandeep Laumas, Michael Miller, Michal Votruba, and Krishnan Nandabalan as Defendants, and the Company as Nominal Defendant under the caption </w:t>
      </w:r>
      <w:r>
        <w:rPr>
          <w:rFonts w:ascii="Times New Roman" w:cs="Times New Roman" w:eastAsia="Times New Roman" w:hAnsi="Times New Roman"/>
          <w:sz w:val="18"/>
          <w:szCs w:val="18"/>
          <w:i w:val="1"/>
          <w:iCs w:val="1"/>
          <w:color w:val="auto"/>
        </w:rPr>
        <w:t>Panancherry et al v.</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Mehta et al</w:t>
      </w:r>
      <w:r>
        <w:rPr>
          <w:rFonts w:ascii="Times New Roman" w:cs="Times New Roman" w:eastAsia="Times New Roman" w:hAnsi="Times New Roman"/>
          <w:sz w:val="18"/>
          <w:szCs w:val="18"/>
          <w:color w:val="auto"/>
        </w:rPr>
        <w:t xml:space="preserve">, 3:23-cv-1554. Following the initial action, Plaintiffs Maria Vomvolakis (3:24-cv-3) and Kelly Fowler (3:24-cv-203) each filed separate stockholder derivative complaints in the District of Connecticut raising similar claims as Panancherry and Bastress, including business torts and violations of the Exchange Act. The cases have been consolidated under the caption </w:t>
      </w:r>
      <w:r>
        <w:rPr>
          <w:rFonts w:ascii="Times New Roman" w:cs="Times New Roman" w:eastAsia="Times New Roman" w:hAnsi="Times New Roman"/>
          <w:sz w:val="18"/>
          <w:szCs w:val="18"/>
          <w:i w:val="1"/>
          <w:iCs w:val="1"/>
          <w:color w:val="auto"/>
        </w:rPr>
        <w:t>In re BioXcel Therapeutics, Inc. Stockholder Derivative Litigation</w:t>
      </w:r>
      <w:r>
        <w:rPr>
          <w:rFonts w:ascii="Times New Roman" w:cs="Times New Roman" w:eastAsia="Times New Roman" w:hAnsi="Times New Roman"/>
          <w:sz w:val="18"/>
          <w:szCs w:val="18"/>
          <w:color w:val="auto"/>
        </w:rPr>
        <w:t>, 3:23-cv-1554 (D. Conn.). The consolidated action is currently stayed.</w:t>
      </w:r>
    </w:p>
    <w:p>
      <w:pPr>
        <w:spacing w:after="0" w:line="148" w:lineRule="exact"/>
        <w:rPr>
          <w:sz w:val="20"/>
          <w:szCs w:val="20"/>
          <w:color w:val="auto"/>
        </w:rPr>
      </w:pPr>
    </w:p>
    <w:p>
      <w:pPr>
        <w:ind w:left="60" w:right="199" w:firstLine="324"/>
        <w:spacing w:after="0" w:line="254" w:lineRule="auto"/>
        <w:rPr>
          <w:sz w:val="20"/>
          <w:szCs w:val="20"/>
          <w:color w:val="auto"/>
        </w:rPr>
      </w:pPr>
      <w:r>
        <w:rPr>
          <w:rFonts w:ascii="Times New Roman" w:cs="Times New Roman" w:eastAsia="Times New Roman" w:hAnsi="Times New Roman"/>
          <w:sz w:val="18"/>
          <w:szCs w:val="18"/>
          <w:color w:val="auto"/>
        </w:rPr>
        <w:t xml:space="preserve">On January 11, 2024, Plaintiff Jeremy Smith filed a stockholder derivative complaint in the United States District Court for the United States District Court for the District of Delaware purportedly on behalf of the Company and against Vimal Mehta, Peter Mueller, June Bray, Sandeep Laumas, Michael Miller, Michal Votruba, Richard I. Steinhart, Robert Risinger, and Krishnan Nandabalan as Defendants, and the Company as Nominal Defendant under the caption </w:t>
      </w:r>
      <w:r>
        <w:rPr>
          <w:rFonts w:ascii="Times New Roman" w:cs="Times New Roman" w:eastAsia="Times New Roman" w:hAnsi="Times New Roman"/>
          <w:sz w:val="18"/>
          <w:szCs w:val="18"/>
          <w:i w:val="1"/>
          <w:iCs w:val="1"/>
          <w:color w:val="auto"/>
        </w:rPr>
        <w:t>Smith v.</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Mehta et al</w:t>
      </w:r>
      <w:r>
        <w:rPr>
          <w:rFonts w:ascii="Times New Roman" w:cs="Times New Roman" w:eastAsia="Times New Roman" w:hAnsi="Times New Roman"/>
          <w:sz w:val="18"/>
          <w:szCs w:val="18"/>
          <w:color w:val="auto"/>
        </w:rPr>
        <w:t>, 1:24-cv-00041. Following the initial action, Plaintiff Janice Korff filed a stockholder derivative complaint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the District of Delaware raising similar claims as Smith (1:24-cv-130), including business torts and violations of the Exchange Act. The cases have been consolidated under the caption </w:t>
      </w:r>
      <w:r>
        <w:rPr>
          <w:rFonts w:ascii="Times New Roman" w:cs="Times New Roman" w:eastAsia="Times New Roman" w:hAnsi="Times New Roman"/>
          <w:sz w:val="18"/>
          <w:szCs w:val="18"/>
          <w:i w:val="1"/>
          <w:iCs w:val="1"/>
          <w:color w:val="auto"/>
        </w:rPr>
        <w:t>In re BioXcel Therapeutics, Inc. Derivative Litigation,</w:t>
      </w:r>
      <w:r>
        <w:rPr>
          <w:rFonts w:ascii="Times New Roman" w:cs="Times New Roman" w:eastAsia="Times New Roman" w:hAnsi="Times New Roman"/>
          <w:sz w:val="18"/>
          <w:szCs w:val="18"/>
          <w:color w:val="auto"/>
        </w:rPr>
        <w:t xml:space="preserve"> 1:24-cv-00041 (D. Del.). The consolidated action is currently stayed.</w:t>
      </w:r>
    </w:p>
    <w:p>
      <w:pPr>
        <w:spacing w:after="0" w:line="151" w:lineRule="exact"/>
        <w:rPr>
          <w:sz w:val="20"/>
          <w:szCs w:val="20"/>
          <w:color w:val="auto"/>
        </w:rPr>
      </w:pPr>
    </w:p>
    <w:p>
      <w:pPr>
        <w:ind w:left="60" w:right="199" w:firstLine="324"/>
        <w:spacing w:after="0" w:line="256" w:lineRule="auto"/>
        <w:rPr>
          <w:sz w:val="20"/>
          <w:szCs w:val="20"/>
          <w:color w:val="auto"/>
        </w:rPr>
      </w:pPr>
      <w:r>
        <w:rPr>
          <w:rFonts w:ascii="Times New Roman" w:cs="Times New Roman" w:eastAsia="Times New Roman" w:hAnsi="Times New Roman"/>
          <w:sz w:val="18"/>
          <w:szCs w:val="18"/>
          <w:color w:val="auto"/>
        </w:rPr>
        <w:t xml:space="preserve">On May 7, 2025, Plaintiff Yaakov Portnoy filed a stockholder derivative complaint in the Court of Chancery of the State of Delaware purportedly on behalf of the Company and against Vimal Mehta, Peter Mueller, June Bray, Sandeep “Steve” Laumas, Michael P. Miller, Michal Votruba, Richard I. Steinhart, Robert Risinger, and Krishnan Nandabalan, and the Company as Nominal Defendant under the caption </w:t>
      </w:r>
      <w:r>
        <w:rPr>
          <w:rFonts w:ascii="Times New Roman" w:cs="Times New Roman" w:eastAsia="Times New Roman" w:hAnsi="Times New Roman"/>
          <w:sz w:val="18"/>
          <w:szCs w:val="18"/>
          <w:i w:val="1"/>
          <w:iCs w:val="1"/>
          <w:color w:val="auto"/>
        </w:rPr>
        <w:t>Yaakov Portnoy, derivatively on behalf of BioXcel Therapeutics,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Inc. v. Vimal Mehta, et al</w:t>
      </w:r>
      <w:r>
        <w:rPr>
          <w:rFonts w:ascii="Times New Roman" w:cs="Times New Roman" w:eastAsia="Times New Roman" w:hAnsi="Times New Roman"/>
          <w:sz w:val="18"/>
          <w:szCs w:val="18"/>
          <w:color w:val="auto"/>
        </w:rPr>
        <w:t>, 2025-0508-BWD (Del. Ch.). The complaint alleges similar claims to those raised in</w:t>
      </w:r>
      <w:r>
        <w:rPr>
          <w:rFonts w:ascii="Times New Roman" w:cs="Times New Roman" w:eastAsia="Times New Roman" w:hAnsi="Times New Roman"/>
          <w:sz w:val="18"/>
          <w:szCs w:val="18"/>
          <w:i w:val="1"/>
          <w:iCs w:val="1"/>
          <w:color w:val="auto"/>
        </w:rPr>
        <w:t xml:space="preserve"> In re BioXcel Therapeutics, Inc. Derivative Litigation</w:t>
      </w:r>
      <w:r>
        <w:rPr>
          <w:rFonts w:ascii="Times New Roman" w:cs="Times New Roman" w:eastAsia="Times New Roman" w:hAnsi="Times New Roman"/>
          <w:sz w:val="18"/>
          <w:szCs w:val="18"/>
          <w:color w:val="auto"/>
        </w:rPr>
        <w:t>, 1:24-cv-00041 (D. Del.), including business torts.</w:t>
      </w:r>
    </w:p>
    <w:p>
      <w:pPr>
        <w:spacing w:after="0" w:line="160" w:lineRule="exact"/>
        <w:rPr>
          <w:sz w:val="20"/>
          <w:szCs w:val="20"/>
          <w:color w:val="auto"/>
        </w:rPr>
      </w:pPr>
    </w:p>
    <w:p>
      <w:pPr>
        <w:ind w:left="60" w:right="219" w:firstLine="324"/>
        <w:spacing w:after="0" w:line="254" w:lineRule="auto"/>
        <w:rPr>
          <w:sz w:val="20"/>
          <w:szCs w:val="20"/>
          <w:color w:val="auto"/>
        </w:rPr>
      </w:pPr>
      <w:r>
        <w:rPr>
          <w:rFonts w:ascii="Times New Roman" w:cs="Times New Roman" w:eastAsia="Times New Roman" w:hAnsi="Times New Roman"/>
          <w:sz w:val="18"/>
          <w:szCs w:val="18"/>
          <w:color w:val="auto"/>
        </w:rPr>
        <w:t>The Company is also cooperating with a formal investigation of the Company and certain of its officers and directors by the SEC, relating to the Company’s public disclosures, including about product sales and the receipt of a Form 483 by an investigator at one of the Company’s clinical trial sites in the TRANQUILITY II study, and trading in the securities of the Company. The Company has produced documents, and current and former officers and employees of the Company have testified before the SEC. The above-captioned proceedings, as well as any investigation or proceeding that may be instituted by the SEC may result in substantial costs or liabilities, as well as a diversion of management’s attention and resources, which could harm our business, result in a decline in the market price of our common stock and impact our financing efforts.</w:t>
      </w:r>
    </w:p>
    <w:p>
      <w:pPr>
        <w:spacing w:after="0" w:line="151" w:lineRule="exact"/>
        <w:rPr>
          <w:sz w:val="20"/>
          <w:szCs w:val="20"/>
          <w:color w:val="auto"/>
        </w:rPr>
      </w:pPr>
    </w:p>
    <w:p>
      <w:pPr>
        <w:ind w:left="60" w:right="199" w:firstLine="324"/>
        <w:spacing w:after="0" w:line="254" w:lineRule="auto"/>
        <w:rPr>
          <w:sz w:val="20"/>
          <w:szCs w:val="20"/>
          <w:color w:val="auto"/>
        </w:rPr>
      </w:pPr>
      <w:r>
        <w:rPr>
          <w:rFonts w:ascii="Times New Roman" w:cs="Times New Roman" w:eastAsia="Times New Roman" w:hAnsi="Times New Roman"/>
          <w:sz w:val="18"/>
          <w:szCs w:val="18"/>
          <w:color w:val="auto"/>
        </w:rPr>
        <w:t>The potential costs and liabilities associated with legal proceedings, claims and investigations involving us or members of our leadership team is uncertain, and the results of such legal proceedings, claims and investigations cannot be predicted with certainty. Lawsuits and other administrative or legal proceedings that may arise can involve substantial costs, including the costs associated with investigation, litigation and possible settlement, judgment, penalty or fine. In addition, lawsuits and other legal proceedings may be time consuming to defend or prosecute and may require a commitment of management and personnel resources that will be diverted from our normal business operations. Also, our insurance coverage may be insufficient, our assets may be insufficient to cover any amounts that exceed our insurance coverage, and we may have to pay damage awards or otherwise may enter into settlement</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06415" cy="2603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5606415"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28" w:name="page129"/>
    <w:bookmarkEnd w:id="12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59"/>
        <w:spacing w:after="0" w:line="254" w:lineRule="auto"/>
        <w:rPr>
          <w:sz w:val="20"/>
          <w:szCs w:val="20"/>
          <w:color w:val="auto"/>
        </w:rPr>
      </w:pPr>
      <w:r>
        <w:rPr>
          <w:rFonts w:ascii="Times New Roman" w:cs="Times New Roman" w:eastAsia="Times New Roman" w:hAnsi="Times New Roman"/>
          <w:sz w:val="18"/>
          <w:szCs w:val="18"/>
          <w:color w:val="auto"/>
        </w:rPr>
        <w:t>arrangements in connection with such claims. Moreover, we may be unable to continue to maintain our existing insurance at a reasonable cost, if at all, or to secure additional coverage, which may result in costs associated with lawsuits and other legal proceedings being uninsured. Any such payments or settlement arrangements in current or future litigation could have a material adverse effect on our business, operating results or financial condition. Even if the plaintiffs’ claims are not successful, current or future litigation could result in substantial costs and significantly and adversely impact our reputation and divert management’s attention and resources, which could have a material adverse effect on our business, operating results and financial condition, and negatively affect the price of our common stock. In addition, such lawsuits may make it more difficult to finance our operations.</w:t>
      </w:r>
    </w:p>
    <w:p>
      <w:pPr>
        <w:spacing w:after="0" w:line="165" w:lineRule="exact"/>
        <w:rPr>
          <w:sz w:val="20"/>
          <w:szCs w:val="20"/>
          <w:color w:val="auto"/>
        </w:rPr>
      </w:pPr>
    </w:p>
    <w:p>
      <w:pPr>
        <w:ind w:left="60" w:right="379" w:firstLine="324"/>
        <w:spacing w:after="0" w:line="258" w:lineRule="auto"/>
        <w:rPr>
          <w:sz w:val="20"/>
          <w:szCs w:val="20"/>
          <w:color w:val="auto"/>
        </w:rPr>
      </w:pPr>
      <w:r>
        <w:rPr>
          <w:rFonts w:ascii="Times New Roman" w:cs="Times New Roman" w:eastAsia="Times New Roman" w:hAnsi="Times New Roman"/>
          <w:sz w:val="18"/>
          <w:szCs w:val="18"/>
          <w:color w:val="auto"/>
        </w:rPr>
        <w:t>Biotechnology and pharmaceutical companies with publicly traded stock or who obtain funding through the stock market often experience significant stock price volatility, based on events beyond their control, including outcomes of clinical trials, actions of regulators and product approvals. Such further litigation, may result in substantial costs and a diversion of management’s attention and resources, which could harm our business and result in a decline in the market price of our common stock.</w:t>
      </w:r>
    </w:p>
    <w:p>
      <w:pPr>
        <w:spacing w:after="0" w:line="139" w:lineRule="exact"/>
        <w:rPr>
          <w:sz w:val="20"/>
          <w:szCs w:val="20"/>
          <w:color w:val="auto"/>
        </w:rPr>
      </w:pPr>
    </w:p>
    <w:p>
      <w:pPr>
        <w:ind w:left="60" w:right="3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certificate of incorporation, our bylaws, and Delaware law may have anti-takeover effects that could discourage, delay, or prevent a change in control, which may cause our stock price to decline.</w:t>
      </w:r>
    </w:p>
    <w:p>
      <w:pPr>
        <w:spacing w:after="0" w:line="118" w:lineRule="exact"/>
        <w:rPr>
          <w:sz w:val="20"/>
          <w:szCs w:val="20"/>
          <w:color w:val="auto"/>
        </w:rPr>
      </w:pPr>
    </w:p>
    <w:p>
      <w:pPr>
        <w:ind w:left="60" w:right="179" w:firstLine="324"/>
        <w:spacing w:after="0" w:line="253" w:lineRule="auto"/>
        <w:rPr>
          <w:sz w:val="20"/>
          <w:szCs w:val="20"/>
          <w:color w:val="auto"/>
        </w:rPr>
      </w:pPr>
      <w:r>
        <w:rPr>
          <w:rFonts w:ascii="Times New Roman" w:cs="Times New Roman" w:eastAsia="Times New Roman" w:hAnsi="Times New Roman"/>
          <w:sz w:val="18"/>
          <w:szCs w:val="18"/>
          <w:color w:val="auto"/>
        </w:rPr>
        <w:t>Our amended and restated certificate of incorporation, our amended and restated bylaws and Delaware law could make it more difficult for a third party to acquire us, even if closing such a transaction would be beneficial to our stockholders. We are authorized to issue up to 10 million shares of preferred stock. This preferred stock may be issued in one or more series, the terms of which may be determined at the time of issuance by our board of directors without further action by stockholders. The terms of any series of preferred stock may include voting rights (including the right to vote as a series on particular matters), preferences as to dividend, liquidation, conversion and redemption rights and sinking fund provisions. No preferred stock is currently outstanding. The issuance of any preferred stock could materially adversely affect the rights of the holders of our common stock, and therefore, reduce the value of our common stock. In particular, specific rights granted to future holders of preferred stock could be used to restrict our ability to merge with, or sell our assets to, a third party and thereby preserve control by the present management.</w:t>
      </w:r>
    </w:p>
    <w:p>
      <w:pPr>
        <w:spacing w:after="0" w:line="167" w:lineRule="exact"/>
        <w:rPr>
          <w:sz w:val="20"/>
          <w:szCs w:val="20"/>
          <w:color w:val="auto"/>
        </w:rPr>
      </w:pPr>
    </w:p>
    <w:p>
      <w:pPr>
        <w:ind w:left="60" w:right="439" w:firstLine="324"/>
        <w:spacing w:after="0" w:line="258" w:lineRule="auto"/>
        <w:rPr>
          <w:sz w:val="20"/>
          <w:szCs w:val="20"/>
          <w:color w:val="auto"/>
        </w:rPr>
      </w:pPr>
      <w:r>
        <w:rPr>
          <w:rFonts w:ascii="Times New Roman" w:cs="Times New Roman" w:eastAsia="Times New Roman" w:hAnsi="Times New Roman"/>
          <w:sz w:val="18"/>
          <w:szCs w:val="18"/>
          <w:color w:val="auto"/>
        </w:rPr>
        <w:t>Provisions of our amended and restated certificate of incorporation and our amended and restated bylaws and Delaware law also could have the effect of discouraging potential acquisition proposals or making a tender offer or delaying or preventing a change in control, including changes a stockholder might consider favorable. Such provisions may also prevent or frustrate attempts by our stockholders to replace or remove our management. In particular, the certificate of incorporation and bylaws and Delaware law, as applicable, among other things:</w:t>
      </w:r>
    </w:p>
    <w:p>
      <w:pPr>
        <w:spacing w:after="0" w:line="143" w:lineRule="exact"/>
        <w:rPr>
          <w:sz w:val="20"/>
          <w:szCs w:val="20"/>
          <w:color w:val="auto"/>
        </w:rPr>
      </w:pPr>
    </w:p>
    <w:p>
      <w:pPr>
        <w:ind w:left="720" w:hanging="319"/>
        <w:spacing w:after="0"/>
        <w:tabs>
          <w:tab w:leader="none" w:pos="7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the board of directors with the ability to alter the bylaws without stockholder approval;</w:t>
      </w:r>
    </w:p>
    <w:p>
      <w:pPr>
        <w:spacing w:after="0" w:line="18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place limitations on the removal of directors;</w:t>
      </w:r>
    </w:p>
    <w:p>
      <w:pPr>
        <w:spacing w:after="0" w:line="198" w:lineRule="exact"/>
        <w:rPr>
          <w:rFonts w:ascii="Times New Roman" w:cs="Times New Roman" w:eastAsia="Times New Roman" w:hAnsi="Times New Roman"/>
          <w:sz w:val="18"/>
          <w:szCs w:val="18"/>
          <w:color w:val="auto"/>
        </w:rPr>
      </w:pPr>
    </w:p>
    <w:p>
      <w:pPr>
        <w:ind w:left="720" w:right="279" w:hanging="319"/>
        <w:spacing w:after="0" w:line="282" w:lineRule="auto"/>
        <w:tabs>
          <w:tab w:leader="none" w:pos="7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advance notice requirements for nominations for election to the board of directors or for proposing matters that can be acted upon at stockholder meetings; and</w:t>
      </w:r>
    </w:p>
    <w:p>
      <w:pPr>
        <w:spacing w:after="0" w:line="121" w:lineRule="exact"/>
        <w:rPr>
          <w:rFonts w:ascii="Times New Roman" w:cs="Times New Roman" w:eastAsia="Times New Roman" w:hAnsi="Times New Roman"/>
          <w:sz w:val="18"/>
          <w:szCs w:val="18"/>
          <w:color w:val="auto"/>
        </w:rPr>
      </w:pPr>
    </w:p>
    <w:p>
      <w:pPr>
        <w:ind w:left="720" w:right="319" w:hanging="319"/>
        <w:spacing w:after="0" w:line="282" w:lineRule="auto"/>
        <w:tabs>
          <w:tab w:leader="none" w:pos="7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vacancies on the board of directors may be filled by a majority of directors in office, although less than a quorum.</w:t>
      </w:r>
    </w:p>
    <w:p>
      <w:pPr>
        <w:spacing w:after="0" w:line="117" w:lineRule="exact"/>
        <w:rPr>
          <w:sz w:val="20"/>
          <w:szCs w:val="20"/>
          <w:color w:val="auto"/>
        </w:rPr>
      </w:pPr>
    </w:p>
    <w:p>
      <w:pPr>
        <w:ind w:left="60" w:right="4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Financial reporting obligations of being a public company in the U.S. are expensive and time-consuming, and our management is required to devote substantial time to compliance matters.</w:t>
      </w:r>
    </w:p>
    <w:p>
      <w:pPr>
        <w:spacing w:after="0" w:line="132" w:lineRule="exact"/>
        <w:rPr>
          <w:sz w:val="20"/>
          <w:szCs w:val="20"/>
          <w:color w:val="auto"/>
        </w:rPr>
      </w:pPr>
    </w:p>
    <w:p>
      <w:pPr>
        <w:ind w:left="60" w:right="199" w:firstLine="324"/>
        <w:spacing w:after="0" w:line="255" w:lineRule="auto"/>
        <w:rPr>
          <w:sz w:val="20"/>
          <w:szCs w:val="20"/>
          <w:color w:val="auto"/>
        </w:rPr>
      </w:pPr>
      <w:r>
        <w:rPr>
          <w:rFonts w:ascii="Times New Roman" w:cs="Times New Roman" w:eastAsia="Times New Roman" w:hAnsi="Times New Roman"/>
          <w:sz w:val="18"/>
          <w:szCs w:val="18"/>
          <w:color w:val="auto"/>
        </w:rPr>
        <w:t>As a publicly traded company we have incurred and will continue to incur significant legal, accounting and other expenses. The obligations of being a public company in the U.S. require significant expenditures and place significant demands on our management and other personnel, including costs resulting from public company reporting obligations under the Exchange Act and the rules and regulations regarding corporate governance practices, including those under the Sarbanes-Oxley Act, the Dodd-Frank Wall Street Reform and Consumer Protection Act, and the listing requirements of the stock exchange on which our securities are listed. These rules require the establishment and maintenance of effective disclosure and financial controls and procedures, internal control over financial reporting and</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06415" cy="171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5606415"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29" w:name="page130"/>
    <w:bookmarkEnd w:id="12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39"/>
        <w:spacing w:after="0" w:line="254" w:lineRule="auto"/>
        <w:rPr>
          <w:sz w:val="20"/>
          <w:szCs w:val="20"/>
          <w:color w:val="auto"/>
        </w:rPr>
      </w:pPr>
      <w:r>
        <w:rPr>
          <w:rFonts w:ascii="Times New Roman" w:cs="Times New Roman" w:eastAsia="Times New Roman" w:hAnsi="Times New Roman"/>
          <w:sz w:val="18"/>
          <w:szCs w:val="18"/>
          <w:color w:val="auto"/>
        </w:rPr>
        <w:t>changes in corporate governance practices, among many other complex rules that are often difficult to implement, monitor and maintain compliance with. Moreover, despite reforms made possible by the JOBS Act, the reporting requirements, rules, and regulations will make some activities more time-consuming and costly, particularly as we are no longer an “emerging growth company.” In addition, we expect these and similar rules and regulations to make it more difficult and more expensive for us to obtain director and officer liability insurance and we may be required to incur substantial costs to maintain such insurance. Our continued compliance with applicable requirements and to keep pace with new regulations requires management and other personnel to devote a substantial amount of their time, otherwise we may fall out of compliance and risk becoming subject to litigation or being delisted, among other potential problems.</w:t>
      </w:r>
    </w:p>
    <w:p>
      <w:pPr>
        <w:spacing w:after="0" w:line="16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General Risk Factors</w:t>
      </w:r>
    </w:p>
    <w:p>
      <w:pPr>
        <w:spacing w:after="0" w:line="185" w:lineRule="exact"/>
        <w:rPr>
          <w:sz w:val="20"/>
          <w:szCs w:val="20"/>
          <w:color w:val="auto"/>
        </w:rPr>
      </w:pPr>
    </w:p>
    <w:p>
      <w:pPr>
        <w:ind w:left="60" w:right="3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do not publish research or reports, or publish unfavorable research or reports about our business, our stock price and trading volume may decline.</w:t>
      </w:r>
    </w:p>
    <w:p>
      <w:pPr>
        <w:spacing w:after="0" w:line="118" w:lineRule="exact"/>
        <w:rPr>
          <w:sz w:val="20"/>
          <w:szCs w:val="20"/>
          <w:color w:val="auto"/>
        </w:rPr>
      </w:pPr>
    </w:p>
    <w:p>
      <w:pPr>
        <w:ind w:left="60" w:right="139" w:firstLine="324"/>
        <w:spacing w:after="0" w:line="254" w:lineRule="auto"/>
        <w:rPr>
          <w:sz w:val="20"/>
          <w:szCs w:val="20"/>
          <w:color w:val="auto"/>
        </w:rPr>
      </w:pPr>
      <w:r>
        <w:rPr>
          <w:rFonts w:ascii="Times New Roman" w:cs="Times New Roman" w:eastAsia="Times New Roman" w:hAnsi="Times New Roman"/>
          <w:sz w:val="18"/>
          <w:szCs w:val="18"/>
          <w:color w:val="auto"/>
        </w:rPr>
        <w:t>The trading market for our common stock will rely in part on the research and reports that industry or financial analysts publish about us, our business, our markets and our competitors. We do not control these analysts. If securities analysts do not cover our common stock, the lack of research coverage may adversely affect the market price of our common stock. Furthermore, if one or more of the analysts who do cover us downgrade our stock or if those analysts issue other unfavorable commentary about us or our business, which has occurred in the past, our stock price would likely decline. If one or more of these analysts cease coverage of us or fails to regularly publish reports on us, we could lose visibility in the market and interest in our stock could decrease, which in turn could cause our stock price or trading volume to decline and may also impair our ability to expand our business with existing customers and attract new customers.</w:t>
      </w:r>
    </w:p>
    <w:p>
      <w:pPr>
        <w:spacing w:after="0" w:line="157" w:lineRule="exact"/>
        <w:rPr>
          <w:sz w:val="20"/>
          <w:szCs w:val="20"/>
          <w:color w:val="auto"/>
        </w:rPr>
      </w:pPr>
    </w:p>
    <w:p>
      <w:pPr>
        <w:ind w:left="60" w:right="27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the rules under the Sarbanes-Oxley Act related to accounting controls and procedures in the future, or, if we discover material weaknesses and other deficiencies in our internal control and accounting procedures, our stock price could decline significantly and raising capital could be more difficult.</w:t>
      </w:r>
    </w:p>
    <w:p>
      <w:pPr>
        <w:spacing w:after="0" w:line="134" w:lineRule="exact"/>
        <w:rPr>
          <w:sz w:val="20"/>
          <w:szCs w:val="20"/>
          <w:color w:val="auto"/>
        </w:rPr>
      </w:pPr>
    </w:p>
    <w:p>
      <w:pPr>
        <w:ind w:left="60" w:right="159" w:firstLine="324"/>
        <w:spacing w:after="0" w:line="253" w:lineRule="auto"/>
        <w:rPr>
          <w:sz w:val="20"/>
          <w:szCs w:val="20"/>
          <w:color w:val="auto"/>
        </w:rPr>
      </w:pPr>
      <w:r>
        <w:rPr>
          <w:rFonts w:ascii="Times New Roman" w:cs="Times New Roman" w:eastAsia="Times New Roman" w:hAnsi="Times New Roman"/>
          <w:sz w:val="18"/>
          <w:szCs w:val="18"/>
          <w:color w:val="auto"/>
        </w:rPr>
        <w:t>Section 404 of the Sarbanes-Oxley Act requires annual management assessments of the effectiveness of our internal control over financial reporting. If we fail to comply with the rules under the Sarbanes-Oxley Act related to disclosure controls and procedures in the future, or, if we discover material weaknesses and other deficiencies in our internal control and accounting procedures, our stock price could decline significantly and raising capital could be more difficult. We have discovered material weaknesses in the past. If future material weaknesses or significant deficiencies are discovered or if we otherwise fail to achieve and maintain the adequacy of our internal control, we may not be able to ensure that we can conclude on an ongoing basis that we have effective internal controls over financial reporting in accordance with Section 404 of the Sarbanes-Oxley Act. Moreover, effective internal controls are necessary for us to produce reliable financial reports and are important to helping prevent financial fraud. If we cannot provide reliable financial reports or prevent fraud, our business and operating results could be harmed, investors could lose confidence in our reported financial information, and the trading price of our common stock could drop significantly.</w:t>
      </w:r>
    </w:p>
    <w:p>
      <w:pPr>
        <w:spacing w:after="0" w:line="147" w:lineRule="exact"/>
        <w:rPr>
          <w:sz w:val="20"/>
          <w:szCs w:val="20"/>
          <w:color w:val="auto"/>
        </w:rPr>
      </w:pPr>
    </w:p>
    <w:p>
      <w:pPr>
        <w:ind w:left="60" w:right="13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tax laws or exposure to additional income tax liabilities could have a material impact on our business, results of operations, financial condition and cash flows.</w:t>
      </w:r>
    </w:p>
    <w:p>
      <w:pPr>
        <w:spacing w:after="0" w:line="159" w:lineRule="exact"/>
        <w:rPr>
          <w:sz w:val="20"/>
          <w:szCs w:val="20"/>
          <w:color w:val="auto"/>
        </w:rPr>
      </w:pPr>
    </w:p>
    <w:p>
      <w:pPr>
        <w:ind w:left="60" w:right="179" w:firstLine="648"/>
        <w:spacing w:after="0" w:line="253" w:lineRule="auto"/>
        <w:rPr>
          <w:sz w:val="20"/>
          <w:szCs w:val="20"/>
          <w:color w:val="auto"/>
        </w:rPr>
      </w:pPr>
      <w:r>
        <w:rPr>
          <w:rFonts w:ascii="Times New Roman" w:cs="Times New Roman" w:eastAsia="Times New Roman" w:hAnsi="Times New Roman"/>
          <w:sz w:val="18"/>
          <w:szCs w:val="18"/>
          <w:color w:val="auto"/>
        </w:rPr>
        <w:t>The tax regimes we are subject to or operate under, including income and non-income taxes, are unsettled and may be subject to significant change. Changes in tax laws, regulations, or rulings, or changes in interpretations of existing laws and regulations, could materially adversely affect our business, financial condition, results of operations, and prospects. For example, the TCJA, the Coronavirus Aid, Relief and Economic Security Act, and the Inflation Reduction Act (the “IRA”) made many significant changes to the U.S. tax laws. Beginning in 2022, the TCJA requires taxpayers to capitalize and amortize certain research and development expenditures over five years if incurred in the U.S. and 15 years if incurred in foreign jurisdictions, rather than deducting them currently. Although there have been legislative proposals to repeal or defer the research and development expenditure capitalization requirement to later years, there can be no assurance that the provision will be repealed or otherwise modified. As another example, the IRA includes provisions that will impact the U.S. federal income taxation of certain corporations, including imposing a minimum tax on the book income of certain large corporations and a 1% excise tax on the value of certain corporate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06415" cy="2603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5606415"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30" w:name="page131"/>
    <w:bookmarkEnd w:id="13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99"/>
        <w:spacing w:after="0" w:line="261" w:lineRule="auto"/>
        <w:rPr>
          <w:sz w:val="20"/>
          <w:szCs w:val="20"/>
          <w:color w:val="auto"/>
        </w:rPr>
      </w:pPr>
      <w:r>
        <w:rPr>
          <w:rFonts w:ascii="Times New Roman" w:cs="Times New Roman" w:eastAsia="Times New Roman" w:hAnsi="Times New Roman"/>
          <w:sz w:val="18"/>
          <w:szCs w:val="18"/>
          <w:color w:val="auto"/>
        </w:rPr>
        <w:t>stock repurchases by publicly traded companies that would be imposed on the company repurchasing such stock. Regulatory or accounting guidance with respect to existing or future tax laws could materially affect our tax obligations and effective tax rate. It is uncertain if, and to what extent, various states will conform to current federal law or any newly enacted federal tax legislation.</w:t>
      </w:r>
    </w:p>
    <w:p>
      <w:pPr>
        <w:spacing w:after="0" w:line="176" w:lineRule="exact"/>
        <w:rPr>
          <w:sz w:val="20"/>
          <w:szCs w:val="20"/>
          <w:color w:val="auto"/>
        </w:rPr>
      </w:pPr>
    </w:p>
    <w:p>
      <w:pPr>
        <w:ind w:left="60" w:right="4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Additional indirect taxes in various jurisdictions could materially adversely affect our business, financial condition, results of operations, and prospects.</w:t>
      </w:r>
    </w:p>
    <w:p>
      <w:pPr>
        <w:spacing w:after="0" w:line="159" w:lineRule="exact"/>
        <w:rPr>
          <w:sz w:val="20"/>
          <w:szCs w:val="20"/>
          <w:color w:val="auto"/>
        </w:rPr>
      </w:pPr>
    </w:p>
    <w:p>
      <w:pPr>
        <w:ind w:left="60" w:right="139" w:firstLine="324"/>
        <w:spacing w:after="0" w:line="254" w:lineRule="auto"/>
        <w:rPr>
          <w:sz w:val="20"/>
          <w:szCs w:val="20"/>
          <w:color w:val="auto"/>
        </w:rPr>
      </w:pPr>
      <w:r>
        <w:rPr>
          <w:rFonts w:ascii="Times New Roman" w:cs="Times New Roman" w:eastAsia="Times New Roman" w:hAnsi="Times New Roman"/>
          <w:sz w:val="18"/>
          <w:szCs w:val="18"/>
          <w:color w:val="auto"/>
        </w:rPr>
        <w:t>We currently collect and remit applicable indirect taxes in jurisdictions where we, through our employees or economic activity, have a presence and where we have determined, based on applicable legal precedents, that our activities are taxable. We do not currently collect and remit indirect taxes, including state and local excise, utility user, and ad valorem taxes, fees, and surcharges in jurisdictions where we believe we do not have sufficient “nexus.” Tax authorities may challenge our position that we do not have sufficient nexus in a taxing jurisdiction or that our activities are not taxable in such jurisdiction and may decide to audit our business and operations with respect to indirect taxes, which could result in significant tax liabilities (including related penalties and interest) for us or our customers, which could materially adversely affect our business, financial condition, results of operations, and prospects.</w:t>
      </w:r>
    </w:p>
    <w:p>
      <w:pPr>
        <w:spacing w:after="0" w:line="200" w:lineRule="exact"/>
        <w:rPr>
          <w:sz w:val="20"/>
          <w:szCs w:val="20"/>
          <w:color w:val="auto"/>
        </w:rPr>
      </w:pPr>
    </w:p>
    <w:p>
      <w:pPr>
        <w:spacing w:after="0" w:line="35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5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None.</w:t>
      </w:r>
    </w:p>
    <w:p>
      <w:pPr>
        <w:spacing w:after="0" w:line="1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0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None.</w:t>
      </w:r>
    </w:p>
    <w:p>
      <w:pPr>
        <w:spacing w:after="0" w:line="1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8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Not applicable.</w:t>
      </w:r>
    </w:p>
    <w:p>
      <w:pPr>
        <w:spacing w:after="0" w:line="1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89" w:lineRule="exact"/>
        <w:rPr>
          <w:sz w:val="20"/>
          <w:szCs w:val="20"/>
          <w:color w:val="auto"/>
        </w:rPr>
      </w:pPr>
    </w:p>
    <w:p>
      <w:pPr>
        <w:ind w:left="620" w:hanging="246"/>
        <w:spacing w:after="0"/>
        <w:tabs>
          <w:tab w:leader="none" w:pos="6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w:t>
      </w:r>
    </w:p>
    <w:p>
      <w:pPr>
        <w:spacing w:after="0" w:line="184" w:lineRule="exact"/>
        <w:rPr>
          <w:rFonts w:ascii="Times New Roman" w:cs="Times New Roman" w:eastAsia="Times New Roman" w:hAnsi="Times New Roman"/>
          <w:sz w:val="18"/>
          <w:szCs w:val="18"/>
          <w:color w:val="auto"/>
        </w:rPr>
      </w:pPr>
    </w:p>
    <w:p>
      <w:pPr>
        <w:ind w:left="620" w:hanging="246"/>
        <w:spacing w:after="0"/>
        <w:tabs>
          <w:tab w:leader="none" w:pos="6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w:t>
      </w:r>
    </w:p>
    <w:p>
      <w:pPr>
        <w:spacing w:after="0" w:line="225" w:lineRule="exact"/>
        <w:rPr>
          <w:rFonts w:ascii="Times New Roman" w:cs="Times New Roman" w:eastAsia="Times New Roman" w:hAnsi="Times New Roman"/>
          <w:sz w:val="18"/>
          <w:szCs w:val="18"/>
          <w:color w:val="auto"/>
        </w:rPr>
      </w:pPr>
    </w:p>
    <w:p>
      <w:pPr>
        <w:ind w:left="60" w:right="399" w:firstLine="314"/>
        <w:spacing w:after="0" w:line="266" w:lineRule="auto"/>
        <w:tabs>
          <w:tab w:leader="none" w:pos="638"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three months ended March 31, 2025, none of our directors or “officers” (as defined in Rule 16a-1(f) under the Exchange Act) adopted or terminated a “Rule 10b5-1 trading arrangement” or “non-Rule 10b5-1 trading arrangement,” as each term is defined in Item 408(a) of Regulation S-K.</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171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5606415"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31" w:name="page132"/>
    <w:bookmarkEnd w:id="13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11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84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Filed/</w:t>
            </w:r>
          </w:p>
        </w:tc>
        <w:tc>
          <w:tcPr>
            <w:tcW w:w="0" w:type="dxa"/>
            <w:vAlign w:val="bottom"/>
          </w:tcPr>
          <w:p>
            <w:pPr>
              <w:spacing w:after="0"/>
              <w:rPr>
                <w:sz w:val="1"/>
                <w:szCs w:val="1"/>
                <w:color w:val="auto"/>
              </w:rPr>
            </w:pPr>
          </w:p>
        </w:tc>
      </w:tr>
      <w:tr>
        <w:trPr>
          <w:trHeight w:val="148"/>
        </w:trPr>
        <w:tc>
          <w:tcPr>
            <w:tcW w:w="84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2820" w:type="dxa"/>
            <w:vAlign w:val="bottom"/>
            <w:gridSpan w:val="19"/>
            <w:vMerge w:val="restart"/>
          </w:tcPr>
          <w:p>
            <w:pPr>
              <w:ind w:left="84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3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Form</w:t>
            </w:r>
          </w:p>
        </w:tc>
        <w:tc>
          <w:tcPr>
            <w:tcW w:w="260" w:type="dxa"/>
            <w:vAlign w:val="bottom"/>
          </w:tcPr>
          <w:p>
            <w:pPr>
              <w:spacing w:after="0"/>
              <w:rPr>
                <w:sz w:val="12"/>
                <w:szCs w:val="12"/>
                <w:color w:val="auto"/>
              </w:rPr>
            </w:pPr>
          </w:p>
        </w:tc>
        <w:tc>
          <w:tcPr>
            <w:tcW w:w="1400" w:type="dxa"/>
            <w:vAlign w:val="bottom"/>
            <w:gridSpan w:val="2"/>
            <w:vMerge w:val="restart"/>
          </w:tcPr>
          <w:p>
            <w:pPr>
              <w:ind w:left="420"/>
              <w:spacing w:after="0"/>
              <w:rPr>
                <w:sz w:val="20"/>
                <w:szCs w:val="20"/>
                <w:color w:val="auto"/>
              </w:rPr>
            </w:pPr>
            <w:r>
              <w:rPr>
                <w:rFonts w:ascii="Times New Roman" w:cs="Times New Roman" w:eastAsia="Times New Roman" w:hAnsi="Times New Roman"/>
                <w:sz w:val="14"/>
                <w:szCs w:val="14"/>
                <w:b w:val="1"/>
                <w:bCs w:val="1"/>
                <w:color w:val="auto"/>
              </w:rPr>
              <w:t>File No.</w:t>
            </w:r>
          </w:p>
        </w:tc>
        <w:tc>
          <w:tcPr>
            <w:tcW w:w="68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22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Filing Date</w:t>
            </w:r>
          </w:p>
        </w:tc>
        <w:tc>
          <w:tcPr>
            <w:tcW w:w="10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Furnished</w:t>
            </w:r>
          </w:p>
        </w:tc>
        <w:tc>
          <w:tcPr>
            <w:tcW w:w="0" w:type="dxa"/>
            <w:vAlign w:val="bottom"/>
          </w:tcPr>
          <w:p>
            <w:pPr>
              <w:spacing w:after="0"/>
              <w:rPr>
                <w:sz w:val="1"/>
                <w:szCs w:val="1"/>
                <w:color w:val="auto"/>
              </w:rPr>
            </w:pPr>
          </w:p>
        </w:tc>
      </w:tr>
      <w:tr>
        <w:trPr>
          <w:trHeight w:val="173"/>
        </w:trPr>
        <w:tc>
          <w:tcPr>
            <w:tcW w:w="84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60" w:type="dxa"/>
            <w:vAlign w:val="bottom"/>
          </w:tcPr>
          <w:p>
            <w:pPr>
              <w:spacing w:after="0"/>
              <w:rPr>
                <w:sz w:val="15"/>
                <w:szCs w:val="15"/>
                <w:color w:val="auto"/>
              </w:rPr>
            </w:pPr>
          </w:p>
        </w:tc>
        <w:tc>
          <w:tcPr>
            <w:tcW w:w="2820" w:type="dxa"/>
            <w:vAlign w:val="bottom"/>
            <w:gridSpan w:val="19"/>
            <w:vMerge w:val="continue"/>
          </w:tcPr>
          <w:p>
            <w:pPr>
              <w:spacing w:after="0"/>
              <w:rPr>
                <w:sz w:val="15"/>
                <w:szCs w:val="15"/>
                <w:color w:val="auto"/>
              </w:rPr>
            </w:pPr>
          </w:p>
        </w:tc>
        <w:tc>
          <w:tcPr>
            <w:tcW w:w="36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1400" w:type="dxa"/>
            <w:vAlign w:val="bottom"/>
            <w:gridSpan w:val="2"/>
            <w:vMerge w:val="continue"/>
          </w:tcPr>
          <w:p>
            <w:pPr>
              <w:spacing w:after="0"/>
              <w:rPr>
                <w:sz w:val="15"/>
                <w:szCs w:val="15"/>
                <w:color w:val="auto"/>
              </w:rPr>
            </w:pPr>
          </w:p>
        </w:tc>
        <w:tc>
          <w:tcPr>
            <w:tcW w:w="680" w:type="dxa"/>
            <w:vAlign w:val="bottom"/>
            <w:gridSpan w:val="2"/>
            <w:vMerge w:val="continue"/>
          </w:tcPr>
          <w:p>
            <w:pPr>
              <w:spacing w:after="0"/>
              <w:rPr>
                <w:sz w:val="15"/>
                <w:szCs w:val="15"/>
                <w:color w:val="auto"/>
              </w:rPr>
            </w:pPr>
          </w:p>
        </w:tc>
        <w:tc>
          <w:tcPr>
            <w:tcW w:w="1220" w:type="dxa"/>
            <w:vAlign w:val="bottom"/>
            <w:gridSpan w:val="2"/>
            <w:vMerge w:val="continue"/>
          </w:tcPr>
          <w:p>
            <w:pPr>
              <w:spacing w:after="0"/>
              <w:rPr>
                <w:sz w:val="15"/>
                <w:szCs w:val="15"/>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Herewith</w:t>
            </w:r>
          </w:p>
        </w:tc>
        <w:tc>
          <w:tcPr>
            <w:tcW w:w="0" w:type="dxa"/>
            <w:vAlign w:val="bottom"/>
          </w:tcPr>
          <w:p>
            <w:pPr>
              <w:spacing w:after="0"/>
              <w:rPr>
                <w:sz w:val="1"/>
                <w:szCs w:val="1"/>
                <w:color w:val="auto"/>
              </w:rPr>
            </w:pPr>
          </w:p>
        </w:tc>
      </w:tr>
      <w:tr>
        <w:trPr>
          <w:trHeight w:val="169"/>
        </w:trPr>
        <w:tc>
          <w:tcPr>
            <w:tcW w:w="680" w:type="dxa"/>
            <w:vAlign w:val="bottom"/>
            <w:tcBorders>
              <w:top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97"/>
              </w:rPr>
              <w:t>3.1</w:t>
            </w:r>
          </w:p>
        </w:tc>
        <w:tc>
          <w:tcPr>
            <w:tcW w:w="160" w:type="dxa"/>
            <w:vAlign w:val="bottom"/>
          </w:tcPr>
          <w:p>
            <w:pPr>
              <w:spacing w:after="0"/>
              <w:rPr>
                <w:sz w:val="14"/>
                <w:szCs w:val="14"/>
                <w:color w:val="auto"/>
              </w:rPr>
            </w:pPr>
          </w:p>
        </w:tc>
        <w:tc>
          <w:tcPr>
            <w:tcW w:w="2920" w:type="dxa"/>
            <w:vAlign w:val="bottom"/>
            <w:tcBorders>
              <w:top w:val="single" w:sz="8" w:color="auto"/>
            </w:tcBorders>
            <w:gridSpan w:val="19"/>
          </w:tcPr>
          <w:p>
            <w:pPr>
              <w:spacing w:after="0" w:line="169" w:lineRule="exact"/>
              <w:rPr>
                <w:rFonts w:ascii="Times New Roman" w:cs="Times New Roman" w:eastAsia="Times New Roman" w:hAnsi="Times New Roman"/>
                <w:sz w:val="18"/>
                <w:szCs w:val="18"/>
                <w:color w:val="0000EE"/>
              </w:rPr>
            </w:pPr>
            <w:hyperlink r:id="rId151">
              <w:r>
                <w:rPr>
                  <w:rFonts w:ascii="Times New Roman" w:cs="Times New Roman" w:eastAsia="Times New Roman" w:hAnsi="Times New Roman"/>
                  <w:sz w:val="18"/>
                  <w:szCs w:val="18"/>
                  <w:color w:val="0000EE"/>
                </w:rPr>
                <w:t>Amended and Restated Certificate of</w:t>
              </w:r>
            </w:hyperlink>
          </w:p>
        </w:tc>
        <w:tc>
          <w:tcPr>
            <w:tcW w:w="160" w:type="dxa"/>
            <w:vAlign w:val="bottom"/>
          </w:tcPr>
          <w:p>
            <w:pPr>
              <w:spacing w:after="0"/>
              <w:rPr>
                <w:sz w:val="14"/>
                <w:szCs w:val="14"/>
                <w:color w:val="auto"/>
              </w:rPr>
            </w:pPr>
          </w:p>
        </w:tc>
        <w:tc>
          <w:tcPr>
            <w:tcW w:w="360" w:type="dxa"/>
            <w:vAlign w:val="bottom"/>
            <w:tcBorders>
              <w:top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97"/>
              </w:rPr>
              <w:t>10-Q</w:t>
            </w:r>
          </w:p>
        </w:tc>
        <w:tc>
          <w:tcPr>
            <w:tcW w:w="260" w:type="dxa"/>
            <w:vAlign w:val="bottom"/>
          </w:tcPr>
          <w:p>
            <w:pPr>
              <w:spacing w:after="0"/>
              <w:rPr>
                <w:sz w:val="14"/>
                <w:szCs w:val="14"/>
                <w:color w:val="auto"/>
              </w:rPr>
            </w:pPr>
          </w:p>
        </w:tc>
        <w:tc>
          <w:tcPr>
            <w:tcW w:w="1240" w:type="dxa"/>
            <w:vAlign w:val="bottom"/>
            <w:tcBorders>
              <w:top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99"/>
              </w:rPr>
              <w:t>001-38410</w:t>
            </w:r>
          </w:p>
        </w:tc>
        <w:tc>
          <w:tcPr>
            <w:tcW w:w="160" w:type="dxa"/>
            <w:vAlign w:val="bottom"/>
          </w:tcPr>
          <w:p>
            <w:pPr>
              <w:spacing w:after="0"/>
              <w:rPr>
                <w:sz w:val="14"/>
                <w:szCs w:val="14"/>
                <w:color w:val="auto"/>
              </w:rPr>
            </w:pPr>
          </w:p>
        </w:tc>
        <w:tc>
          <w:tcPr>
            <w:tcW w:w="540" w:type="dxa"/>
            <w:vAlign w:val="bottom"/>
            <w:tcBorders>
              <w:top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97"/>
              </w:rPr>
              <w:t>3.1</w:t>
            </w:r>
          </w:p>
        </w:tc>
        <w:tc>
          <w:tcPr>
            <w:tcW w:w="140" w:type="dxa"/>
            <w:vAlign w:val="bottom"/>
          </w:tcPr>
          <w:p>
            <w:pPr>
              <w:spacing w:after="0"/>
              <w:rPr>
                <w:sz w:val="14"/>
                <w:szCs w:val="14"/>
                <w:color w:val="auto"/>
              </w:rPr>
            </w:pPr>
          </w:p>
        </w:tc>
        <w:tc>
          <w:tcPr>
            <w:tcW w:w="980" w:type="dxa"/>
            <w:vAlign w:val="bottom"/>
            <w:tcBorders>
              <w:top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98"/>
              </w:rPr>
              <w:t>8/10/2021</w:t>
            </w:r>
          </w:p>
        </w:tc>
        <w:tc>
          <w:tcPr>
            <w:tcW w:w="240" w:type="dxa"/>
            <w:vAlign w:val="bottom"/>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960" w:type="dxa"/>
            <w:vAlign w:val="bottom"/>
            <w:tcBorders>
              <w:top w:val="single" w:sz="8" w:color="0000EE"/>
              <w:bottom w:val="single" w:sz="8" w:color="0000EE"/>
            </w:tcBorders>
            <w:gridSpan w:val="7"/>
          </w:tcPr>
          <w:p>
            <w:pPr>
              <w:spacing w:after="0" w:line="196" w:lineRule="exact"/>
              <w:rPr>
                <w:rFonts w:ascii="Times New Roman" w:cs="Times New Roman" w:eastAsia="Times New Roman" w:hAnsi="Times New Roman"/>
                <w:sz w:val="18"/>
                <w:szCs w:val="18"/>
                <w:color w:val="0000EE"/>
                <w:w w:val="98"/>
              </w:rPr>
            </w:pPr>
            <w:hyperlink r:id="rId151">
              <w:r>
                <w:rPr>
                  <w:rFonts w:ascii="Times New Roman" w:cs="Times New Roman" w:eastAsia="Times New Roman" w:hAnsi="Times New Roman"/>
                  <w:sz w:val="18"/>
                  <w:szCs w:val="18"/>
                  <w:color w:val="0000EE"/>
                  <w:w w:val="98"/>
                </w:rPr>
                <w:t>Incorporation, as amended.</w:t>
              </w:r>
            </w:hyperlink>
          </w:p>
        </w:tc>
        <w:tc>
          <w:tcPr>
            <w:tcW w:w="680" w:type="dxa"/>
            <w:vAlign w:val="bottom"/>
            <w:tcBorders>
              <w:top w:val="single" w:sz="8" w:color="0000EE"/>
            </w:tcBorders>
            <w:gridSpan w:val="4"/>
          </w:tcPr>
          <w:p>
            <w:pPr>
              <w:spacing w:after="0"/>
              <w:rPr>
                <w:sz w:val="17"/>
                <w:szCs w:val="17"/>
                <w:color w:val="auto"/>
              </w:rPr>
            </w:pPr>
          </w:p>
        </w:tc>
        <w:tc>
          <w:tcPr>
            <w:tcW w:w="440" w:type="dxa"/>
            <w:vAlign w:val="bottom"/>
            <w:gridSpan w:val="9"/>
          </w:tcPr>
          <w:p>
            <w:pPr>
              <w:spacing w:after="0"/>
              <w:rPr>
                <w:sz w:val="17"/>
                <w:szCs w:val="17"/>
                <w:color w:val="auto"/>
              </w:rPr>
            </w:pPr>
          </w:p>
        </w:tc>
        <w:tc>
          <w:tcPr>
            <w:tcW w:w="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5"/>
        </w:trPr>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3.2</w:t>
            </w:r>
          </w:p>
        </w:tc>
        <w:tc>
          <w:tcPr>
            <w:tcW w:w="160" w:type="dxa"/>
            <w:vAlign w:val="bottom"/>
          </w:tcPr>
          <w:p>
            <w:pPr>
              <w:spacing w:after="0"/>
              <w:rPr>
                <w:sz w:val="24"/>
                <w:szCs w:val="24"/>
                <w:color w:val="auto"/>
              </w:rPr>
            </w:pPr>
          </w:p>
        </w:tc>
        <w:tc>
          <w:tcPr>
            <w:tcW w:w="2820" w:type="dxa"/>
            <w:vAlign w:val="bottom"/>
            <w:tcBorders>
              <w:bottom w:val="single" w:sz="8" w:color="0000EE"/>
            </w:tcBorders>
            <w:gridSpan w:val="15"/>
          </w:tcPr>
          <w:p>
            <w:pPr>
              <w:spacing w:after="0"/>
              <w:rPr>
                <w:rFonts w:ascii="Times New Roman" w:cs="Times New Roman" w:eastAsia="Times New Roman" w:hAnsi="Times New Roman"/>
                <w:sz w:val="18"/>
                <w:szCs w:val="18"/>
                <w:color w:val="0000EE"/>
                <w:w w:val="99"/>
              </w:rPr>
            </w:pPr>
            <w:hyperlink r:id="rId152">
              <w:r>
                <w:rPr>
                  <w:rFonts w:ascii="Times New Roman" w:cs="Times New Roman" w:eastAsia="Times New Roman" w:hAnsi="Times New Roman"/>
                  <w:sz w:val="18"/>
                  <w:szCs w:val="18"/>
                  <w:color w:val="0000EE"/>
                  <w:w w:val="99"/>
                </w:rPr>
                <w:t>Certificate of Amendment to Amended</w:t>
              </w:r>
            </w:hyperlink>
          </w:p>
        </w:tc>
        <w:tc>
          <w:tcPr>
            <w:tcW w:w="260" w:type="dxa"/>
            <w:vAlign w:val="bottom"/>
            <w:gridSpan w:val="5"/>
          </w:tcPr>
          <w:p>
            <w:pPr>
              <w:spacing w:after="0"/>
              <w:rPr>
                <w:sz w:val="24"/>
                <w:szCs w:val="24"/>
                <w:color w:val="auto"/>
              </w:rPr>
            </w:pPr>
          </w:p>
        </w:tc>
        <w:tc>
          <w:tcPr>
            <w:tcW w:w="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500" w:type="dxa"/>
            <w:vAlign w:val="bottom"/>
            <w:gridSpan w:val="2"/>
          </w:tcPr>
          <w:p>
            <w:pPr>
              <w:jc w:val="center"/>
              <w:ind w:left="190"/>
              <w:spacing w:after="0"/>
              <w:rPr>
                <w:sz w:val="20"/>
                <w:szCs w:val="20"/>
                <w:color w:val="auto"/>
              </w:rPr>
            </w:pPr>
            <w:r>
              <w:rPr>
                <w:rFonts w:ascii="Times New Roman" w:cs="Times New Roman" w:eastAsia="Times New Roman" w:hAnsi="Times New Roman"/>
                <w:sz w:val="18"/>
                <w:szCs w:val="18"/>
                <w:color w:val="auto"/>
                <w:w w:val="99"/>
              </w:rPr>
              <w:t>001-38410</w:t>
            </w:r>
          </w:p>
        </w:tc>
        <w:tc>
          <w:tcPr>
            <w:tcW w:w="160" w:type="dxa"/>
            <w:vAlign w:val="bottom"/>
          </w:tcPr>
          <w:p>
            <w:pPr>
              <w:spacing w:after="0"/>
              <w:rPr>
                <w:sz w:val="24"/>
                <w:szCs w:val="24"/>
                <w:color w:val="auto"/>
              </w:rPr>
            </w:pPr>
          </w:p>
        </w:tc>
        <w:tc>
          <w:tcPr>
            <w:tcW w:w="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3.1</w:t>
            </w:r>
          </w:p>
        </w:tc>
        <w:tc>
          <w:tcPr>
            <w:tcW w:w="140" w:type="dxa"/>
            <w:vAlign w:val="bottom"/>
          </w:tcPr>
          <w:p>
            <w:pPr>
              <w:spacing w:after="0"/>
              <w:rPr>
                <w:sz w:val="24"/>
                <w:szCs w:val="24"/>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6/11/2024</w:t>
            </w: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920" w:type="dxa"/>
            <w:vAlign w:val="bottom"/>
            <w:tcBorders>
              <w:bottom w:val="single" w:sz="8" w:color="0000EE"/>
            </w:tcBorders>
            <w:gridSpan w:val="6"/>
          </w:tcPr>
          <w:p>
            <w:pPr>
              <w:spacing w:after="0" w:line="196" w:lineRule="exact"/>
              <w:rPr>
                <w:rFonts w:ascii="Times New Roman" w:cs="Times New Roman" w:eastAsia="Times New Roman" w:hAnsi="Times New Roman"/>
                <w:sz w:val="18"/>
                <w:szCs w:val="18"/>
                <w:color w:val="0000EE"/>
                <w:w w:val="98"/>
              </w:rPr>
            </w:pPr>
            <w:hyperlink r:id="rId152">
              <w:r>
                <w:rPr>
                  <w:rFonts w:ascii="Times New Roman" w:cs="Times New Roman" w:eastAsia="Times New Roman" w:hAnsi="Times New Roman"/>
                  <w:sz w:val="18"/>
                  <w:szCs w:val="18"/>
                  <w:color w:val="0000EE"/>
                  <w:w w:val="98"/>
                </w:rPr>
                <w:t>and Restated Certificate of</w:t>
              </w:r>
            </w:hyperlink>
          </w:p>
        </w:tc>
        <w:tc>
          <w:tcPr>
            <w:tcW w:w="1160" w:type="dxa"/>
            <w:vAlign w:val="bottom"/>
            <w:gridSpan w:val="14"/>
          </w:tcPr>
          <w:p>
            <w:pPr>
              <w:spacing w:after="0"/>
              <w:rPr>
                <w:sz w:val="17"/>
                <w:szCs w:val="17"/>
                <w:color w:val="auto"/>
              </w:rPr>
            </w:pPr>
          </w:p>
        </w:tc>
        <w:tc>
          <w:tcPr>
            <w:tcW w:w="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40" w:type="dxa"/>
            <w:vAlign w:val="bottom"/>
            <w:tcBorders>
              <w:bottom w:val="single" w:sz="8" w:color="0000EE"/>
            </w:tcBorders>
            <w:gridSpan w:val="16"/>
          </w:tcPr>
          <w:p>
            <w:pPr>
              <w:spacing w:after="0" w:line="196" w:lineRule="exact"/>
              <w:rPr>
                <w:rFonts w:ascii="Times New Roman" w:cs="Times New Roman" w:eastAsia="Times New Roman" w:hAnsi="Times New Roman"/>
                <w:sz w:val="18"/>
                <w:szCs w:val="18"/>
                <w:color w:val="0000EE"/>
                <w:w w:val="99"/>
              </w:rPr>
            </w:pPr>
            <w:hyperlink r:id="rId152">
              <w:r>
                <w:rPr>
                  <w:rFonts w:ascii="Times New Roman" w:cs="Times New Roman" w:eastAsia="Times New Roman" w:hAnsi="Times New Roman"/>
                  <w:sz w:val="18"/>
                  <w:szCs w:val="18"/>
                  <w:color w:val="0000EE"/>
                  <w:w w:val="99"/>
                </w:rPr>
                <w:t>Incorporation of BioXcel Therapeutics,</w:t>
              </w:r>
            </w:hyperlink>
          </w:p>
        </w:tc>
        <w:tc>
          <w:tcPr>
            <w:tcW w:w="240" w:type="dxa"/>
            <w:vAlign w:val="bottom"/>
            <w:gridSpan w:val="4"/>
          </w:tcPr>
          <w:p>
            <w:pPr>
              <w:spacing w:after="0"/>
              <w:rPr>
                <w:sz w:val="17"/>
                <w:szCs w:val="17"/>
                <w:color w:val="auto"/>
              </w:rPr>
            </w:pPr>
          </w:p>
        </w:tc>
        <w:tc>
          <w:tcPr>
            <w:tcW w:w="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780" w:type="dxa"/>
            <w:vAlign w:val="bottom"/>
            <w:tcBorders>
              <w:bottom w:val="single" w:sz="8" w:color="0000EE"/>
            </w:tcBorders>
            <w:gridSpan w:val="13"/>
          </w:tcPr>
          <w:p>
            <w:pPr>
              <w:spacing w:after="0" w:line="196" w:lineRule="exact"/>
              <w:rPr>
                <w:rFonts w:ascii="Times New Roman" w:cs="Times New Roman" w:eastAsia="Times New Roman" w:hAnsi="Times New Roman"/>
                <w:sz w:val="18"/>
                <w:szCs w:val="18"/>
                <w:color w:val="0000EE"/>
                <w:w w:val="99"/>
              </w:rPr>
            </w:pPr>
            <w:hyperlink r:id="rId152">
              <w:r>
                <w:rPr>
                  <w:rFonts w:ascii="Times New Roman" w:cs="Times New Roman" w:eastAsia="Times New Roman" w:hAnsi="Times New Roman"/>
                  <w:sz w:val="18"/>
                  <w:szCs w:val="18"/>
                  <w:color w:val="0000EE"/>
                  <w:w w:val="99"/>
                </w:rPr>
                <w:t>Inc., as amended, dated June 10, 2024.</w:t>
              </w:r>
            </w:hyperlink>
          </w:p>
        </w:tc>
        <w:tc>
          <w:tcPr>
            <w:tcW w:w="300" w:type="dxa"/>
            <w:vAlign w:val="bottom"/>
            <w:gridSpan w:val="7"/>
          </w:tcPr>
          <w:p>
            <w:pPr>
              <w:spacing w:after="0"/>
              <w:rPr>
                <w:sz w:val="17"/>
                <w:szCs w:val="17"/>
                <w:color w:val="auto"/>
              </w:rPr>
            </w:pPr>
          </w:p>
        </w:tc>
        <w:tc>
          <w:tcPr>
            <w:tcW w:w="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5"/>
        </w:trPr>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3.3</w:t>
            </w:r>
          </w:p>
        </w:tc>
        <w:tc>
          <w:tcPr>
            <w:tcW w:w="160" w:type="dxa"/>
            <w:vAlign w:val="bottom"/>
          </w:tcPr>
          <w:p>
            <w:pPr>
              <w:spacing w:after="0"/>
              <w:rPr>
                <w:sz w:val="24"/>
                <w:szCs w:val="24"/>
                <w:color w:val="auto"/>
              </w:rPr>
            </w:pPr>
          </w:p>
        </w:tc>
        <w:tc>
          <w:tcPr>
            <w:tcW w:w="2340" w:type="dxa"/>
            <w:vAlign w:val="bottom"/>
            <w:tcBorders>
              <w:bottom w:val="single" w:sz="8" w:color="0000EE"/>
            </w:tcBorders>
            <w:gridSpan w:val="10"/>
          </w:tcPr>
          <w:p>
            <w:pPr>
              <w:spacing w:after="0"/>
              <w:rPr>
                <w:rFonts w:ascii="Times New Roman" w:cs="Times New Roman" w:eastAsia="Times New Roman" w:hAnsi="Times New Roman"/>
                <w:sz w:val="18"/>
                <w:szCs w:val="18"/>
                <w:color w:val="0000EE"/>
                <w:w w:val="99"/>
              </w:rPr>
            </w:pPr>
            <w:hyperlink r:id="rId153">
              <w:r>
                <w:rPr>
                  <w:rFonts w:ascii="Times New Roman" w:cs="Times New Roman" w:eastAsia="Times New Roman" w:hAnsi="Times New Roman"/>
                  <w:sz w:val="18"/>
                  <w:szCs w:val="18"/>
                  <w:color w:val="0000EE"/>
                  <w:w w:val="99"/>
                </w:rPr>
                <w:t>Certificate of Amendment to the</w:t>
              </w:r>
            </w:hyperlink>
          </w:p>
        </w:tc>
        <w:tc>
          <w:tcPr>
            <w:tcW w:w="740" w:type="dxa"/>
            <w:vAlign w:val="bottom"/>
            <w:gridSpan w:val="10"/>
          </w:tcPr>
          <w:p>
            <w:pPr>
              <w:spacing w:after="0"/>
              <w:rPr>
                <w:sz w:val="24"/>
                <w:szCs w:val="24"/>
                <w:color w:val="auto"/>
              </w:rPr>
            </w:pPr>
          </w:p>
        </w:tc>
        <w:tc>
          <w:tcPr>
            <w:tcW w:w="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500" w:type="dxa"/>
            <w:vAlign w:val="bottom"/>
            <w:gridSpan w:val="2"/>
          </w:tcPr>
          <w:p>
            <w:pPr>
              <w:jc w:val="center"/>
              <w:ind w:left="190"/>
              <w:spacing w:after="0"/>
              <w:rPr>
                <w:sz w:val="20"/>
                <w:szCs w:val="20"/>
                <w:color w:val="auto"/>
              </w:rPr>
            </w:pPr>
            <w:r>
              <w:rPr>
                <w:rFonts w:ascii="Times New Roman" w:cs="Times New Roman" w:eastAsia="Times New Roman" w:hAnsi="Times New Roman"/>
                <w:sz w:val="18"/>
                <w:szCs w:val="18"/>
                <w:color w:val="auto"/>
                <w:w w:val="99"/>
              </w:rPr>
              <w:t>001-38410</w:t>
            </w:r>
          </w:p>
        </w:tc>
        <w:tc>
          <w:tcPr>
            <w:tcW w:w="160" w:type="dxa"/>
            <w:vAlign w:val="bottom"/>
          </w:tcPr>
          <w:p>
            <w:pPr>
              <w:spacing w:after="0"/>
              <w:rPr>
                <w:sz w:val="24"/>
                <w:szCs w:val="24"/>
                <w:color w:val="auto"/>
              </w:rPr>
            </w:pPr>
          </w:p>
        </w:tc>
        <w:tc>
          <w:tcPr>
            <w:tcW w:w="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3.1</w:t>
            </w:r>
          </w:p>
        </w:tc>
        <w:tc>
          <w:tcPr>
            <w:tcW w:w="140" w:type="dxa"/>
            <w:vAlign w:val="bottom"/>
          </w:tcPr>
          <w:p>
            <w:pPr>
              <w:spacing w:after="0"/>
              <w:rPr>
                <w:sz w:val="24"/>
                <w:szCs w:val="24"/>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2/6/2025</w:t>
            </w: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80" w:type="dxa"/>
            <w:vAlign w:val="bottom"/>
            <w:gridSpan w:val="20"/>
          </w:tcPr>
          <w:p>
            <w:pPr>
              <w:spacing w:after="0" w:line="196" w:lineRule="exact"/>
              <w:rPr>
                <w:rFonts w:ascii="Times New Roman" w:cs="Times New Roman" w:eastAsia="Times New Roman" w:hAnsi="Times New Roman"/>
                <w:sz w:val="18"/>
                <w:szCs w:val="18"/>
                <w:color w:val="0000EE"/>
              </w:rPr>
            </w:pPr>
            <w:hyperlink r:id="rId153">
              <w:r>
                <w:rPr>
                  <w:rFonts w:ascii="Times New Roman" w:cs="Times New Roman" w:eastAsia="Times New Roman" w:hAnsi="Times New Roman"/>
                  <w:sz w:val="18"/>
                  <w:szCs w:val="18"/>
                  <w:color w:val="0000EE"/>
                </w:rPr>
                <w:t>Amended and Restated Certificate of</w:t>
              </w:r>
            </w:hyperlink>
          </w:p>
        </w:tc>
        <w:tc>
          <w:tcPr>
            <w:tcW w:w="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02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40" w:type="dxa"/>
            <w:vAlign w:val="bottom"/>
            <w:gridSpan w:val="3"/>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0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40" w:type="dxa"/>
            <w:vAlign w:val="bottom"/>
            <w:tcBorders>
              <w:bottom w:val="single" w:sz="8" w:color="0000EE"/>
            </w:tcBorders>
            <w:gridSpan w:val="16"/>
          </w:tcPr>
          <w:p>
            <w:pPr>
              <w:spacing w:after="0" w:line="196" w:lineRule="exact"/>
              <w:rPr>
                <w:rFonts w:ascii="Times New Roman" w:cs="Times New Roman" w:eastAsia="Times New Roman" w:hAnsi="Times New Roman"/>
                <w:sz w:val="18"/>
                <w:szCs w:val="18"/>
                <w:color w:val="0000EE"/>
                <w:w w:val="99"/>
              </w:rPr>
            </w:pPr>
            <w:hyperlink r:id="rId153">
              <w:r>
                <w:rPr>
                  <w:rFonts w:ascii="Times New Roman" w:cs="Times New Roman" w:eastAsia="Times New Roman" w:hAnsi="Times New Roman"/>
                  <w:sz w:val="18"/>
                  <w:szCs w:val="18"/>
                  <w:color w:val="0000EE"/>
                  <w:w w:val="99"/>
                </w:rPr>
                <w:t>Incorporation of BioXcel Therapeutics,</w:t>
              </w:r>
            </w:hyperlink>
          </w:p>
        </w:tc>
        <w:tc>
          <w:tcPr>
            <w:tcW w:w="240" w:type="dxa"/>
            <w:vAlign w:val="bottom"/>
            <w:gridSpan w:val="4"/>
          </w:tcPr>
          <w:p>
            <w:pPr>
              <w:spacing w:after="0"/>
              <w:rPr>
                <w:sz w:val="17"/>
                <w:szCs w:val="17"/>
                <w:color w:val="auto"/>
              </w:rPr>
            </w:pPr>
          </w:p>
        </w:tc>
        <w:tc>
          <w:tcPr>
            <w:tcW w:w="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80" w:type="dxa"/>
            <w:vAlign w:val="bottom"/>
            <w:gridSpan w:val="20"/>
          </w:tcPr>
          <w:p>
            <w:pPr>
              <w:spacing w:after="0" w:line="196" w:lineRule="exact"/>
              <w:rPr>
                <w:rFonts w:ascii="Times New Roman" w:cs="Times New Roman" w:eastAsia="Times New Roman" w:hAnsi="Times New Roman"/>
                <w:sz w:val="18"/>
                <w:szCs w:val="18"/>
                <w:color w:val="0000EE"/>
              </w:rPr>
            </w:pPr>
            <w:hyperlink r:id="rId153">
              <w:r>
                <w:rPr>
                  <w:rFonts w:ascii="Times New Roman" w:cs="Times New Roman" w:eastAsia="Times New Roman" w:hAnsi="Times New Roman"/>
                  <w:sz w:val="18"/>
                  <w:szCs w:val="18"/>
                  <w:color w:val="0000EE"/>
                </w:rPr>
                <w:t>Inc.</w:t>
              </w:r>
            </w:hyperlink>
          </w:p>
        </w:tc>
        <w:tc>
          <w:tcPr>
            <w:tcW w:w="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3.4</w:t>
            </w:r>
          </w:p>
        </w:tc>
        <w:tc>
          <w:tcPr>
            <w:tcW w:w="160" w:type="dxa"/>
            <w:vAlign w:val="bottom"/>
          </w:tcPr>
          <w:p>
            <w:pPr>
              <w:spacing w:after="0"/>
              <w:rPr>
                <w:sz w:val="24"/>
                <w:szCs w:val="24"/>
                <w:color w:val="auto"/>
              </w:rPr>
            </w:pPr>
          </w:p>
        </w:tc>
        <w:tc>
          <w:tcPr>
            <w:tcW w:w="2300" w:type="dxa"/>
            <w:vAlign w:val="bottom"/>
            <w:tcBorders>
              <w:bottom w:val="single" w:sz="8" w:color="0000EE"/>
            </w:tcBorders>
            <w:gridSpan w:val="9"/>
          </w:tcPr>
          <w:p>
            <w:pPr>
              <w:spacing w:after="0"/>
              <w:rPr>
                <w:rFonts w:ascii="Times New Roman" w:cs="Times New Roman" w:eastAsia="Times New Roman" w:hAnsi="Times New Roman"/>
                <w:sz w:val="18"/>
                <w:szCs w:val="18"/>
                <w:color w:val="0000EE"/>
                <w:w w:val="99"/>
              </w:rPr>
            </w:pPr>
            <w:hyperlink r:id="rId154">
              <w:r>
                <w:rPr>
                  <w:rFonts w:ascii="Times New Roman" w:cs="Times New Roman" w:eastAsia="Times New Roman" w:hAnsi="Times New Roman"/>
                  <w:sz w:val="18"/>
                  <w:szCs w:val="18"/>
                  <w:color w:val="0000EE"/>
                  <w:w w:val="99"/>
                </w:rPr>
                <w:t>Amended and Restated Bylaws.</w:t>
              </w:r>
            </w:hyperlink>
          </w:p>
        </w:tc>
        <w:tc>
          <w:tcPr>
            <w:tcW w:w="780" w:type="dxa"/>
            <w:vAlign w:val="bottom"/>
            <w:gridSpan w:val="11"/>
          </w:tcPr>
          <w:p>
            <w:pPr>
              <w:spacing w:after="0"/>
              <w:rPr>
                <w:sz w:val="24"/>
                <w:szCs w:val="24"/>
                <w:color w:val="auto"/>
              </w:rPr>
            </w:pPr>
          </w:p>
        </w:tc>
        <w:tc>
          <w:tcPr>
            <w:tcW w:w="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500" w:type="dxa"/>
            <w:vAlign w:val="bottom"/>
            <w:gridSpan w:val="2"/>
          </w:tcPr>
          <w:p>
            <w:pPr>
              <w:jc w:val="center"/>
              <w:ind w:left="190"/>
              <w:spacing w:after="0"/>
              <w:rPr>
                <w:sz w:val="20"/>
                <w:szCs w:val="20"/>
                <w:color w:val="auto"/>
              </w:rPr>
            </w:pPr>
            <w:r>
              <w:rPr>
                <w:rFonts w:ascii="Times New Roman" w:cs="Times New Roman" w:eastAsia="Times New Roman" w:hAnsi="Times New Roman"/>
                <w:sz w:val="18"/>
                <w:szCs w:val="18"/>
                <w:color w:val="auto"/>
                <w:w w:val="99"/>
              </w:rPr>
              <w:t>001-38410</w:t>
            </w:r>
          </w:p>
        </w:tc>
        <w:tc>
          <w:tcPr>
            <w:tcW w:w="160" w:type="dxa"/>
            <w:vAlign w:val="bottom"/>
          </w:tcPr>
          <w:p>
            <w:pPr>
              <w:spacing w:after="0"/>
              <w:rPr>
                <w:sz w:val="24"/>
                <w:szCs w:val="24"/>
                <w:color w:val="auto"/>
              </w:rPr>
            </w:pPr>
          </w:p>
        </w:tc>
        <w:tc>
          <w:tcPr>
            <w:tcW w:w="5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3.2</w:t>
            </w:r>
          </w:p>
        </w:tc>
        <w:tc>
          <w:tcPr>
            <w:tcW w:w="140" w:type="dxa"/>
            <w:vAlign w:val="bottom"/>
          </w:tcPr>
          <w:p>
            <w:pPr>
              <w:spacing w:after="0"/>
              <w:rPr>
                <w:sz w:val="24"/>
                <w:szCs w:val="24"/>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3/13/2018</w:t>
            </w: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4"/>
        </w:trPr>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4.1</w:t>
            </w:r>
          </w:p>
        </w:tc>
        <w:tc>
          <w:tcPr>
            <w:tcW w:w="160" w:type="dxa"/>
            <w:vAlign w:val="bottom"/>
          </w:tcPr>
          <w:p>
            <w:pPr>
              <w:spacing w:after="0"/>
              <w:rPr>
                <w:sz w:val="24"/>
                <w:szCs w:val="24"/>
                <w:color w:val="auto"/>
              </w:rPr>
            </w:pPr>
          </w:p>
        </w:tc>
        <w:tc>
          <w:tcPr>
            <w:tcW w:w="2820" w:type="dxa"/>
            <w:vAlign w:val="bottom"/>
            <w:tcBorders>
              <w:bottom w:val="single" w:sz="8" w:color="0000EE"/>
            </w:tcBorders>
            <w:gridSpan w:val="15"/>
          </w:tcPr>
          <w:p>
            <w:pPr>
              <w:spacing w:after="0"/>
              <w:rPr>
                <w:rFonts w:ascii="Times New Roman" w:cs="Times New Roman" w:eastAsia="Times New Roman" w:hAnsi="Times New Roman"/>
                <w:sz w:val="18"/>
                <w:szCs w:val="18"/>
                <w:color w:val="0000EE"/>
                <w:w w:val="99"/>
              </w:rPr>
            </w:pPr>
            <w:hyperlink r:id="rId155">
              <w:r>
                <w:rPr>
                  <w:rFonts w:ascii="Times New Roman" w:cs="Times New Roman" w:eastAsia="Times New Roman" w:hAnsi="Times New Roman"/>
                  <w:sz w:val="18"/>
                  <w:szCs w:val="18"/>
                  <w:color w:val="0000EE"/>
                  <w:w w:val="99"/>
                </w:rPr>
                <w:t>Form of Amended and Restated Fourth</w:t>
              </w:r>
            </w:hyperlink>
          </w:p>
        </w:tc>
        <w:tc>
          <w:tcPr>
            <w:tcW w:w="260" w:type="dxa"/>
            <w:vAlign w:val="bottom"/>
            <w:gridSpan w:val="5"/>
          </w:tcPr>
          <w:p>
            <w:pPr>
              <w:spacing w:after="0"/>
              <w:rPr>
                <w:sz w:val="24"/>
                <w:szCs w:val="24"/>
                <w:color w:val="auto"/>
              </w:rPr>
            </w:pPr>
          </w:p>
        </w:tc>
        <w:tc>
          <w:tcPr>
            <w:tcW w:w="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S-3</w:t>
            </w:r>
          </w:p>
        </w:tc>
        <w:tc>
          <w:tcPr>
            <w:tcW w:w="1500" w:type="dxa"/>
            <w:vAlign w:val="bottom"/>
            <w:gridSpan w:val="2"/>
          </w:tcPr>
          <w:p>
            <w:pPr>
              <w:jc w:val="center"/>
              <w:ind w:left="170"/>
              <w:spacing w:after="0"/>
              <w:rPr>
                <w:sz w:val="20"/>
                <w:szCs w:val="20"/>
                <w:color w:val="auto"/>
              </w:rPr>
            </w:pPr>
            <w:r>
              <w:rPr>
                <w:rFonts w:ascii="Times New Roman" w:cs="Times New Roman" w:eastAsia="Times New Roman" w:hAnsi="Times New Roman"/>
                <w:sz w:val="18"/>
                <w:szCs w:val="18"/>
                <w:color w:val="auto"/>
              </w:rPr>
              <w:t>333-284224</w:t>
            </w:r>
          </w:p>
        </w:tc>
        <w:tc>
          <w:tcPr>
            <w:tcW w:w="160" w:type="dxa"/>
            <w:vAlign w:val="bottom"/>
          </w:tcPr>
          <w:p>
            <w:pPr>
              <w:spacing w:after="0"/>
              <w:rPr>
                <w:sz w:val="24"/>
                <w:szCs w:val="24"/>
                <w:color w:val="auto"/>
              </w:rPr>
            </w:pPr>
          </w:p>
        </w:tc>
        <w:tc>
          <w:tcPr>
            <w:tcW w:w="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4.3</w:t>
            </w:r>
          </w:p>
        </w:tc>
        <w:tc>
          <w:tcPr>
            <w:tcW w:w="140" w:type="dxa"/>
            <w:vAlign w:val="bottom"/>
          </w:tcPr>
          <w:p>
            <w:pPr>
              <w:spacing w:after="0"/>
              <w:rPr>
                <w:sz w:val="24"/>
                <w:szCs w:val="24"/>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1/10/2025</w:t>
            </w: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80" w:type="dxa"/>
            <w:vAlign w:val="bottom"/>
            <w:gridSpan w:val="20"/>
          </w:tcPr>
          <w:p>
            <w:pPr>
              <w:spacing w:after="0" w:line="196" w:lineRule="exact"/>
              <w:rPr>
                <w:rFonts w:ascii="Times New Roman" w:cs="Times New Roman" w:eastAsia="Times New Roman" w:hAnsi="Times New Roman"/>
                <w:sz w:val="18"/>
                <w:szCs w:val="18"/>
                <w:color w:val="0000EE"/>
              </w:rPr>
            </w:pPr>
            <w:hyperlink r:id="rId155">
              <w:r>
                <w:rPr>
                  <w:rFonts w:ascii="Times New Roman" w:cs="Times New Roman" w:eastAsia="Times New Roman" w:hAnsi="Times New Roman"/>
                  <w:sz w:val="18"/>
                  <w:szCs w:val="18"/>
                  <w:color w:val="0000EE"/>
                </w:rPr>
                <w:t>Amendment, Warrant</w:t>
              </w:r>
            </w:hyperlink>
          </w:p>
        </w:tc>
        <w:tc>
          <w:tcPr>
            <w:tcW w:w="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80" w:type="dxa"/>
            <w:vAlign w:val="bottom"/>
            <w:tcBorders>
              <w:right w:val="single" w:sz="8" w:color="0000EE"/>
            </w:tcBorders>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4.2</w:t>
            </w:r>
          </w:p>
        </w:tc>
        <w:tc>
          <w:tcPr>
            <w:tcW w:w="160" w:type="dxa"/>
            <w:vAlign w:val="bottom"/>
          </w:tcPr>
          <w:p>
            <w:pPr>
              <w:spacing w:after="0"/>
              <w:rPr>
                <w:sz w:val="24"/>
                <w:szCs w:val="24"/>
                <w:color w:val="auto"/>
              </w:rPr>
            </w:pPr>
          </w:p>
        </w:tc>
        <w:tc>
          <w:tcPr>
            <w:tcW w:w="3080" w:type="dxa"/>
            <w:vAlign w:val="bottom"/>
            <w:gridSpan w:val="20"/>
          </w:tcPr>
          <w:p>
            <w:pPr>
              <w:spacing w:after="0"/>
              <w:rPr>
                <w:rFonts w:ascii="Times New Roman" w:cs="Times New Roman" w:eastAsia="Times New Roman" w:hAnsi="Times New Roman"/>
                <w:sz w:val="18"/>
                <w:szCs w:val="18"/>
                <w:color w:val="0000EE"/>
              </w:rPr>
            </w:pPr>
            <w:hyperlink r:id="rId156">
              <w:r>
                <w:rPr>
                  <w:rFonts w:ascii="Times New Roman" w:cs="Times New Roman" w:eastAsia="Times New Roman" w:hAnsi="Times New Roman"/>
                  <w:sz w:val="18"/>
                  <w:szCs w:val="18"/>
                  <w:color w:val="0000EE"/>
                </w:rPr>
                <w:t>Form of Accompanying Warrant</w:t>
              </w:r>
            </w:hyperlink>
          </w:p>
        </w:tc>
        <w:tc>
          <w:tcPr>
            <w:tcW w:w="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500" w:type="dxa"/>
            <w:vAlign w:val="bottom"/>
            <w:gridSpan w:val="2"/>
          </w:tcPr>
          <w:p>
            <w:pPr>
              <w:jc w:val="center"/>
              <w:ind w:left="190"/>
              <w:spacing w:after="0"/>
              <w:rPr>
                <w:sz w:val="20"/>
                <w:szCs w:val="20"/>
                <w:color w:val="auto"/>
              </w:rPr>
            </w:pPr>
            <w:r>
              <w:rPr>
                <w:rFonts w:ascii="Times New Roman" w:cs="Times New Roman" w:eastAsia="Times New Roman" w:hAnsi="Times New Roman"/>
                <w:sz w:val="18"/>
                <w:szCs w:val="18"/>
                <w:color w:val="auto"/>
                <w:w w:val="99"/>
              </w:rPr>
              <w:t>001-38410</w:t>
            </w:r>
          </w:p>
        </w:tc>
        <w:tc>
          <w:tcPr>
            <w:tcW w:w="160" w:type="dxa"/>
            <w:vAlign w:val="bottom"/>
          </w:tcPr>
          <w:p>
            <w:pPr>
              <w:spacing w:after="0"/>
              <w:rPr>
                <w:sz w:val="24"/>
                <w:szCs w:val="24"/>
                <w:color w:val="auto"/>
              </w:rPr>
            </w:pPr>
          </w:p>
        </w:tc>
        <w:tc>
          <w:tcPr>
            <w:tcW w:w="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4.1</w:t>
            </w:r>
          </w:p>
        </w:tc>
        <w:tc>
          <w:tcPr>
            <w:tcW w:w="140" w:type="dxa"/>
            <w:vAlign w:val="bottom"/>
          </w:tcPr>
          <w:p>
            <w:pPr>
              <w:spacing w:after="0"/>
              <w:rPr>
                <w:sz w:val="24"/>
                <w:szCs w:val="24"/>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3/4/2025</w:t>
            </w: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4"/>
        </w:trPr>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4.3</w:t>
            </w:r>
          </w:p>
        </w:tc>
        <w:tc>
          <w:tcPr>
            <w:tcW w:w="160" w:type="dxa"/>
            <w:vAlign w:val="bottom"/>
          </w:tcPr>
          <w:p>
            <w:pPr>
              <w:spacing w:after="0"/>
              <w:rPr>
                <w:sz w:val="24"/>
                <w:szCs w:val="24"/>
                <w:color w:val="auto"/>
              </w:rPr>
            </w:pPr>
          </w:p>
        </w:tc>
        <w:tc>
          <w:tcPr>
            <w:tcW w:w="2340" w:type="dxa"/>
            <w:vAlign w:val="bottom"/>
            <w:tcBorders>
              <w:top w:val="single" w:sz="8" w:color="0000EE"/>
            </w:tcBorders>
            <w:gridSpan w:val="10"/>
          </w:tcPr>
          <w:p>
            <w:pPr>
              <w:spacing w:after="0"/>
              <w:rPr>
                <w:rFonts w:ascii="Times New Roman" w:cs="Times New Roman" w:eastAsia="Times New Roman" w:hAnsi="Times New Roman"/>
                <w:sz w:val="18"/>
                <w:szCs w:val="18"/>
                <w:color w:val="0000EE"/>
              </w:rPr>
            </w:pPr>
            <w:hyperlink r:id="rId157">
              <w:r>
                <w:rPr>
                  <w:rFonts w:ascii="Times New Roman" w:cs="Times New Roman" w:eastAsia="Times New Roman" w:hAnsi="Times New Roman"/>
                  <w:sz w:val="18"/>
                  <w:szCs w:val="18"/>
                  <w:color w:val="0000EE"/>
                </w:rPr>
                <w:t>Form of Pre-Funded Warrant</w:t>
              </w:r>
            </w:hyperlink>
          </w:p>
        </w:tc>
        <w:tc>
          <w:tcPr>
            <w:tcW w:w="740" w:type="dxa"/>
            <w:vAlign w:val="bottom"/>
            <w:gridSpan w:val="10"/>
          </w:tcPr>
          <w:p>
            <w:pPr>
              <w:spacing w:after="0"/>
              <w:rPr>
                <w:sz w:val="24"/>
                <w:szCs w:val="24"/>
                <w:color w:val="auto"/>
              </w:rPr>
            </w:pPr>
          </w:p>
        </w:tc>
        <w:tc>
          <w:tcPr>
            <w:tcW w:w="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500" w:type="dxa"/>
            <w:vAlign w:val="bottom"/>
            <w:gridSpan w:val="2"/>
          </w:tcPr>
          <w:p>
            <w:pPr>
              <w:jc w:val="center"/>
              <w:ind w:left="190"/>
              <w:spacing w:after="0"/>
              <w:rPr>
                <w:sz w:val="20"/>
                <w:szCs w:val="20"/>
                <w:color w:val="auto"/>
              </w:rPr>
            </w:pPr>
            <w:r>
              <w:rPr>
                <w:rFonts w:ascii="Times New Roman" w:cs="Times New Roman" w:eastAsia="Times New Roman" w:hAnsi="Times New Roman"/>
                <w:sz w:val="18"/>
                <w:szCs w:val="18"/>
                <w:color w:val="auto"/>
                <w:w w:val="99"/>
              </w:rPr>
              <w:t>001-38410</w:t>
            </w:r>
          </w:p>
        </w:tc>
        <w:tc>
          <w:tcPr>
            <w:tcW w:w="160" w:type="dxa"/>
            <w:vAlign w:val="bottom"/>
          </w:tcPr>
          <w:p>
            <w:pPr>
              <w:spacing w:after="0"/>
              <w:rPr>
                <w:sz w:val="24"/>
                <w:szCs w:val="24"/>
                <w:color w:val="auto"/>
              </w:rPr>
            </w:pPr>
          </w:p>
        </w:tc>
        <w:tc>
          <w:tcPr>
            <w:tcW w:w="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4.2</w:t>
            </w:r>
          </w:p>
        </w:tc>
        <w:tc>
          <w:tcPr>
            <w:tcW w:w="140" w:type="dxa"/>
            <w:vAlign w:val="bottom"/>
          </w:tcPr>
          <w:p>
            <w:pPr>
              <w:spacing w:after="0"/>
              <w:rPr>
                <w:sz w:val="24"/>
                <w:szCs w:val="24"/>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3/4/2025</w:t>
            </w: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4"/>
        </w:trPr>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4.4</w:t>
            </w:r>
          </w:p>
        </w:tc>
        <w:tc>
          <w:tcPr>
            <w:tcW w:w="160" w:type="dxa"/>
            <w:vAlign w:val="bottom"/>
          </w:tcPr>
          <w:p>
            <w:pPr>
              <w:spacing w:after="0"/>
              <w:rPr>
                <w:sz w:val="24"/>
                <w:szCs w:val="24"/>
                <w:color w:val="auto"/>
              </w:rPr>
            </w:pPr>
          </w:p>
        </w:tc>
        <w:tc>
          <w:tcPr>
            <w:tcW w:w="2080" w:type="dxa"/>
            <w:vAlign w:val="bottom"/>
            <w:tcBorders>
              <w:top w:val="single" w:sz="8" w:color="0000EE"/>
            </w:tcBorders>
            <w:gridSpan w:val="8"/>
          </w:tcPr>
          <w:p>
            <w:pPr>
              <w:spacing w:after="0"/>
              <w:rPr>
                <w:rFonts w:ascii="Times New Roman" w:cs="Times New Roman" w:eastAsia="Times New Roman" w:hAnsi="Times New Roman"/>
                <w:sz w:val="18"/>
                <w:szCs w:val="18"/>
                <w:color w:val="0000EE"/>
              </w:rPr>
            </w:pPr>
            <w:hyperlink r:id="rId158">
              <w:r>
                <w:rPr>
                  <w:rFonts w:ascii="Times New Roman" w:cs="Times New Roman" w:eastAsia="Times New Roman" w:hAnsi="Times New Roman"/>
                  <w:sz w:val="18"/>
                  <w:szCs w:val="18"/>
                  <w:color w:val="0000EE"/>
                </w:rPr>
                <w:t>Form of Option Warrant</w:t>
              </w:r>
            </w:hyperlink>
          </w:p>
        </w:tc>
        <w:tc>
          <w:tcPr>
            <w:tcW w:w="1000" w:type="dxa"/>
            <w:vAlign w:val="bottom"/>
            <w:gridSpan w:val="12"/>
          </w:tcPr>
          <w:p>
            <w:pPr>
              <w:spacing w:after="0"/>
              <w:rPr>
                <w:sz w:val="24"/>
                <w:szCs w:val="24"/>
                <w:color w:val="auto"/>
              </w:rPr>
            </w:pPr>
          </w:p>
        </w:tc>
        <w:tc>
          <w:tcPr>
            <w:tcW w:w="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500" w:type="dxa"/>
            <w:vAlign w:val="bottom"/>
            <w:gridSpan w:val="2"/>
          </w:tcPr>
          <w:p>
            <w:pPr>
              <w:jc w:val="center"/>
              <w:ind w:left="190"/>
              <w:spacing w:after="0"/>
              <w:rPr>
                <w:sz w:val="20"/>
                <w:szCs w:val="20"/>
                <w:color w:val="auto"/>
              </w:rPr>
            </w:pPr>
            <w:r>
              <w:rPr>
                <w:rFonts w:ascii="Times New Roman" w:cs="Times New Roman" w:eastAsia="Times New Roman" w:hAnsi="Times New Roman"/>
                <w:sz w:val="18"/>
                <w:szCs w:val="18"/>
                <w:color w:val="auto"/>
                <w:w w:val="99"/>
              </w:rPr>
              <w:t>001-38410</w:t>
            </w:r>
          </w:p>
        </w:tc>
        <w:tc>
          <w:tcPr>
            <w:tcW w:w="160" w:type="dxa"/>
            <w:vAlign w:val="bottom"/>
          </w:tcPr>
          <w:p>
            <w:pPr>
              <w:spacing w:after="0"/>
              <w:rPr>
                <w:sz w:val="24"/>
                <w:szCs w:val="24"/>
                <w:color w:val="auto"/>
              </w:rPr>
            </w:pPr>
          </w:p>
        </w:tc>
        <w:tc>
          <w:tcPr>
            <w:tcW w:w="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4.3</w:t>
            </w:r>
          </w:p>
        </w:tc>
        <w:tc>
          <w:tcPr>
            <w:tcW w:w="140" w:type="dxa"/>
            <w:vAlign w:val="bottom"/>
          </w:tcPr>
          <w:p>
            <w:pPr>
              <w:spacing w:after="0"/>
              <w:rPr>
                <w:sz w:val="24"/>
                <w:szCs w:val="24"/>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3/4/2025</w:t>
            </w: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80" w:type="dxa"/>
            <w:vAlign w:val="bottom"/>
            <w:tcBorders>
              <w:right w:val="single" w:sz="8" w:color="0000EE"/>
            </w:tcBorders>
            <w:gridSpan w:val="2"/>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900" w:type="dxa"/>
            <w:vAlign w:val="bottom"/>
            <w:gridSpan w:val="6"/>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10.1</w:t>
            </w:r>
          </w:p>
        </w:tc>
        <w:tc>
          <w:tcPr>
            <w:tcW w:w="160" w:type="dxa"/>
            <w:vAlign w:val="bottom"/>
          </w:tcPr>
          <w:p>
            <w:pPr>
              <w:spacing w:after="0"/>
              <w:rPr>
                <w:sz w:val="24"/>
                <w:szCs w:val="24"/>
                <w:color w:val="auto"/>
              </w:rPr>
            </w:pPr>
          </w:p>
        </w:tc>
        <w:tc>
          <w:tcPr>
            <w:tcW w:w="3080" w:type="dxa"/>
            <w:vAlign w:val="bottom"/>
            <w:gridSpan w:val="20"/>
          </w:tcPr>
          <w:p>
            <w:pPr>
              <w:spacing w:after="0"/>
              <w:rPr>
                <w:rFonts w:ascii="Times New Roman" w:cs="Times New Roman" w:eastAsia="Times New Roman" w:hAnsi="Times New Roman"/>
                <w:sz w:val="18"/>
                <w:szCs w:val="18"/>
                <w:color w:val="0000EE"/>
              </w:rPr>
            </w:pPr>
            <w:hyperlink r:id="rId159">
              <w:r>
                <w:rPr>
                  <w:rFonts w:ascii="Times New Roman" w:cs="Times New Roman" w:eastAsia="Times New Roman" w:hAnsi="Times New Roman"/>
                  <w:sz w:val="18"/>
                  <w:szCs w:val="18"/>
                  <w:color w:val="0000EE"/>
                </w:rPr>
                <w:t>Amendment to Executive Employment</w:t>
              </w:r>
            </w:hyperlink>
          </w:p>
        </w:tc>
        <w:tc>
          <w:tcPr>
            <w:tcW w:w="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500" w:type="dxa"/>
            <w:vAlign w:val="bottom"/>
            <w:gridSpan w:val="2"/>
          </w:tcPr>
          <w:p>
            <w:pPr>
              <w:jc w:val="center"/>
              <w:ind w:left="190"/>
              <w:spacing w:after="0"/>
              <w:rPr>
                <w:sz w:val="20"/>
                <w:szCs w:val="20"/>
                <w:color w:val="auto"/>
              </w:rPr>
            </w:pPr>
            <w:r>
              <w:rPr>
                <w:rFonts w:ascii="Times New Roman" w:cs="Times New Roman" w:eastAsia="Times New Roman" w:hAnsi="Times New Roman"/>
                <w:sz w:val="18"/>
                <w:szCs w:val="18"/>
                <w:color w:val="auto"/>
                <w:w w:val="99"/>
              </w:rPr>
              <w:t>001-38410</w:t>
            </w:r>
          </w:p>
        </w:tc>
        <w:tc>
          <w:tcPr>
            <w:tcW w:w="160" w:type="dxa"/>
            <w:vAlign w:val="bottom"/>
          </w:tcPr>
          <w:p>
            <w:pPr>
              <w:spacing w:after="0"/>
              <w:rPr>
                <w:sz w:val="24"/>
                <w:szCs w:val="24"/>
                <w:color w:val="auto"/>
              </w:rPr>
            </w:pPr>
          </w:p>
        </w:tc>
        <w:tc>
          <w:tcPr>
            <w:tcW w:w="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10.1</w:t>
            </w:r>
          </w:p>
        </w:tc>
        <w:tc>
          <w:tcPr>
            <w:tcW w:w="140" w:type="dxa"/>
            <w:vAlign w:val="bottom"/>
          </w:tcPr>
          <w:p>
            <w:pPr>
              <w:spacing w:after="0"/>
              <w:rPr>
                <w:sz w:val="24"/>
                <w:szCs w:val="24"/>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1/8/2025</w:t>
            </w: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0" w:type="dxa"/>
            <w:vAlign w:val="bottom"/>
            <w:tcBorders>
              <w:top w:val="single" w:sz="8" w:color="0000EE"/>
            </w:tcBorders>
            <w:gridSpan w:val="14"/>
          </w:tcPr>
          <w:p>
            <w:pPr>
              <w:spacing w:after="0" w:line="196" w:lineRule="exact"/>
              <w:rPr>
                <w:rFonts w:ascii="Times New Roman" w:cs="Times New Roman" w:eastAsia="Times New Roman" w:hAnsi="Times New Roman"/>
                <w:sz w:val="18"/>
                <w:szCs w:val="18"/>
                <w:color w:val="0000EE"/>
              </w:rPr>
            </w:pPr>
            <w:hyperlink r:id="rId159">
              <w:r>
                <w:rPr>
                  <w:rFonts w:ascii="Times New Roman" w:cs="Times New Roman" w:eastAsia="Times New Roman" w:hAnsi="Times New Roman"/>
                  <w:sz w:val="18"/>
                  <w:szCs w:val="18"/>
                  <w:color w:val="0000EE"/>
                </w:rPr>
                <w:t>Agreement dated January 7, 2025 by</w:t>
              </w:r>
            </w:hyperlink>
          </w:p>
        </w:tc>
        <w:tc>
          <w:tcPr>
            <w:tcW w:w="280" w:type="dxa"/>
            <w:vAlign w:val="bottom"/>
            <w:gridSpan w:val="6"/>
          </w:tcPr>
          <w:p>
            <w:pPr>
              <w:spacing w:after="0"/>
              <w:rPr>
                <w:sz w:val="17"/>
                <w:szCs w:val="17"/>
                <w:color w:val="auto"/>
              </w:rPr>
            </w:pPr>
          </w:p>
        </w:tc>
        <w:tc>
          <w:tcPr>
            <w:tcW w:w="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80" w:type="dxa"/>
            <w:vAlign w:val="bottom"/>
            <w:tcBorders>
              <w:right w:val="single" w:sz="8" w:color="0000EE"/>
            </w:tcBorders>
            <w:gridSpan w:val="2"/>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040" w:type="dxa"/>
            <w:vAlign w:val="bottom"/>
            <w:tcBorders>
              <w:right w:val="single" w:sz="8" w:color="0000EE"/>
            </w:tcBorders>
            <w:gridSpan w:val="7"/>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900" w:type="dxa"/>
            <w:vAlign w:val="bottom"/>
            <w:tcBorders>
              <w:bottom w:val="single" w:sz="8" w:color="0000EE"/>
            </w:tcBorders>
            <w:gridSpan w:val="18"/>
          </w:tcPr>
          <w:p>
            <w:pPr>
              <w:spacing w:after="0" w:line="196" w:lineRule="exact"/>
              <w:rPr>
                <w:rFonts w:ascii="Times New Roman" w:cs="Times New Roman" w:eastAsia="Times New Roman" w:hAnsi="Times New Roman"/>
                <w:sz w:val="18"/>
                <w:szCs w:val="18"/>
                <w:color w:val="0000EE"/>
                <w:w w:val="99"/>
              </w:rPr>
            </w:pPr>
            <w:hyperlink r:id="rId159">
              <w:r>
                <w:rPr>
                  <w:rFonts w:ascii="Times New Roman" w:cs="Times New Roman" w:eastAsia="Times New Roman" w:hAnsi="Times New Roman"/>
                  <w:sz w:val="18"/>
                  <w:szCs w:val="18"/>
                  <w:color w:val="0000EE"/>
                  <w:w w:val="99"/>
                </w:rPr>
                <w:t>and between BioXcel Therapeutics, Inc.</w:t>
              </w:r>
            </w:hyperlink>
          </w:p>
        </w:tc>
        <w:tc>
          <w:tcPr>
            <w:tcW w:w="180" w:type="dxa"/>
            <w:vAlign w:val="bottom"/>
            <w:gridSpan w:val="2"/>
          </w:tcPr>
          <w:p>
            <w:pPr>
              <w:spacing w:after="0"/>
              <w:rPr>
                <w:sz w:val="17"/>
                <w:szCs w:val="17"/>
                <w:color w:val="auto"/>
              </w:rPr>
            </w:pPr>
          </w:p>
        </w:tc>
        <w:tc>
          <w:tcPr>
            <w:tcW w:w="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80" w:type="dxa"/>
            <w:vAlign w:val="bottom"/>
            <w:gridSpan w:val="20"/>
          </w:tcPr>
          <w:p>
            <w:pPr>
              <w:spacing w:after="0" w:line="196" w:lineRule="exact"/>
              <w:rPr>
                <w:rFonts w:ascii="Times New Roman" w:cs="Times New Roman" w:eastAsia="Times New Roman" w:hAnsi="Times New Roman"/>
                <w:sz w:val="18"/>
                <w:szCs w:val="18"/>
                <w:color w:val="0000EE"/>
              </w:rPr>
            </w:pPr>
            <w:hyperlink r:id="rId159">
              <w:r>
                <w:rPr>
                  <w:rFonts w:ascii="Times New Roman" w:cs="Times New Roman" w:eastAsia="Times New Roman" w:hAnsi="Times New Roman"/>
                  <w:sz w:val="18"/>
                  <w:szCs w:val="18"/>
                  <w:color w:val="0000EE"/>
                </w:rPr>
                <w:t>and Vimal Mehta.</w:t>
              </w:r>
            </w:hyperlink>
          </w:p>
        </w:tc>
        <w:tc>
          <w:tcPr>
            <w:tcW w:w="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80" w:type="dxa"/>
            <w:vAlign w:val="bottom"/>
            <w:tcBorders>
              <w:right w:val="single" w:sz="8" w:color="0000EE"/>
            </w:tcBorders>
            <w:gridSpan w:val="2"/>
            <w:shd w:val="clear" w:color="auto" w:fill="0000EE"/>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040" w:type="dxa"/>
            <w:vAlign w:val="bottom"/>
            <w:gridSpan w:val="7"/>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5"/>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10.2</w:t>
            </w:r>
          </w:p>
        </w:tc>
        <w:tc>
          <w:tcPr>
            <w:tcW w:w="160" w:type="dxa"/>
            <w:vAlign w:val="bottom"/>
          </w:tcPr>
          <w:p>
            <w:pPr>
              <w:spacing w:after="0"/>
              <w:rPr>
                <w:sz w:val="24"/>
                <w:szCs w:val="24"/>
                <w:color w:val="auto"/>
              </w:rPr>
            </w:pPr>
          </w:p>
        </w:tc>
        <w:tc>
          <w:tcPr>
            <w:tcW w:w="3080" w:type="dxa"/>
            <w:vAlign w:val="bottom"/>
            <w:gridSpan w:val="20"/>
          </w:tcPr>
          <w:p>
            <w:pPr>
              <w:spacing w:after="0"/>
              <w:rPr>
                <w:rFonts w:ascii="Times New Roman" w:cs="Times New Roman" w:eastAsia="Times New Roman" w:hAnsi="Times New Roman"/>
                <w:sz w:val="18"/>
                <w:szCs w:val="18"/>
                <w:color w:val="0000EE"/>
              </w:rPr>
            </w:pPr>
            <w:hyperlink r:id="rId160">
              <w:r>
                <w:rPr>
                  <w:rFonts w:ascii="Times New Roman" w:cs="Times New Roman" w:eastAsia="Times New Roman" w:hAnsi="Times New Roman"/>
                  <w:sz w:val="18"/>
                  <w:szCs w:val="18"/>
                  <w:color w:val="0000EE"/>
                </w:rPr>
                <w:t>Amendment to Executive Employment</w:t>
              </w:r>
            </w:hyperlink>
          </w:p>
        </w:tc>
        <w:tc>
          <w:tcPr>
            <w:tcW w:w="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500" w:type="dxa"/>
            <w:vAlign w:val="bottom"/>
            <w:gridSpan w:val="2"/>
          </w:tcPr>
          <w:p>
            <w:pPr>
              <w:jc w:val="center"/>
              <w:ind w:left="190"/>
              <w:spacing w:after="0"/>
              <w:rPr>
                <w:sz w:val="20"/>
                <w:szCs w:val="20"/>
                <w:color w:val="auto"/>
              </w:rPr>
            </w:pPr>
            <w:r>
              <w:rPr>
                <w:rFonts w:ascii="Times New Roman" w:cs="Times New Roman" w:eastAsia="Times New Roman" w:hAnsi="Times New Roman"/>
                <w:sz w:val="18"/>
                <w:szCs w:val="18"/>
                <w:color w:val="auto"/>
                <w:w w:val="99"/>
              </w:rPr>
              <w:t>001-38410</w:t>
            </w:r>
          </w:p>
        </w:tc>
        <w:tc>
          <w:tcPr>
            <w:tcW w:w="160" w:type="dxa"/>
            <w:vAlign w:val="bottom"/>
          </w:tcPr>
          <w:p>
            <w:pPr>
              <w:spacing w:after="0"/>
              <w:rPr>
                <w:sz w:val="24"/>
                <w:szCs w:val="24"/>
                <w:color w:val="auto"/>
              </w:rPr>
            </w:pPr>
          </w:p>
        </w:tc>
        <w:tc>
          <w:tcPr>
            <w:tcW w:w="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10.2</w:t>
            </w:r>
          </w:p>
        </w:tc>
        <w:tc>
          <w:tcPr>
            <w:tcW w:w="140" w:type="dxa"/>
            <w:vAlign w:val="bottom"/>
          </w:tcPr>
          <w:p>
            <w:pPr>
              <w:spacing w:after="0"/>
              <w:rPr>
                <w:sz w:val="24"/>
                <w:szCs w:val="24"/>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1/8/2025</w:t>
            </w: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0" w:type="dxa"/>
            <w:vAlign w:val="bottom"/>
            <w:tcBorders>
              <w:top w:val="single" w:sz="8" w:color="0000EE"/>
            </w:tcBorders>
            <w:gridSpan w:val="14"/>
          </w:tcPr>
          <w:p>
            <w:pPr>
              <w:spacing w:after="0" w:line="196" w:lineRule="exact"/>
              <w:rPr>
                <w:rFonts w:ascii="Times New Roman" w:cs="Times New Roman" w:eastAsia="Times New Roman" w:hAnsi="Times New Roman"/>
                <w:sz w:val="18"/>
                <w:szCs w:val="18"/>
                <w:color w:val="0000EE"/>
              </w:rPr>
            </w:pPr>
            <w:hyperlink r:id="rId160">
              <w:r>
                <w:rPr>
                  <w:rFonts w:ascii="Times New Roman" w:cs="Times New Roman" w:eastAsia="Times New Roman" w:hAnsi="Times New Roman"/>
                  <w:sz w:val="18"/>
                  <w:szCs w:val="18"/>
                  <w:color w:val="0000EE"/>
                </w:rPr>
                <w:t>Agreement dated January 7, 2025 by</w:t>
              </w:r>
            </w:hyperlink>
          </w:p>
        </w:tc>
        <w:tc>
          <w:tcPr>
            <w:tcW w:w="280" w:type="dxa"/>
            <w:vAlign w:val="bottom"/>
            <w:gridSpan w:val="6"/>
          </w:tcPr>
          <w:p>
            <w:pPr>
              <w:spacing w:after="0"/>
              <w:rPr>
                <w:sz w:val="17"/>
                <w:szCs w:val="17"/>
                <w:color w:val="auto"/>
              </w:rPr>
            </w:pPr>
          </w:p>
        </w:tc>
        <w:tc>
          <w:tcPr>
            <w:tcW w:w="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80" w:type="dxa"/>
            <w:vAlign w:val="bottom"/>
            <w:tcBorders>
              <w:right w:val="single" w:sz="8" w:color="0000EE"/>
            </w:tcBorders>
            <w:gridSpan w:val="2"/>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040" w:type="dxa"/>
            <w:vAlign w:val="bottom"/>
            <w:tcBorders>
              <w:right w:val="single" w:sz="8" w:color="0000EE"/>
            </w:tcBorders>
            <w:gridSpan w:val="7"/>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5"/>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900" w:type="dxa"/>
            <w:vAlign w:val="bottom"/>
            <w:tcBorders>
              <w:bottom w:val="single" w:sz="8" w:color="0000EE"/>
            </w:tcBorders>
            <w:gridSpan w:val="18"/>
          </w:tcPr>
          <w:p>
            <w:pPr>
              <w:spacing w:after="0" w:line="196" w:lineRule="exact"/>
              <w:rPr>
                <w:rFonts w:ascii="Times New Roman" w:cs="Times New Roman" w:eastAsia="Times New Roman" w:hAnsi="Times New Roman"/>
                <w:sz w:val="18"/>
                <w:szCs w:val="18"/>
                <w:color w:val="0000EE"/>
                <w:w w:val="99"/>
              </w:rPr>
            </w:pPr>
            <w:hyperlink r:id="rId160">
              <w:r>
                <w:rPr>
                  <w:rFonts w:ascii="Times New Roman" w:cs="Times New Roman" w:eastAsia="Times New Roman" w:hAnsi="Times New Roman"/>
                  <w:sz w:val="18"/>
                  <w:szCs w:val="18"/>
                  <w:color w:val="0000EE"/>
                  <w:w w:val="99"/>
                </w:rPr>
                <w:t>and between BioXcel Therapeutics, Inc.</w:t>
              </w:r>
            </w:hyperlink>
          </w:p>
        </w:tc>
        <w:tc>
          <w:tcPr>
            <w:tcW w:w="180" w:type="dxa"/>
            <w:vAlign w:val="bottom"/>
            <w:gridSpan w:val="2"/>
          </w:tcPr>
          <w:p>
            <w:pPr>
              <w:spacing w:after="0"/>
              <w:rPr>
                <w:sz w:val="17"/>
                <w:szCs w:val="17"/>
                <w:color w:val="auto"/>
              </w:rPr>
            </w:pPr>
          </w:p>
        </w:tc>
        <w:tc>
          <w:tcPr>
            <w:tcW w:w="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80" w:type="dxa"/>
            <w:vAlign w:val="bottom"/>
            <w:gridSpan w:val="20"/>
          </w:tcPr>
          <w:p>
            <w:pPr>
              <w:spacing w:after="0" w:line="196" w:lineRule="exact"/>
              <w:rPr>
                <w:rFonts w:ascii="Times New Roman" w:cs="Times New Roman" w:eastAsia="Times New Roman" w:hAnsi="Times New Roman"/>
                <w:sz w:val="18"/>
                <w:szCs w:val="18"/>
                <w:color w:val="0000EE"/>
              </w:rPr>
            </w:pPr>
            <w:hyperlink r:id="rId160">
              <w:r>
                <w:rPr>
                  <w:rFonts w:ascii="Times New Roman" w:cs="Times New Roman" w:eastAsia="Times New Roman" w:hAnsi="Times New Roman"/>
                  <w:sz w:val="18"/>
                  <w:szCs w:val="18"/>
                  <w:color w:val="0000EE"/>
                </w:rPr>
                <w:t>and Richard Steinhart.</w:t>
              </w:r>
            </w:hyperlink>
          </w:p>
        </w:tc>
        <w:tc>
          <w:tcPr>
            <w:tcW w:w="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80" w:type="dxa"/>
            <w:vAlign w:val="bottom"/>
            <w:tcBorders>
              <w:right w:val="single" w:sz="8" w:color="0000EE"/>
            </w:tcBorders>
            <w:gridSpan w:val="2"/>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040" w:type="dxa"/>
            <w:vAlign w:val="bottom"/>
            <w:gridSpan w:val="7"/>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5"/>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10.3</w:t>
            </w:r>
          </w:p>
        </w:tc>
        <w:tc>
          <w:tcPr>
            <w:tcW w:w="160" w:type="dxa"/>
            <w:vAlign w:val="bottom"/>
          </w:tcPr>
          <w:p>
            <w:pPr>
              <w:spacing w:after="0"/>
              <w:rPr>
                <w:sz w:val="24"/>
                <w:szCs w:val="24"/>
                <w:color w:val="auto"/>
              </w:rPr>
            </w:pPr>
          </w:p>
        </w:tc>
        <w:tc>
          <w:tcPr>
            <w:tcW w:w="3080" w:type="dxa"/>
            <w:vAlign w:val="bottom"/>
            <w:gridSpan w:val="20"/>
          </w:tcPr>
          <w:p>
            <w:pPr>
              <w:spacing w:after="0"/>
              <w:rPr>
                <w:rFonts w:ascii="Times New Roman" w:cs="Times New Roman" w:eastAsia="Times New Roman" w:hAnsi="Times New Roman"/>
                <w:sz w:val="18"/>
                <w:szCs w:val="18"/>
                <w:color w:val="0000EE"/>
              </w:rPr>
            </w:pPr>
            <w:hyperlink r:id="rId161">
              <w:r>
                <w:rPr>
                  <w:rFonts w:ascii="Times New Roman" w:cs="Times New Roman" w:eastAsia="Times New Roman" w:hAnsi="Times New Roman"/>
                  <w:sz w:val="18"/>
                  <w:szCs w:val="18"/>
                  <w:color w:val="0000EE"/>
                </w:rPr>
                <w:t>Amendment to Executive Employment</w:t>
              </w:r>
            </w:hyperlink>
          </w:p>
        </w:tc>
        <w:tc>
          <w:tcPr>
            <w:tcW w:w="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500" w:type="dxa"/>
            <w:vAlign w:val="bottom"/>
            <w:gridSpan w:val="2"/>
          </w:tcPr>
          <w:p>
            <w:pPr>
              <w:jc w:val="center"/>
              <w:ind w:left="190"/>
              <w:spacing w:after="0"/>
              <w:rPr>
                <w:sz w:val="20"/>
                <w:szCs w:val="20"/>
                <w:color w:val="auto"/>
              </w:rPr>
            </w:pPr>
            <w:r>
              <w:rPr>
                <w:rFonts w:ascii="Times New Roman" w:cs="Times New Roman" w:eastAsia="Times New Roman" w:hAnsi="Times New Roman"/>
                <w:sz w:val="18"/>
                <w:szCs w:val="18"/>
                <w:color w:val="auto"/>
                <w:w w:val="99"/>
              </w:rPr>
              <w:t>001-38410</w:t>
            </w:r>
          </w:p>
        </w:tc>
        <w:tc>
          <w:tcPr>
            <w:tcW w:w="160" w:type="dxa"/>
            <w:vAlign w:val="bottom"/>
          </w:tcPr>
          <w:p>
            <w:pPr>
              <w:spacing w:after="0"/>
              <w:rPr>
                <w:sz w:val="24"/>
                <w:szCs w:val="24"/>
                <w:color w:val="auto"/>
              </w:rPr>
            </w:pPr>
          </w:p>
        </w:tc>
        <w:tc>
          <w:tcPr>
            <w:tcW w:w="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10.3</w:t>
            </w:r>
          </w:p>
        </w:tc>
        <w:tc>
          <w:tcPr>
            <w:tcW w:w="140" w:type="dxa"/>
            <w:vAlign w:val="bottom"/>
          </w:tcPr>
          <w:p>
            <w:pPr>
              <w:spacing w:after="0"/>
              <w:rPr>
                <w:sz w:val="24"/>
                <w:szCs w:val="24"/>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1/8/2025</w:t>
            </w: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0" w:type="dxa"/>
            <w:vAlign w:val="bottom"/>
            <w:tcBorders>
              <w:top w:val="single" w:sz="8" w:color="0000EE"/>
            </w:tcBorders>
            <w:gridSpan w:val="14"/>
          </w:tcPr>
          <w:p>
            <w:pPr>
              <w:spacing w:after="0" w:line="196" w:lineRule="exact"/>
              <w:rPr>
                <w:rFonts w:ascii="Times New Roman" w:cs="Times New Roman" w:eastAsia="Times New Roman" w:hAnsi="Times New Roman"/>
                <w:sz w:val="18"/>
                <w:szCs w:val="18"/>
                <w:color w:val="0000EE"/>
              </w:rPr>
            </w:pPr>
            <w:hyperlink r:id="rId161">
              <w:r>
                <w:rPr>
                  <w:rFonts w:ascii="Times New Roman" w:cs="Times New Roman" w:eastAsia="Times New Roman" w:hAnsi="Times New Roman"/>
                  <w:sz w:val="18"/>
                  <w:szCs w:val="18"/>
                  <w:color w:val="0000EE"/>
                </w:rPr>
                <w:t>Agreement dated January 7, 2025 by</w:t>
              </w:r>
            </w:hyperlink>
          </w:p>
        </w:tc>
        <w:tc>
          <w:tcPr>
            <w:tcW w:w="280" w:type="dxa"/>
            <w:vAlign w:val="bottom"/>
            <w:gridSpan w:val="6"/>
          </w:tcPr>
          <w:p>
            <w:pPr>
              <w:spacing w:after="0"/>
              <w:rPr>
                <w:sz w:val="17"/>
                <w:szCs w:val="17"/>
                <w:color w:val="auto"/>
              </w:rPr>
            </w:pPr>
          </w:p>
        </w:tc>
        <w:tc>
          <w:tcPr>
            <w:tcW w:w="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80" w:type="dxa"/>
            <w:vAlign w:val="bottom"/>
            <w:tcBorders>
              <w:right w:val="single" w:sz="8" w:color="0000EE"/>
            </w:tcBorders>
            <w:gridSpan w:val="2"/>
            <w:shd w:val="clear" w:color="auto" w:fill="0000EE"/>
          </w:tcPr>
          <w:p>
            <w:pPr>
              <w:spacing w:after="0" w:line="20" w:lineRule="exact"/>
              <w:rPr>
                <w:sz w:val="1"/>
                <w:szCs w:val="1"/>
                <w:color w:val="auto"/>
              </w:rPr>
            </w:pPr>
          </w:p>
        </w:tc>
        <w:tc>
          <w:tcPr>
            <w:tcW w:w="1360" w:type="dxa"/>
            <w:vAlign w:val="bottom"/>
            <w:tcBorders>
              <w:right w:val="single" w:sz="8" w:color="0000EE"/>
            </w:tcBorders>
            <w:gridSpan w:val="9"/>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5"/>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900" w:type="dxa"/>
            <w:vAlign w:val="bottom"/>
            <w:tcBorders>
              <w:bottom w:val="single" w:sz="8" w:color="0000EE"/>
            </w:tcBorders>
            <w:gridSpan w:val="18"/>
          </w:tcPr>
          <w:p>
            <w:pPr>
              <w:spacing w:after="0" w:line="196" w:lineRule="exact"/>
              <w:rPr>
                <w:rFonts w:ascii="Times New Roman" w:cs="Times New Roman" w:eastAsia="Times New Roman" w:hAnsi="Times New Roman"/>
                <w:sz w:val="18"/>
                <w:szCs w:val="18"/>
                <w:color w:val="0000EE"/>
                <w:w w:val="99"/>
              </w:rPr>
            </w:pPr>
            <w:hyperlink r:id="rId161">
              <w:r>
                <w:rPr>
                  <w:rFonts w:ascii="Times New Roman" w:cs="Times New Roman" w:eastAsia="Times New Roman" w:hAnsi="Times New Roman"/>
                  <w:sz w:val="18"/>
                  <w:szCs w:val="18"/>
                  <w:color w:val="0000EE"/>
                  <w:w w:val="99"/>
                </w:rPr>
                <w:t>and between BioXcel Therapeutics, Inc.</w:t>
              </w:r>
            </w:hyperlink>
          </w:p>
        </w:tc>
        <w:tc>
          <w:tcPr>
            <w:tcW w:w="180" w:type="dxa"/>
            <w:vAlign w:val="bottom"/>
            <w:gridSpan w:val="2"/>
          </w:tcPr>
          <w:p>
            <w:pPr>
              <w:spacing w:after="0"/>
              <w:rPr>
                <w:sz w:val="17"/>
                <w:szCs w:val="17"/>
                <w:color w:val="auto"/>
              </w:rPr>
            </w:pPr>
          </w:p>
        </w:tc>
        <w:tc>
          <w:tcPr>
            <w:tcW w:w="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w w:val="97"/>
              </w:rPr>
            </w:pPr>
            <w:hyperlink r:id="rId161">
              <w:r>
                <w:rPr>
                  <w:rFonts w:ascii="Times New Roman" w:cs="Times New Roman" w:eastAsia="Times New Roman" w:hAnsi="Times New Roman"/>
                  <w:sz w:val="18"/>
                  <w:szCs w:val="18"/>
                  <w:color w:val="0000EE"/>
                  <w:w w:val="97"/>
                </w:rPr>
                <w:t>and Frank Yocca.</w:t>
              </w:r>
            </w:hyperlink>
          </w:p>
        </w:tc>
        <w:tc>
          <w:tcPr>
            <w:tcW w:w="1800" w:type="dxa"/>
            <w:vAlign w:val="bottom"/>
            <w:gridSpan w:val="18"/>
          </w:tcPr>
          <w:p>
            <w:pPr>
              <w:spacing w:after="0"/>
              <w:rPr>
                <w:sz w:val="17"/>
                <w:szCs w:val="17"/>
                <w:color w:val="auto"/>
              </w:rPr>
            </w:pPr>
          </w:p>
        </w:tc>
        <w:tc>
          <w:tcPr>
            <w:tcW w:w="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5"/>
        </w:trPr>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10.4</w:t>
            </w:r>
          </w:p>
        </w:tc>
        <w:tc>
          <w:tcPr>
            <w:tcW w:w="160" w:type="dxa"/>
            <w:vAlign w:val="bottom"/>
          </w:tcPr>
          <w:p>
            <w:pPr>
              <w:spacing w:after="0"/>
              <w:rPr>
                <w:sz w:val="24"/>
                <w:szCs w:val="24"/>
                <w:color w:val="auto"/>
              </w:rPr>
            </w:pPr>
          </w:p>
        </w:tc>
        <w:tc>
          <w:tcPr>
            <w:tcW w:w="2880" w:type="dxa"/>
            <w:vAlign w:val="bottom"/>
            <w:tcBorders>
              <w:bottom w:val="single" w:sz="8" w:color="0000EE"/>
            </w:tcBorders>
            <w:gridSpan w:val="17"/>
          </w:tcPr>
          <w:p>
            <w:pPr>
              <w:spacing w:after="0"/>
              <w:rPr>
                <w:rFonts w:ascii="Times New Roman" w:cs="Times New Roman" w:eastAsia="Times New Roman" w:hAnsi="Times New Roman"/>
                <w:sz w:val="18"/>
                <w:szCs w:val="18"/>
                <w:color w:val="0000EE"/>
                <w:w w:val="99"/>
              </w:rPr>
            </w:pPr>
            <w:hyperlink r:id="rId162">
              <w:r>
                <w:rPr>
                  <w:rFonts w:ascii="Times New Roman" w:cs="Times New Roman" w:eastAsia="Times New Roman" w:hAnsi="Times New Roman"/>
                  <w:sz w:val="18"/>
                  <w:szCs w:val="18"/>
                  <w:color w:val="0000EE"/>
                  <w:w w:val="99"/>
                </w:rPr>
                <w:t>Securities Purchase Agreement dated as</w:t>
              </w:r>
            </w:hyperlink>
          </w:p>
        </w:tc>
        <w:tc>
          <w:tcPr>
            <w:tcW w:w="200" w:type="dxa"/>
            <w:vAlign w:val="bottom"/>
            <w:gridSpan w:val="3"/>
          </w:tcPr>
          <w:p>
            <w:pPr>
              <w:spacing w:after="0"/>
              <w:rPr>
                <w:sz w:val="24"/>
                <w:szCs w:val="24"/>
                <w:color w:val="auto"/>
              </w:rPr>
            </w:pPr>
          </w:p>
        </w:tc>
        <w:tc>
          <w:tcPr>
            <w:tcW w:w="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500" w:type="dxa"/>
            <w:vAlign w:val="bottom"/>
            <w:gridSpan w:val="2"/>
          </w:tcPr>
          <w:p>
            <w:pPr>
              <w:jc w:val="center"/>
              <w:ind w:left="190"/>
              <w:spacing w:after="0"/>
              <w:rPr>
                <w:sz w:val="20"/>
                <w:szCs w:val="20"/>
                <w:color w:val="auto"/>
              </w:rPr>
            </w:pPr>
            <w:r>
              <w:rPr>
                <w:rFonts w:ascii="Times New Roman" w:cs="Times New Roman" w:eastAsia="Times New Roman" w:hAnsi="Times New Roman"/>
                <w:sz w:val="18"/>
                <w:szCs w:val="18"/>
                <w:color w:val="auto"/>
                <w:w w:val="99"/>
              </w:rPr>
              <w:t>001-38410</w:t>
            </w:r>
          </w:p>
        </w:tc>
        <w:tc>
          <w:tcPr>
            <w:tcW w:w="160" w:type="dxa"/>
            <w:vAlign w:val="bottom"/>
          </w:tcPr>
          <w:p>
            <w:pPr>
              <w:spacing w:after="0"/>
              <w:rPr>
                <w:sz w:val="24"/>
                <w:szCs w:val="24"/>
                <w:color w:val="auto"/>
              </w:rPr>
            </w:pPr>
          </w:p>
        </w:tc>
        <w:tc>
          <w:tcPr>
            <w:tcW w:w="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10.1</w:t>
            </w:r>
          </w:p>
        </w:tc>
        <w:tc>
          <w:tcPr>
            <w:tcW w:w="140" w:type="dxa"/>
            <w:vAlign w:val="bottom"/>
          </w:tcPr>
          <w:p>
            <w:pPr>
              <w:spacing w:after="0"/>
              <w:rPr>
                <w:sz w:val="24"/>
                <w:szCs w:val="24"/>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3/4/2025</w:t>
            </w: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4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0000EE"/>
              </w:rPr>
            </w:pPr>
            <w:hyperlink r:id="rId162">
              <w:r>
                <w:rPr>
                  <w:rFonts w:ascii="Times New Roman" w:cs="Times New Roman" w:eastAsia="Times New Roman" w:hAnsi="Times New Roman"/>
                  <w:sz w:val="18"/>
                  <w:szCs w:val="18"/>
                  <w:color w:val="0000EE"/>
                </w:rPr>
                <w:t>of March 3, 2025, between BioXcel</w:t>
              </w:r>
            </w:hyperlink>
          </w:p>
        </w:tc>
        <w:tc>
          <w:tcPr>
            <w:tcW w:w="440" w:type="dxa"/>
            <w:vAlign w:val="bottom"/>
            <w:gridSpan w:val="9"/>
          </w:tcPr>
          <w:p>
            <w:pPr>
              <w:spacing w:after="0"/>
              <w:rPr>
                <w:sz w:val="17"/>
                <w:szCs w:val="17"/>
                <w:color w:val="auto"/>
              </w:rPr>
            </w:pPr>
          </w:p>
        </w:tc>
        <w:tc>
          <w:tcPr>
            <w:tcW w:w="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720" w:type="dxa"/>
            <w:vAlign w:val="bottom"/>
            <w:tcBorders>
              <w:bottom w:val="single" w:sz="8" w:color="0000EE"/>
            </w:tcBorders>
            <w:gridSpan w:val="12"/>
          </w:tcPr>
          <w:p>
            <w:pPr>
              <w:spacing w:after="0" w:line="196" w:lineRule="exact"/>
              <w:rPr>
                <w:rFonts w:ascii="Times New Roman" w:cs="Times New Roman" w:eastAsia="Times New Roman" w:hAnsi="Times New Roman"/>
                <w:sz w:val="18"/>
                <w:szCs w:val="18"/>
                <w:color w:val="0000EE"/>
                <w:w w:val="99"/>
              </w:rPr>
            </w:pPr>
            <w:hyperlink r:id="rId162">
              <w:r>
                <w:rPr>
                  <w:rFonts w:ascii="Times New Roman" w:cs="Times New Roman" w:eastAsia="Times New Roman" w:hAnsi="Times New Roman"/>
                  <w:sz w:val="18"/>
                  <w:szCs w:val="18"/>
                  <w:color w:val="0000EE"/>
                  <w:w w:val="99"/>
                </w:rPr>
                <w:t>Therapeutics, Inc. and each purchaser</w:t>
              </w:r>
            </w:hyperlink>
          </w:p>
        </w:tc>
        <w:tc>
          <w:tcPr>
            <w:tcW w:w="360" w:type="dxa"/>
            <w:vAlign w:val="bottom"/>
            <w:gridSpan w:val="8"/>
          </w:tcPr>
          <w:p>
            <w:pPr>
              <w:spacing w:after="0"/>
              <w:rPr>
                <w:sz w:val="17"/>
                <w:szCs w:val="17"/>
                <w:color w:val="auto"/>
              </w:rPr>
            </w:pPr>
          </w:p>
        </w:tc>
        <w:tc>
          <w:tcPr>
            <w:tcW w:w="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80" w:type="dxa"/>
            <w:vAlign w:val="bottom"/>
            <w:gridSpan w:val="20"/>
          </w:tcPr>
          <w:p>
            <w:pPr>
              <w:spacing w:after="0" w:line="196" w:lineRule="exact"/>
              <w:rPr>
                <w:rFonts w:ascii="Times New Roman" w:cs="Times New Roman" w:eastAsia="Times New Roman" w:hAnsi="Times New Roman"/>
                <w:sz w:val="18"/>
                <w:szCs w:val="18"/>
                <w:color w:val="0000EE"/>
              </w:rPr>
            </w:pPr>
            <w:hyperlink r:id="rId162">
              <w:r>
                <w:rPr>
                  <w:rFonts w:ascii="Times New Roman" w:cs="Times New Roman" w:eastAsia="Times New Roman" w:hAnsi="Times New Roman"/>
                  <w:sz w:val="18"/>
                  <w:szCs w:val="18"/>
                  <w:color w:val="0000EE"/>
                </w:rPr>
                <w:t>identified therein.</w:t>
              </w:r>
            </w:hyperlink>
          </w:p>
        </w:tc>
        <w:tc>
          <w:tcPr>
            <w:tcW w:w="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17"/>
        </w:trPr>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1020" w:type="dxa"/>
            <w:vAlign w:val="bottom"/>
            <w:tcBorders>
              <w:top w:val="single" w:sz="8" w:color="0000EE"/>
            </w:tcBorders>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500" w:type="dxa"/>
            <w:vAlign w:val="bottom"/>
            <w:gridSpan w:val="2"/>
          </w:tcPr>
          <w:p>
            <w:pPr>
              <w:jc w:val="right"/>
              <w:ind w:right="1139"/>
              <w:spacing w:after="0"/>
              <w:rPr>
                <w:sz w:val="20"/>
                <w:szCs w:val="20"/>
                <w:color w:val="auto"/>
              </w:rPr>
            </w:pPr>
            <w:r>
              <w:rPr>
                <w:rFonts w:ascii="Times New Roman" w:cs="Times New Roman" w:eastAsia="Times New Roman" w:hAnsi="Times New Roman"/>
                <w:sz w:val="18"/>
                <w:szCs w:val="18"/>
                <w:color w:val="auto"/>
                <w:w w:val="96"/>
              </w:rPr>
              <w:t>132</w:t>
            </w: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6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3" w:right="1440" w:bottom="1440" w:gutter="0" w:footer="0" w:header="0"/>
        </w:sectPr>
      </w:pPr>
    </w:p>
    <w:bookmarkStart w:id="132" w:name="page133"/>
    <w:bookmarkEnd w:id="13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tbl>
      <w:tblPr>
        <w:tblLayout w:type="fixed"/>
        <w:tblInd w:w="80" w:type="dxa"/>
        <w:tblCellMar>
          <w:top w:w="0" w:type="dxa"/>
          <w:left w:w="0" w:type="dxa"/>
          <w:bottom w:w="0" w:type="dxa"/>
          <w:right w:w="0" w:type="dxa"/>
        </w:tblCellMar>
      </w:tblPr>
      <w:tr>
        <w:trPr>
          <w:trHeight w:val="207"/>
        </w:trPr>
        <w:tc>
          <w:tcPr>
            <w:tcW w:w="78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5"/>
              </w:rPr>
              <w:t>10.5</w:t>
            </w:r>
          </w:p>
        </w:tc>
        <w:tc>
          <w:tcPr>
            <w:tcW w:w="3700" w:type="dxa"/>
            <w:vAlign w:val="bottom"/>
            <w:gridSpan w:val="16"/>
          </w:tcPr>
          <w:p>
            <w:pPr>
              <w:spacing w:after="0"/>
              <w:rPr>
                <w:rFonts w:ascii="Times New Roman" w:cs="Times New Roman" w:eastAsia="Times New Roman" w:hAnsi="Times New Roman"/>
                <w:sz w:val="18"/>
                <w:szCs w:val="18"/>
                <w:color w:val="0000EE"/>
              </w:rPr>
            </w:pPr>
            <w:hyperlink r:id="rId163">
              <w:r>
                <w:rPr>
                  <w:rFonts w:ascii="Times New Roman" w:cs="Times New Roman" w:eastAsia="Times New Roman" w:hAnsi="Times New Roman"/>
                  <w:sz w:val="18"/>
                  <w:szCs w:val="18"/>
                  <w:color w:val="0000EE"/>
                </w:rPr>
                <w:t xml:space="preserve">Sixth Amendment to Credit Agreement   </w:t>
              </w:r>
            </w:hyperlink>
            <w:r>
              <w:rPr>
                <w:rFonts w:ascii="Times New Roman" w:cs="Times New Roman" w:eastAsia="Times New Roman" w:hAnsi="Times New Roman"/>
                <w:sz w:val="18"/>
                <w:szCs w:val="18"/>
                <w:color w:val="000000"/>
              </w:rPr>
              <w:t>10-K</w:t>
            </w:r>
          </w:p>
        </w:tc>
        <w:tc>
          <w:tcPr>
            <w:tcW w:w="12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001-38410</w:t>
            </w:r>
          </w:p>
        </w:tc>
        <w:tc>
          <w:tcPr>
            <w:tcW w:w="8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10.22.6</w:t>
            </w:r>
          </w:p>
        </w:tc>
        <w:tc>
          <w:tcPr>
            <w:tcW w:w="1820" w:type="dxa"/>
            <w:vAlign w:val="bottom"/>
          </w:tcPr>
          <w:p>
            <w:pPr>
              <w:jc w:val="right"/>
              <w:ind w:right="870"/>
              <w:spacing w:after="0"/>
              <w:rPr>
                <w:sz w:val="20"/>
                <w:szCs w:val="20"/>
                <w:color w:val="auto"/>
              </w:rPr>
            </w:pPr>
            <w:r>
              <w:rPr>
                <w:rFonts w:ascii="Times New Roman" w:cs="Times New Roman" w:eastAsia="Times New Roman" w:hAnsi="Times New Roman"/>
                <w:sz w:val="18"/>
                <w:szCs w:val="18"/>
                <w:color w:val="auto"/>
              </w:rPr>
              <w:t>3/28/2025</w:t>
            </w:r>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2780" w:type="dxa"/>
            <w:vAlign w:val="bottom"/>
            <w:tcBorders>
              <w:top w:val="single" w:sz="8" w:color="0000EE"/>
              <w:bottom w:val="single" w:sz="8" w:color="0000EE"/>
            </w:tcBorders>
            <w:gridSpan w:val="8"/>
          </w:tcPr>
          <w:p>
            <w:pPr>
              <w:spacing w:after="0" w:line="196" w:lineRule="exact"/>
              <w:rPr>
                <w:rFonts w:ascii="Times New Roman" w:cs="Times New Roman" w:eastAsia="Times New Roman" w:hAnsi="Times New Roman"/>
                <w:sz w:val="18"/>
                <w:szCs w:val="18"/>
                <w:color w:val="0000EE"/>
                <w:w w:val="99"/>
              </w:rPr>
            </w:pPr>
            <w:hyperlink r:id="rId163">
              <w:r>
                <w:rPr>
                  <w:rFonts w:ascii="Times New Roman" w:cs="Times New Roman" w:eastAsia="Times New Roman" w:hAnsi="Times New Roman"/>
                  <w:sz w:val="18"/>
                  <w:szCs w:val="18"/>
                  <w:color w:val="0000EE"/>
                  <w:w w:val="99"/>
                </w:rPr>
                <w:t>and Guaranty, dated March 4, 2025, to</w:t>
              </w:r>
            </w:hyperlink>
          </w:p>
        </w:tc>
        <w:tc>
          <w:tcPr>
            <w:tcW w:w="80" w:type="dxa"/>
            <w:vAlign w:val="bottom"/>
            <w:tcBorders>
              <w:top w:val="single" w:sz="8" w:color="0000EE"/>
            </w:tcBorders>
            <w:gridSpan w:val="3"/>
          </w:tcPr>
          <w:p>
            <w:pPr>
              <w:spacing w:after="0"/>
              <w:rPr>
                <w:sz w:val="17"/>
                <w:szCs w:val="17"/>
                <w:color w:val="auto"/>
              </w:rPr>
            </w:pPr>
          </w:p>
        </w:tc>
        <w:tc>
          <w:tcPr>
            <w:tcW w:w="840" w:type="dxa"/>
            <w:vAlign w:val="bottom"/>
            <w:gridSpan w:val="5"/>
          </w:tcPr>
          <w:p>
            <w:pPr>
              <w:spacing w:after="0"/>
              <w:rPr>
                <w:sz w:val="17"/>
                <w:szCs w:val="17"/>
                <w:color w:val="auto"/>
              </w:rPr>
            </w:pPr>
          </w:p>
        </w:tc>
        <w:tc>
          <w:tcPr>
            <w:tcW w:w="1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2560" w:type="dxa"/>
            <w:vAlign w:val="bottom"/>
            <w:tcBorders>
              <w:bottom w:val="single" w:sz="8" w:color="0000EE"/>
            </w:tcBorders>
            <w:gridSpan w:val="4"/>
          </w:tcPr>
          <w:p>
            <w:pPr>
              <w:spacing w:after="0" w:line="196" w:lineRule="exact"/>
              <w:rPr>
                <w:rFonts w:ascii="Times New Roman" w:cs="Times New Roman" w:eastAsia="Times New Roman" w:hAnsi="Times New Roman"/>
                <w:sz w:val="18"/>
                <w:szCs w:val="18"/>
                <w:color w:val="0000EE"/>
                <w:w w:val="96"/>
              </w:rPr>
            </w:pPr>
            <w:hyperlink r:id="rId163">
              <w:r>
                <w:rPr>
                  <w:rFonts w:ascii="Times New Roman" w:cs="Times New Roman" w:eastAsia="Times New Roman" w:hAnsi="Times New Roman"/>
                  <w:sz w:val="18"/>
                  <w:szCs w:val="18"/>
                  <w:color w:val="0000EE"/>
                  <w:w w:val="96"/>
                </w:rPr>
                <w:t>the Credit Agreement and Guaranty,</w:t>
              </w:r>
            </w:hyperlink>
          </w:p>
        </w:tc>
        <w:tc>
          <w:tcPr>
            <w:tcW w:w="1140" w:type="dxa"/>
            <w:vAlign w:val="bottom"/>
            <w:gridSpan w:val="12"/>
          </w:tcPr>
          <w:p>
            <w:pPr>
              <w:spacing w:after="0"/>
              <w:rPr>
                <w:sz w:val="17"/>
                <w:szCs w:val="17"/>
                <w:color w:val="auto"/>
              </w:rPr>
            </w:pPr>
          </w:p>
        </w:tc>
        <w:tc>
          <w:tcPr>
            <w:tcW w:w="1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3700" w:type="dxa"/>
            <w:vAlign w:val="bottom"/>
            <w:gridSpan w:val="16"/>
          </w:tcPr>
          <w:p>
            <w:pPr>
              <w:spacing w:after="0" w:line="196" w:lineRule="exact"/>
              <w:rPr>
                <w:rFonts w:ascii="Times New Roman" w:cs="Times New Roman" w:eastAsia="Times New Roman" w:hAnsi="Times New Roman"/>
                <w:sz w:val="18"/>
                <w:szCs w:val="18"/>
                <w:color w:val="0000EE"/>
              </w:rPr>
            </w:pPr>
            <w:hyperlink r:id="rId163">
              <w:r>
                <w:rPr>
                  <w:rFonts w:ascii="Times New Roman" w:cs="Times New Roman" w:eastAsia="Times New Roman" w:hAnsi="Times New Roman"/>
                  <w:sz w:val="18"/>
                  <w:szCs w:val="18"/>
                  <w:color w:val="0000EE"/>
                </w:rPr>
                <w:t>dated April 19, 2022, by and among the</w:t>
              </w:r>
            </w:hyperlink>
          </w:p>
        </w:tc>
        <w:tc>
          <w:tcPr>
            <w:tcW w:w="1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2480" w:type="dxa"/>
            <w:vAlign w:val="bottom"/>
            <w:tcBorders>
              <w:top w:val="single" w:sz="8" w:color="0000EE"/>
              <w:bottom w:val="single" w:sz="8" w:color="0000EE"/>
            </w:tcBorders>
            <w:gridSpan w:val="3"/>
          </w:tcPr>
          <w:p>
            <w:pPr>
              <w:spacing w:after="0" w:line="196" w:lineRule="exact"/>
              <w:rPr>
                <w:rFonts w:ascii="Times New Roman" w:cs="Times New Roman" w:eastAsia="Times New Roman" w:hAnsi="Times New Roman"/>
                <w:sz w:val="18"/>
                <w:szCs w:val="18"/>
                <w:color w:val="0000EE"/>
                <w:w w:val="98"/>
              </w:rPr>
            </w:pPr>
            <w:hyperlink r:id="rId163">
              <w:r>
                <w:rPr>
                  <w:rFonts w:ascii="Times New Roman" w:cs="Times New Roman" w:eastAsia="Times New Roman" w:hAnsi="Times New Roman"/>
                  <w:sz w:val="18"/>
                  <w:szCs w:val="18"/>
                  <w:color w:val="0000EE"/>
                  <w:w w:val="98"/>
                </w:rPr>
                <w:t>Company, as the borrower, certain</w:t>
              </w:r>
            </w:hyperlink>
          </w:p>
        </w:tc>
        <w:tc>
          <w:tcPr>
            <w:tcW w:w="380" w:type="dxa"/>
            <w:vAlign w:val="bottom"/>
            <w:tcBorders>
              <w:top w:val="single" w:sz="8" w:color="0000EE"/>
            </w:tcBorders>
            <w:gridSpan w:val="8"/>
          </w:tcPr>
          <w:p>
            <w:pPr>
              <w:spacing w:after="0"/>
              <w:rPr>
                <w:sz w:val="17"/>
                <w:szCs w:val="17"/>
                <w:color w:val="auto"/>
              </w:rPr>
            </w:pPr>
          </w:p>
        </w:tc>
        <w:tc>
          <w:tcPr>
            <w:tcW w:w="840" w:type="dxa"/>
            <w:vAlign w:val="bottom"/>
            <w:gridSpan w:val="5"/>
          </w:tcPr>
          <w:p>
            <w:pPr>
              <w:spacing w:after="0"/>
              <w:rPr>
                <w:sz w:val="17"/>
                <w:szCs w:val="17"/>
                <w:color w:val="auto"/>
              </w:rPr>
            </w:pPr>
          </w:p>
        </w:tc>
        <w:tc>
          <w:tcPr>
            <w:tcW w:w="1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2840" w:type="dxa"/>
            <w:vAlign w:val="bottom"/>
            <w:tcBorders>
              <w:bottom w:val="single" w:sz="8" w:color="0000EE"/>
            </w:tcBorders>
            <w:gridSpan w:val="10"/>
          </w:tcPr>
          <w:p>
            <w:pPr>
              <w:spacing w:after="0" w:line="196" w:lineRule="exact"/>
              <w:rPr>
                <w:rFonts w:ascii="Times New Roman" w:cs="Times New Roman" w:eastAsia="Times New Roman" w:hAnsi="Times New Roman"/>
                <w:sz w:val="18"/>
                <w:szCs w:val="18"/>
                <w:color w:val="0000EE"/>
              </w:rPr>
            </w:pPr>
            <w:hyperlink r:id="rId163">
              <w:r>
                <w:rPr>
                  <w:rFonts w:ascii="Times New Roman" w:cs="Times New Roman" w:eastAsia="Times New Roman" w:hAnsi="Times New Roman"/>
                  <w:sz w:val="18"/>
                  <w:szCs w:val="18"/>
                  <w:color w:val="0000EE"/>
                </w:rPr>
                <w:t>subsidiaries of the Company from time</w:t>
              </w:r>
            </w:hyperlink>
          </w:p>
        </w:tc>
        <w:tc>
          <w:tcPr>
            <w:tcW w:w="860" w:type="dxa"/>
            <w:vAlign w:val="bottom"/>
            <w:gridSpan w:val="6"/>
          </w:tcPr>
          <w:p>
            <w:pPr>
              <w:spacing w:after="0"/>
              <w:rPr>
                <w:sz w:val="17"/>
                <w:szCs w:val="17"/>
                <w:color w:val="auto"/>
              </w:rPr>
            </w:pPr>
          </w:p>
        </w:tc>
        <w:tc>
          <w:tcPr>
            <w:tcW w:w="1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3700" w:type="dxa"/>
            <w:vAlign w:val="bottom"/>
            <w:gridSpan w:val="16"/>
          </w:tcPr>
          <w:p>
            <w:pPr>
              <w:spacing w:after="0" w:line="196" w:lineRule="exact"/>
              <w:rPr>
                <w:rFonts w:ascii="Times New Roman" w:cs="Times New Roman" w:eastAsia="Times New Roman" w:hAnsi="Times New Roman"/>
                <w:sz w:val="18"/>
                <w:szCs w:val="18"/>
                <w:color w:val="0000EE"/>
              </w:rPr>
            </w:pPr>
            <w:hyperlink r:id="rId163">
              <w:r>
                <w:rPr>
                  <w:rFonts w:ascii="Times New Roman" w:cs="Times New Roman" w:eastAsia="Times New Roman" w:hAnsi="Times New Roman"/>
                  <w:sz w:val="18"/>
                  <w:szCs w:val="18"/>
                  <w:color w:val="0000EE"/>
                </w:rPr>
                <w:t>to time party thereto as subsidiary</w:t>
              </w:r>
            </w:hyperlink>
          </w:p>
        </w:tc>
        <w:tc>
          <w:tcPr>
            <w:tcW w:w="1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84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0" w:type="dxa"/>
            <w:vAlign w:val="bottom"/>
          </w:tcPr>
          <w:p>
            <w:pPr>
              <w:spacing w:after="0"/>
              <w:rPr>
                <w:sz w:val="17"/>
                <w:szCs w:val="17"/>
                <w:color w:val="auto"/>
              </w:rPr>
            </w:pPr>
          </w:p>
        </w:tc>
        <w:tc>
          <w:tcPr>
            <w:tcW w:w="2960" w:type="dxa"/>
            <w:vAlign w:val="bottom"/>
            <w:tcBorders>
              <w:bottom w:val="single" w:sz="8" w:color="0000EE"/>
            </w:tcBorders>
            <w:gridSpan w:val="15"/>
          </w:tcPr>
          <w:p>
            <w:pPr>
              <w:spacing w:after="0" w:line="196" w:lineRule="exact"/>
              <w:rPr>
                <w:rFonts w:ascii="Times New Roman" w:cs="Times New Roman" w:eastAsia="Times New Roman" w:hAnsi="Times New Roman"/>
                <w:sz w:val="18"/>
                <w:szCs w:val="18"/>
                <w:color w:val="0000EE"/>
                <w:w w:val="99"/>
              </w:rPr>
            </w:pPr>
            <w:hyperlink r:id="rId163">
              <w:r>
                <w:rPr>
                  <w:rFonts w:ascii="Times New Roman" w:cs="Times New Roman" w:eastAsia="Times New Roman" w:hAnsi="Times New Roman"/>
                  <w:sz w:val="18"/>
                  <w:szCs w:val="18"/>
                  <w:color w:val="0000EE"/>
                  <w:w w:val="99"/>
                </w:rPr>
                <w:t>guarantors, the lenders party thereto, and</w:t>
              </w:r>
            </w:hyperlink>
          </w:p>
        </w:tc>
        <w:tc>
          <w:tcPr>
            <w:tcW w:w="7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2760" w:type="dxa"/>
            <w:vAlign w:val="bottom"/>
            <w:tcBorders>
              <w:bottom w:val="single" w:sz="8" w:color="0000EE"/>
            </w:tcBorders>
            <w:gridSpan w:val="7"/>
          </w:tcPr>
          <w:p>
            <w:pPr>
              <w:spacing w:after="0" w:line="196" w:lineRule="exact"/>
              <w:rPr>
                <w:rFonts w:ascii="Times New Roman" w:cs="Times New Roman" w:eastAsia="Times New Roman" w:hAnsi="Times New Roman"/>
                <w:sz w:val="18"/>
                <w:szCs w:val="18"/>
                <w:color w:val="0000EE"/>
                <w:w w:val="99"/>
              </w:rPr>
            </w:pPr>
            <w:hyperlink r:id="rId163">
              <w:r>
                <w:rPr>
                  <w:rFonts w:ascii="Times New Roman" w:cs="Times New Roman" w:eastAsia="Times New Roman" w:hAnsi="Times New Roman"/>
                  <w:sz w:val="18"/>
                  <w:szCs w:val="18"/>
                  <w:color w:val="0000EE"/>
                  <w:w w:val="99"/>
                </w:rPr>
                <w:t>Oaktree Fund Administration LLC, as</w:t>
              </w:r>
            </w:hyperlink>
          </w:p>
        </w:tc>
        <w:tc>
          <w:tcPr>
            <w:tcW w:w="940" w:type="dxa"/>
            <w:vAlign w:val="bottom"/>
            <w:gridSpan w:val="9"/>
          </w:tcPr>
          <w:p>
            <w:pPr>
              <w:spacing w:after="0"/>
              <w:rPr>
                <w:sz w:val="17"/>
                <w:szCs w:val="17"/>
                <w:color w:val="auto"/>
              </w:rPr>
            </w:pPr>
          </w:p>
        </w:tc>
        <w:tc>
          <w:tcPr>
            <w:tcW w:w="1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2480" w:type="dxa"/>
            <w:vAlign w:val="bottom"/>
            <w:tcBorders>
              <w:bottom w:val="single" w:sz="8" w:color="0000EE"/>
            </w:tcBorders>
            <w:gridSpan w:val="3"/>
          </w:tcPr>
          <w:p>
            <w:pPr>
              <w:spacing w:after="0" w:line="196" w:lineRule="exact"/>
              <w:rPr>
                <w:rFonts w:ascii="Times New Roman" w:cs="Times New Roman" w:eastAsia="Times New Roman" w:hAnsi="Times New Roman"/>
                <w:sz w:val="18"/>
                <w:szCs w:val="18"/>
                <w:color w:val="0000EE"/>
                <w:w w:val="99"/>
              </w:rPr>
            </w:pPr>
            <w:hyperlink r:id="rId163">
              <w:r>
                <w:rPr>
                  <w:rFonts w:ascii="Times New Roman" w:cs="Times New Roman" w:eastAsia="Times New Roman" w:hAnsi="Times New Roman"/>
                  <w:sz w:val="18"/>
                  <w:szCs w:val="18"/>
                  <w:color w:val="0000EE"/>
                  <w:w w:val="99"/>
                </w:rPr>
                <w:t>administrative agent (as amended)</w:t>
              </w:r>
            </w:hyperlink>
          </w:p>
        </w:tc>
        <w:tc>
          <w:tcPr>
            <w:tcW w:w="1220" w:type="dxa"/>
            <w:vAlign w:val="bottom"/>
            <w:gridSpan w:val="13"/>
          </w:tcPr>
          <w:p>
            <w:pPr>
              <w:spacing w:after="0"/>
              <w:rPr>
                <w:sz w:val="17"/>
                <w:szCs w:val="17"/>
                <w:color w:val="auto"/>
              </w:rPr>
            </w:pPr>
          </w:p>
        </w:tc>
        <w:tc>
          <w:tcPr>
            <w:tcW w:w="1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5"/>
        </w:trPr>
        <w:tc>
          <w:tcPr>
            <w:tcW w:w="78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5"/>
              </w:rPr>
              <w:t>31.1</w:t>
            </w:r>
          </w:p>
        </w:tc>
        <w:tc>
          <w:tcPr>
            <w:tcW w:w="3700" w:type="dxa"/>
            <w:vAlign w:val="bottom"/>
            <w:gridSpan w:val="16"/>
          </w:tcPr>
          <w:p>
            <w:pPr>
              <w:spacing w:after="0"/>
              <w:rPr>
                <w:sz w:val="20"/>
                <w:szCs w:val="20"/>
                <w:color w:val="auto"/>
              </w:rPr>
            </w:pPr>
            <w:r>
              <w:rPr>
                <w:rFonts w:ascii="Times New Roman" w:cs="Times New Roman" w:eastAsia="Times New Roman" w:hAnsi="Times New Roman"/>
                <w:sz w:val="18"/>
                <w:szCs w:val="18"/>
                <w:color w:val="0000EE"/>
              </w:rPr>
              <w:t>Certification of Principal Executive</w:t>
            </w:r>
          </w:p>
        </w:tc>
        <w:tc>
          <w:tcPr>
            <w:tcW w:w="1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20" w:type="dxa"/>
            <w:vAlign w:val="bottom"/>
          </w:tcPr>
          <w:p>
            <w:pPr>
              <w:jc w:val="center"/>
              <w:ind w:left="155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960" w:type="dxa"/>
            <w:vAlign w:val="bottom"/>
            <w:tcBorders>
              <w:right w:val="single" w:sz="8" w:color="0000EE"/>
            </w:tcBorders>
            <w:gridSpan w:val="3"/>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0" w:type="dxa"/>
            <w:vAlign w:val="bottom"/>
          </w:tcPr>
          <w:p>
            <w:pPr>
              <w:spacing w:after="0"/>
              <w:rPr>
                <w:sz w:val="17"/>
                <w:szCs w:val="17"/>
                <w:color w:val="auto"/>
              </w:rPr>
            </w:pPr>
          </w:p>
        </w:tc>
        <w:tc>
          <w:tcPr>
            <w:tcW w:w="2900" w:type="dxa"/>
            <w:vAlign w:val="bottom"/>
            <w:tcBorders>
              <w:bottom w:val="single" w:sz="8" w:color="0000EE"/>
            </w:tcBorders>
            <w:gridSpan w:val="13"/>
          </w:tcPr>
          <w:p>
            <w:pPr>
              <w:spacing w:after="0" w:line="196" w:lineRule="exact"/>
              <w:rPr>
                <w:sz w:val="20"/>
                <w:szCs w:val="20"/>
                <w:color w:val="auto"/>
              </w:rPr>
            </w:pPr>
            <w:r>
              <w:rPr>
                <w:rFonts w:ascii="Times New Roman" w:cs="Times New Roman" w:eastAsia="Times New Roman" w:hAnsi="Times New Roman"/>
                <w:sz w:val="18"/>
                <w:szCs w:val="18"/>
                <w:color w:val="0000EE"/>
                <w:w w:val="99"/>
              </w:rPr>
              <w:t>Officer Pursuant to Rules 13a-14(a) and</w:t>
            </w:r>
          </w:p>
        </w:tc>
        <w:tc>
          <w:tcPr>
            <w:tcW w:w="800" w:type="dxa"/>
            <w:vAlign w:val="bottom"/>
            <w:gridSpan w:val="3"/>
          </w:tcPr>
          <w:p>
            <w:pPr>
              <w:spacing w:after="0"/>
              <w:rPr>
                <w:sz w:val="17"/>
                <w:szCs w:val="17"/>
                <w:color w:val="auto"/>
              </w:rPr>
            </w:pPr>
          </w:p>
        </w:tc>
        <w:tc>
          <w:tcPr>
            <w:tcW w:w="1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2940" w:type="dxa"/>
            <w:vAlign w:val="bottom"/>
            <w:tcBorders>
              <w:bottom w:val="single" w:sz="8" w:color="0000EE"/>
            </w:tcBorders>
            <w:gridSpan w:val="14"/>
          </w:tcPr>
          <w:p>
            <w:pPr>
              <w:spacing w:after="0" w:line="196" w:lineRule="exact"/>
              <w:rPr>
                <w:sz w:val="20"/>
                <w:szCs w:val="20"/>
                <w:color w:val="auto"/>
              </w:rPr>
            </w:pPr>
            <w:r>
              <w:rPr>
                <w:rFonts w:ascii="Times New Roman" w:cs="Times New Roman" w:eastAsia="Times New Roman" w:hAnsi="Times New Roman"/>
                <w:sz w:val="18"/>
                <w:szCs w:val="18"/>
                <w:color w:val="0000EE"/>
                <w:w w:val="99"/>
              </w:rPr>
              <w:t>15d-14(a) under the Securities Exchange</w:t>
            </w:r>
          </w:p>
        </w:tc>
        <w:tc>
          <w:tcPr>
            <w:tcW w:w="760" w:type="dxa"/>
            <w:vAlign w:val="bottom"/>
            <w:gridSpan w:val="2"/>
          </w:tcPr>
          <w:p>
            <w:pPr>
              <w:spacing w:after="0"/>
              <w:rPr>
                <w:sz w:val="17"/>
                <w:szCs w:val="17"/>
                <w:color w:val="auto"/>
              </w:rPr>
            </w:pPr>
          </w:p>
        </w:tc>
        <w:tc>
          <w:tcPr>
            <w:tcW w:w="1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370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EE"/>
              </w:rPr>
              <w:t>Act of 1934, as Adopted Pursuant to</w:t>
            </w:r>
          </w:p>
        </w:tc>
        <w:tc>
          <w:tcPr>
            <w:tcW w:w="1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960" w:type="dxa"/>
            <w:vAlign w:val="bottom"/>
            <w:tcBorders>
              <w:right w:val="single" w:sz="8" w:color="0000EE"/>
            </w:tcBorders>
            <w:gridSpan w:val="3"/>
            <w:shd w:val="clear" w:color="auto" w:fill="0000EE"/>
          </w:tcPr>
          <w:p>
            <w:pPr>
              <w:spacing w:after="0" w:line="20" w:lineRule="exact"/>
              <w:rPr>
                <w:sz w:val="1"/>
                <w:szCs w:val="1"/>
                <w:color w:val="auto"/>
              </w:rPr>
            </w:pPr>
          </w:p>
        </w:tc>
        <w:tc>
          <w:tcPr>
            <w:tcW w:w="16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820" w:type="dxa"/>
            <w:vAlign w:val="bottom"/>
            <w:gridSpan w:val="4"/>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0" w:type="dxa"/>
            <w:vAlign w:val="bottom"/>
          </w:tcPr>
          <w:p>
            <w:pPr>
              <w:spacing w:after="0"/>
              <w:rPr>
                <w:sz w:val="17"/>
                <w:szCs w:val="17"/>
                <w:color w:val="auto"/>
              </w:rPr>
            </w:pPr>
          </w:p>
        </w:tc>
        <w:tc>
          <w:tcPr>
            <w:tcW w:w="2820" w:type="dxa"/>
            <w:vAlign w:val="bottom"/>
            <w:tcBorders>
              <w:bottom w:val="single" w:sz="8" w:color="0000EE"/>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EE"/>
                <w:w w:val="99"/>
              </w:rPr>
              <w:t>Section 302 of the Sarbanes-Oxley Act</w:t>
            </w:r>
          </w:p>
        </w:tc>
        <w:tc>
          <w:tcPr>
            <w:tcW w:w="880" w:type="dxa"/>
            <w:vAlign w:val="bottom"/>
            <w:gridSpan w:val="7"/>
          </w:tcPr>
          <w:p>
            <w:pPr>
              <w:spacing w:after="0"/>
              <w:rPr>
                <w:sz w:val="17"/>
                <w:szCs w:val="17"/>
                <w:color w:val="auto"/>
              </w:rPr>
            </w:pPr>
          </w:p>
        </w:tc>
        <w:tc>
          <w:tcPr>
            <w:tcW w:w="1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370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EE"/>
              </w:rPr>
              <w:t>of 2002.</w:t>
            </w:r>
          </w:p>
        </w:tc>
        <w:tc>
          <w:tcPr>
            <w:tcW w:w="1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96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6"/>
          </w:tcPr>
          <w:p>
            <w:pPr>
              <w:spacing w:after="0" w:line="20" w:lineRule="exact"/>
              <w:rPr>
                <w:sz w:val="1"/>
                <w:szCs w:val="1"/>
                <w:color w:val="auto"/>
              </w:rPr>
            </w:pPr>
          </w:p>
        </w:tc>
        <w:tc>
          <w:tcPr>
            <w:tcW w:w="820" w:type="dxa"/>
            <w:vAlign w:val="bottom"/>
            <w:gridSpan w:val="4"/>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20" w:type="dxa"/>
            <w:vAlign w:val="bottom"/>
            <w:vMerge w:val="restart"/>
          </w:tcPr>
          <w:p>
            <w:pPr>
              <w:jc w:val="center"/>
              <w:ind w:left="155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line="20" w:lineRule="exact"/>
              <w:rPr>
                <w:sz w:val="1"/>
                <w:szCs w:val="1"/>
                <w:color w:val="auto"/>
              </w:rPr>
            </w:pPr>
          </w:p>
        </w:tc>
      </w:tr>
      <w:tr>
        <w:trPr>
          <w:trHeight w:val="345"/>
        </w:trPr>
        <w:tc>
          <w:tcPr>
            <w:tcW w:w="78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5"/>
              </w:rPr>
              <w:t>31.2</w:t>
            </w:r>
          </w:p>
        </w:tc>
        <w:tc>
          <w:tcPr>
            <w:tcW w:w="256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rPr>
              <w:t>Certification of Principal Financial</w:t>
            </w:r>
          </w:p>
        </w:tc>
        <w:tc>
          <w:tcPr>
            <w:tcW w:w="1140" w:type="dxa"/>
            <w:vAlign w:val="bottom"/>
            <w:gridSpan w:val="12"/>
          </w:tcPr>
          <w:p>
            <w:pPr>
              <w:spacing w:after="0"/>
              <w:rPr>
                <w:sz w:val="24"/>
                <w:szCs w:val="24"/>
                <w:color w:val="auto"/>
              </w:rPr>
            </w:pPr>
          </w:p>
        </w:tc>
        <w:tc>
          <w:tcPr>
            <w:tcW w:w="1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2900" w:type="dxa"/>
            <w:vAlign w:val="bottom"/>
            <w:tcBorders>
              <w:bottom w:val="single" w:sz="8" w:color="0000EE"/>
            </w:tcBorders>
            <w:gridSpan w:val="13"/>
          </w:tcPr>
          <w:p>
            <w:pPr>
              <w:spacing w:after="0" w:line="196" w:lineRule="exact"/>
              <w:rPr>
                <w:sz w:val="20"/>
                <w:szCs w:val="20"/>
                <w:color w:val="auto"/>
              </w:rPr>
            </w:pPr>
            <w:r>
              <w:rPr>
                <w:rFonts w:ascii="Times New Roman" w:cs="Times New Roman" w:eastAsia="Times New Roman" w:hAnsi="Times New Roman"/>
                <w:sz w:val="18"/>
                <w:szCs w:val="18"/>
                <w:color w:val="0000EE"/>
                <w:w w:val="99"/>
              </w:rPr>
              <w:t>Officer Pursuant to Rules 13a-14(a) and</w:t>
            </w:r>
          </w:p>
        </w:tc>
        <w:tc>
          <w:tcPr>
            <w:tcW w:w="800" w:type="dxa"/>
            <w:vAlign w:val="bottom"/>
            <w:gridSpan w:val="3"/>
          </w:tcPr>
          <w:p>
            <w:pPr>
              <w:spacing w:after="0"/>
              <w:rPr>
                <w:sz w:val="17"/>
                <w:szCs w:val="17"/>
                <w:color w:val="auto"/>
              </w:rPr>
            </w:pPr>
          </w:p>
        </w:tc>
        <w:tc>
          <w:tcPr>
            <w:tcW w:w="1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2940" w:type="dxa"/>
            <w:vAlign w:val="bottom"/>
            <w:tcBorders>
              <w:bottom w:val="single" w:sz="8" w:color="0000EE"/>
            </w:tcBorders>
            <w:gridSpan w:val="14"/>
          </w:tcPr>
          <w:p>
            <w:pPr>
              <w:spacing w:after="0" w:line="196" w:lineRule="exact"/>
              <w:rPr>
                <w:sz w:val="20"/>
                <w:szCs w:val="20"/>
                <w:color w:val="auto"/>
              </w:rPr>
            </w:pPr>
            <w:r>
              <w:rPr>
                <w:rFonts w:ascii="Times New Roman" w:cs="Times New Roman" w:eastAsia="Times New Roman" w:hAnsi="Times New Roman"/>
                <w:sz w:val="18"/>
                <w:szCs w:val="18"/>
                <w:color w:val="0000EE"/>
                <w:w w:val="99"/>
              </w:rPr>
              <w:t>15d-14(a) under the Securities Exchange</w:t>
            </w:r>
          </w:p>
        </w:tc>
        <w:tc>
          <w:tcPr>
            <w:tcW w:w="760" w:type="dxa"/>
            <w:vAlign w:val="bottom"/>
            <w:gridSpan w:val="2"/>
          </w:tcPr>
          <w:p>
            <w:pPr>
              <w:spacing w:after="0"/>
              <w:rPr>
                <w:sz w:val="17"/>
                <w:szCs w:val="17"/>
                <w:color w:val="auto"/>
              </w:rPr>
            </w:pPr>
          </w:p>
        </w:tc>
        <w:tc>
          <w:tcPr>
            <w:tcW w:w="1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370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EE"/>
              </w:rPr>
              <w:t>Act of 1934, as Adopted Pursuant to</w:t>
            </w:r>
          </w:p>
        </w:tc>
        <w:tc>
          <w:tcPr>
            <w:tcW w:w="1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2560" w:type="dxa"/>
            <w:vAlign w:val="bottom"/>
            <w:tcBorders>
              <w:right w:val="single" w:sz="8" w:color="0000EE"/>
            </w:tcBorders>
            <w:gridSpan w:val="4"/>
            <w:shd w:val="clear" w:color="auto" w:fill="0000EE"/>
          </w:tcPr>
          <w:p>
            <w:pPr>
              <w:spacing w:after="0" w:line="20" w:lineRule="exact"/>
              <w:rPr>
                <w:sz w:val="1"/>
                <w:szCs w:val="1"/>
                <w:color w:val="auto"/>
              </w:rPr>
            </w:pPr>
          </w:p>
        </w:tc>
        <w:tc>
          <w:tcPr>
            <w:tcW w:w="16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6"/>
          </w:tcPr>
          <w:p>
            <w:pPr>
              <w:spacing w:after="0" w:line="20" w:lineRule="exact"/>
              <w:rPr>
                <w:sz w:val="1"/>
                <w:szCs w:val="1"/>
                <w:color w:val="auto"/>
              </w:rPr>
            </w:pPr>
          </w:p>
        </w:tc>
        <w:tc>
          <w:tcPr>
            <w:tcW w:w="820" w:type="dxa"/>
            <w:vAlign w:val="bottom"/>
            <w:gridSpan w:val="4"/>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0" w:type="dxa"/>
            <w:vAlign w:val="bottom"/>
          </w:tcPr>
          <w:p>
            <w:pPr>
              <w:spacing w:after="0"/>
              <w:rPr>
                <w:sz w:val="17"/>
                <w:szCs w:val="17"/>
                <w:color w:val="auto"/>
              </w:rPr>
            </w:pPr>
          </w:p>
        </w:tc>
        <w:tc>
          <w:tcPr>
            <w:tcW w:w="2820" w:type="dxa"/>
            <w:vAlign w:val="bottom"/>
            <w:tcBorders>
              <w:bottom w:val="single" w:sz="8" w:color="0000EE"/>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EE"/>
                <w:w w:val="99"/>
              </w:rPr>
              <w:t>Section 302 of the Sarbanes-Oxley Act</w:t>
            </w:r>
          </w:p>
        </w:tc>
        <w:tc>
          <w:tcPr>
            <w:tcW w:w="880" w:type="dxa"/>
            <w:vAlign w:val="bottom"/>
            <w:gridSpan w:val="7"/>
          </w:tcPr>
          <w:p>
            <w:pPr>
              <w:spacing w:after="0"/>
              <w:rPr>
                <w:sz w:val="17"/>
                <w:szCs w:val="17"/>
                <w:color w:val="auto"/>
              </w:rPr>
            </w:pPr>
          </w:p>
        </w:tc>
        <w:tc>
          <w:tcPr>
            <w:tcW w:w="1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370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EE"/>
              </w:rPr>
              <w:t>of 2002.</w:t>
            </w:r>
          </w:p>
        </w:tc>
        <w:tc>
          <w:tcPr>
            <w:tcW w:w="1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1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6"/>
          </w:tcPr>
          <w:p>
            <w:pPr>
              <w:spacing w:after="0" w:line="20" w:lineRule="exact"/>
              <w:rPr>
                <w:sz w:val="1"/>
                <w:szCs w:val="1"/>
                <w:color w:val="auto"/>
              </w:rPr>
            </w:pPr>
          </w:p>
        </w:tc>
        <w:tc>
          <w:tcPr>
            <w:tcW w:w="820" w:type="dxa"/>
            <w:vAlign w:val="bottom"/>
            <w:gridSpan w:val="4"/>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20" w:type="dxa"/>
            <w:vAlign w:val="bottom"/>
            <w:vMerge w:val="restart"/>
          </w:tcPr>
          <w:p>
            <w:pPr>
              <w:jc w:val="center"/>
              <w:ind w:left="1550"/>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0" w:type="dxa"/>
            <w:vAlign w:val="bottom"/>
          </w:tcPr>
          <w:p>
            <w:pPr>
              <w:spacing w:after="0" w:line="20" w:lineRule="exact"/>
              <w:rPr>
                <w:sz w:val="1"/>
                <w:szCs w:val="1"/>
                <w:color w:val="auto"/>
              </w:rPr>
            </w:pPr>
          </w:p>
        </w:tc>
      </w:tr>
      <w:tr>
        <w:trPr>
          <w:trHeight w:val="345"/>
        </w:trPr>
        <w:tc>
          <w:tcPr>
            <w:tcW w:w="78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5"/>
              </w:rPr>
              <w:t>32.1</w:t>
            </w:r>
          </w:p>
        </w:tc>
        <w:tc>
          <w:tcPr>
            <w:tcW w:w="3700" w:type="dxa"/>
            <w:vAlign w:val="bottom"/>
            <w:gridSpan w:val="16"/>
          </w:tcPr>
          <w:p>
            <w:pPr>
              <w:spacing w:after="0"/>
              <w:rPr>
                <w:sz w:val="20"/>
                <w:szCs w:val="20"/>
                <w:color w:val="auto"/>
              </w:rPr>
            </w:pPr>
            <w:r>
              <w:rPr>
                <w:rFonts w:ascii="Times New Roman" w:cs="Times New Roman" w:eastAsia="Times New Roman" w:hAnsi="Times New Roman"/>
                <w:sz w:val="18"/>
                <w:szCs w:val="18"/>
                <w:color w:val="0000EE"/>
              </w:rPr>
              <w:t>Certification of Principal Executive</w:t>
            </w:r>
          </w:p>
        </w:tc>
        <w:tc>
          <w:tcPr>
            <w:tcW w:w="1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2560" w:type="dxa"/>
            <w:vAlign w:val="bottom"/>
            <w:tcBorders>
              <w:right w:val="single" w:sz="8" w:color="0000EE"/>
            </w:tcBorders>
            <w:gridSpan w:val="4"/>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6"/>
          </w:tcPr>
          <w:p>
            <w:pPr>
              <w:spacing w:after="0" w:line="20" w:lineRule="exact"/>
              <w:rPr>
                <w:sz w:val="1"/>
                <w:szCs w:val="1"/>
                <w:color w:val="auto"/>
              </w:rPr>
            </w:pPr>
          </w:p>
        </w:tc>
        <w:tc>
          <w:tcPr>
            <w:tcW w:w="820" w:type="dxa"/>
            <w:vAlign w:val="bottom"/>
            <w:gridSpan w:val="4"/>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0" w:type="dxa"/>
            <w:vAlign w:val="bottom"/>
          </w:tcPr>
          <w:p>
            <w:pPr>
              <w:spacing w:after="0"/>
              <w:rPr>
                <w:sz w:val="17"/>
                <w:szCs w:val="17"/>
                <w:color w:val="auto"/>
              </w:rPr>
            </w:pPr>
          </w:p>
        </w:tc>
        <w:tc>
          <w:tcPr>
            <w:tcW w:w="2740" w:type="dxa"/>
            <w:vAlign w:val="bottom"/>
            <w:tcBorders>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w w:val="99"/>
              </w:rPr>
              <w:t>Officer Pursuant to 18 U.S.C. Section</w:t>
            </w:r>
          </w:p>
        </w:tc>
        <w:tc>
          <w:tcPr>
            <w:tcW w:w="960" w:type="dxa"/>
            <w:vAlign w:val="bottom"/>
            <w:gridSpan w:val="10"/>
          </w:tcPr>
          <w:p>
            <w:pPr>
              <w:spacing w:after="0"/>
              <w:rPr>
                <w:sz w:val="17"/>
                <w:szCs w:val="17"/>
                <w:color w:val="auto"/>
              </w:rPr>
            </w:pPr>
          </w:p>
        </w:tc>
        <w:tc>
          <w:tcPr>
            <w:tcW w:w="1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2720" w:type="dxa"/>
            <w:vAlign w:val="bottom"/>
            <w:tcBorders>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9"/>
              </w:rPr>
              <w:t>1350, as Adopted Pursuant to Section</w:t>
            </w:r>
          </w:p>
        </w:tc>
        <w:tc>
          <w:tcPr>
            <w:tcW w:w="980" w:type="dxa"/>
            <w:vAlign w:val="bottom"/>
            <w:gridSpan w:val="11"/>
          </w:tcPr>
          <w:p>
            <w:pPr>
              <w:spacing w:after="0"/>
              <w:rPr>
                <w:sz w:val="17"/>
                <w:szCs w:val="17"/>
                <w:color w:val="auto"/>
              </w:rPr>
            </w:pPr>
          </w:p>
        </w:tc>
        <w:tc>
          <w:tcPr>
            <w:tcW w:w="1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2880" w:type="dxa"/>
            <w:vAlign w:val="bottom"/>
            <w:tcBorders>
              <w:bottom w:val="single" w:sz="8" w:color="0000EE"/>
            </w:tcBorders>
            <w:gridSpan w:val="12"/>
          </w:tcPr>
          <w:p>
            <w:pPr>
              <w:spacing w:after="0" w:line="196" w:lineRule="exact"/>
              <w:rPr>
                <w:sz w:val="20"/>
                <w:szCs w:val="20"/>
                <w:color w:val="auto"/>
              </w:rPr>
            </w:pPr>
            <w:r>
              <w:rPr>
                <w:rFonts w:ascii="Times New Roman" w:cs="Times New Roman" w:eastAsia="Times New Roman" w:hAnsi="Times New Roman"/>
                <w:sz w:val="18"/>
                <w:szCs w:val="18"/>
                <w:color w:val="0000EE"/>
                <w:w w:val="99"/>
              </w:rPr>
              <w:t>906 of the Sarbanes-Oxley Act of 2002.</w:t>
            </w:r>
          </w:p>
        </w:tc>
        <w:tc>
          <w:tcPr>
            <w:tcW w:w="820" w:type="dxa"/>
            <w:vAlign w:val="bottom"/>
            <w:gridSpan w:val="4"/>
          </w:tcPr>
          <w:p>
            <w:pPr>
              <w:spacing w:after="0"/>
              <w:rPr>
                <w:sz w:val="17"/>
                <w:szCs w:val="17"/>
                <w:color w:val="auto"/>
              </w:rPr>
            </w:pPr>
          </w:p>
        </w:tc>
        <w:tc>
          <w:tcPr>
            <w:tcW w:w="1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5"/>
        </w:trPr>
        <w:tc>
          <w:tcPr>
            <w:tcW w:w="78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5"/>
              </w:rPr>
              <w:t>32.2</w:t>
            </w:r>
          </w:p>
        </w:tc>
        <w:tc>
          <w:tcPr>
            <w:tcW w:w="256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rPr>
              <w:t>Certification of Principal Financial</w:t>
            </w:r>
          </w:p>
        </w:tc>
        <w:tc>
          <w:tcPr>
            <w:tcW w:w="1140" w:type="dxa"/>
            <w:vAlign w:val="bottom"/>
            <w:gridSpan w:val="12"/>
          </w:tcPr>
          <w:p>
            <w:pPr>
              <w:spacing w:after="0"/>
              <w:rPr>
                <w:sz w:val="24"/>
                <w:szCs w:val="24"/>
                <w:color w:val="auto"/>
              </w:rPr>
            </w:pPr>
          </w:p>
        </w:tc>
        <w:tc>
          <w:tcPr>
            <w:tcW w:w="1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20" w:type="dxa"/>
            <w:vAlign w:val="bottom"/>
          </w:tcPr>
          <w:p>
            <w:pPr>
              <w:jc w:val="center"/>
              <w:ind w:left="1550"/>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2740" w:type="dxa"/>
            <w:vAlign w:val="bottom"/>
            <w:tcBorders>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w w:val="99"/>
              </w:rPr>
              <w:t>Officer Pursuant to 18 U.S.C. Section</w:t>
            </w:r>
          </w:p>
        </w:tc>
        <w:tc>
          <w:tcPr>
            <w:tcW w:w="960" w:type="dxa"/>
            <w:vAlign w:val="bottom"/>
            <w:gridSpan w:val="10"/>
          </w:tcPr>
          <w:p>
            <w:pPr>
              <w:spacing w:after="0"/>
              <w:rPr>
                <w:sz w:val="17"/>
                <w:szCs w:val="17"/>
                <w:color w:val="auto"/>
              </w:rPr>
            </w:pPr>
          </w:p>
        </w:tc>
        <w:tc>
          <w:tcPr>
            <w:tcW w:w="1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2720" w:type="dxa"/>
            <w:vAlign w:val="bottom"/>
            <w:tcBorders>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9"/>
              </w:rPr>
              <w:t>1350, as Adopted Pursuant to Section</w:t>
            </w:r>
          </w:p>
        </w:tc>
        <w:tc>
          <w:tcPr>
            <w:tcW w:w="980" w:type="dxa"/>
            <w:vAlign w:val="bottom"/>
            <w:gridSpan w:val="11"/>
          </w:tcPr>
          <w:p>
            <w:pPr>
              <w:spacing w:after="0"/>
              <w:rPr>
                <w:sz w:val="17"/>
                <w:szCs w:val="17"/>
                <w:color w:val="auto"/>
              </w:rPr>
            </w:pPr>
          </w:p>
        </w:tc>
        <w:tc>
          <w:tcPr>
            <w:tcW w:w="1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2880" w:type="dxa"/>
            <w:vAlign w:val="bottom"/>
            <w:tcBorders>
              <w:bottom w:val="single" w:sz="8" w:color="0000EE"/>
            </w:tcBorders>
            <w:gridSpan w:val="12"/>
          </w:tcPr>
          <w:p>
            <w:pPr>
              <w:spacing w:after="0" w:line="196" w:lineRule="exact"/>
              <w:rPr>
                <w:sz w:val="20"/>
                <w:szCs w:val="20"/>
                <w:color w:val="auto"/>
              </w:rPr>
            </w:pPr>
            <w:r>
              <w:rPr>
                <w:rFonts w:ascii="Times New Roman" w:cs="Times New Roman" w:eastAsia="Times New Roman" w:hAnsi="Times New Roman"/>
                <w:sz w:val="18"/>
                <w:szCs w:val="18"/>
                <w:color w:val="0000EE"/>
                <w:w w:val="99"/>
              </w:rPr>
              <w:t>906 of the Sarbanes-Oxley Act of 2002.</w:t>
            </w:r>
          </w:p>
        </w:tc>
        <w:tc>
          <w:tcPr>
            <w:tcW w:w="820" w:type="dxa"/>
            <w:vAlign w:val="bottom"/>
            <w:gridSpan w:val="4"/>
          </w:tcPr>
          <w:p>
            <w:pPr>
              <w:spacing w:after="0"/>
              <w:rPr>
                <w:sz w:val="17"/>
                <w:szCs w:val="17"/>
                <w:color w:val="auto"/>
              </w:rPr>
            </w:pPr>
          </w:p>
        </w:tc>
        <w:tc>
          <w:tcPr>
            <w:tcW w:w="1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85"/>
        </w:trPr>
        <w:tc>
          <w:tcPr>
            <w:tcW w:w="78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rPr>
              <w:t>101.INS</w:t>
            </w:r>
          </w:p>
        </w:tc>
        <w:tc>
          <w:tcPr>
            <w:tcW w:w="370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Inline XBRL Instance Document</w:t>
            </w:r>
          </w:p>
        </w:tc>
        <w:tc>
          <w:tcPr>
            <w:tcW w:w="1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20" w:type="dxa"/>
            <w:vAlign w:val="bottom"/>
          </w:tcPr>
          <w:p>
            <w:pPr>
              <w:jc w:val="center"/>
              <w:ind w:left="155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bl>
    <w:p>
      <w:pPr>
        <w:ind w:left="860" w:right="5279" w:firstLine="1"/>
        <w:spacing w:after="0" w:line="253" w:lineRule="auto"/>
        <w:tabs>
          <w:tab w:leader="none" w:pos="965"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instance document does not appear in the Interactive Data File because its XBRL tags are embedded within the Inline XBRL document</w:t>
      </w:r>
    </w:p>
    <w:p>
      <w:pPr>
        <w:spacing w:after="0" w:line="117" w:lineRule="exact"/>
        <w:rPr>
          <w:sz w:val="20"/>
          <w:szCs w:val="20"/>
          <w:color w:val="auto"/>
        </w:rPr>
      </w:pPr>
    </w:p>
    <w:tbl>
      <w:tblPr>
        <w:tblLayout w:type="fixed"/>
        <w:tblInd w:w="40" w:type="dxa"/>
        <w:tblCellMar>
          <w:top w:w="0" w:type="dxa"/>
          <w:left w:w="0" w:type="dxa"/>
          <w:bottom w:w="0" w:type="dxa"/>
          <w:right w:w="0" w:type="dxa"/>
        </w:tblCellMar>
      </w:tblPr>
      <w:tr>
        <w:trPr>
          <w:trHeight w:val="220"/>
        </w:trPr>
        <w:tc>
          <w:tcPr>
            <w:tcW w:w="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101.SCH</w:t>
            </w:r>
          </w:p>
        </w:tc>
        <w:tc>
          <w:tcPr>
            <w:tcW w:w="30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Inline XBRL Taxonomy Extension</w:t>
            </w:r>
          </w:p>
        </w:tc>
        <w:tc>
          <w:tcPr>
            <w:tcW w:w="502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34"/>
        </w:trPr>
        <w:tc>
          <w:tcPr>
            <w:tcW w:w="760" w:type="dxa"/>
            <w:vAlign w:val="bottom"/>
          </w:tcPr>
          <w:p>
            <w:pPr>
              <w:spacing w:after="0"/>
              <w:rPr>
                <w:sz w:val="20"/>
                <w:szCs w:val="20"/>
                <w:color w:val="auto"/>
              </w:rPr>
            </w:pPr>
          </w:p>
        </w:tc>
        <w:tc>
          <w:tcPr>
            <w:tcW w:w="30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Schema Document</w:t>
            </w:r>
          </w:p>
        </w:tc>
        <w:tc>
          <w:tcPr>
            <w:tcW w:w="5020" w:type="dxa"/>
            <w:vAlign w:val="bottom"/>
          </w:tcPr>
          <w:p>
            <w:pPr>
              <w:spacing w:after="0"/>
              <w:rPr>
                <w:sz w:val="20"/>
                <w:szCs w:val="20"/>
                <w:color w:val="auto"/>
              </w:rPr>
            </w:pPr>
          </w:p>
        </w:tc>
      </w:tr>
      <w:tr>
        <w:trPr>
          <w:trHeight w:val="346"/>
        </w:trPr>
        <w:tc>
          <w:tcPr>
            <w:tcW w:w="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101.CAL</w:t>
            </w:r>
          </w:p>
        </w:tc>
        <w:tc>
          <w:tcPr>
            <w:tcW w:w="30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Inline XBRL Taxonomy Extension</w:t>
            </w:r>
          </w:p>
        </w:tc>
        <w:tc>
          <w:tcPr>
            <w:tcW w:w="502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34"/>
        </w:trPr>
        <w:tc>
          <w:tcPr>
            <w:tcW w:w="760" w:type="dxa"/>
            <w:vAlign w:val="bottom"/>
          </w:tcPr>
          <w:p>
            <w:pPr>
              <w:spacing w:after="0"/>
              <w:rPr>
                <w:sz w:val="20"/>
                <w:szCs w:val="20"/>
                <w:color w:val="auto"/>
              </w:rPr>
            </w:pPr>
          </w:p>
        </w:tc>
        <w:tc>
          <w:tcPr>
            <w:tcW w:w="30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Calculation Linkbase Document</w:t>
            </w:r>
          </w:p>
        </w:tc>
        <w:tc>
          <w:tcPr>
            <w:tcW w:w="5020" w:type="dxa"/>
            <w:vAlign w:val="bottom"/>
          </w:tcPr>
          <w:p>
            <w:pPr>
              <w:spacing w:after="0"/>
              <w:rPr>
                <w:sz w:val="20"/>
                <w:szCs w:val="20"/>
                <w:color w:val="auto"/>
              </w:rPr>
            </w:pPr>
          </w:p>
        </w:tc>
      </w:tr>
      <w:tr>
        <w:trPr>
          <w:trHeight w:val="346"/>
        </w:trPr>
        <w:tc>
          <w:tcPr>
            <w:tcW w:w="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101.DEF</w:t>
            </w:r>
          </w:p>
        </w:tc>
        <w:tc>
          <w:tcPr>
            <w:tcW w:w="30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Inline XBRL Taxonomy Extension</w:t>
            </w:r>
          </w:p>
        </w:tc>
        <w:tc>
          <w:tcPr>
            <w:tcW w:w="502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34"/>
        </w:trPr>
        <w:tc>
          <w:tcPr>
            <w:tcW w:w="760" w:type="dxa"/>
            <w:vAlign w:val="bottom"/>
          </w:tcPr>
          <w:p>
            <w:pPr>
              <w:spacing w:after="0"/>
              <w:rPr>
                <w:sz w:val="20"/>
                <w:szCs w:val="20"/>
                <w:color w:val="auto"/>
              </w:rPr>
            </w:pPr>
          </w:p>
        </w:tc>
        <w:tc>
          <w:tcPr>
            <w:tcW w:w="30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Definition Linkbase Document</w:t>
            </w:r>
          </w:p>
        </w:tc>
        <w:tc>
          <w:tcPr>
            <w:tcW w:w="5020" w:type="dxa"/>
            <w:vAlign w:val="bottom"/>
          </w:tcPr>
          <w:p>
            <w:pPr>
              <w:spacing w:after="0"/>
              <w:rPr>
                <w:sz w:val="20"/>
                <w:szCs w:val="20"/>
                <w:color w:val="auto"/>
              </w:rPr>
            </w:pPr>
          </w:p>
        </w:tc>
      </w:tr>
      <w:tr>
        <w:trPr>
          <w:trHeight w:val="346"/>
        </w:trPr>
        <w:tc>
          <w:tcPr>
            <w:tcW w:w="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101.LAB</w:t>
            </w:r>
          </w:p>
        </w:tc>
        <w:tc>
          <w:tcPr>
            <w:tcW w:w="30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Inline XBRL Taxonomy Extension</w:t>
            </w:r>
          </w:p>
        </w:tc>
        <w:tc>
          <w:tcPr>
            <w:tcW w:w="502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34"/>
        </w:trPr>
        <w:tc>
          <w:tcPr>
            <w:tcW w:w="760" w:type="dxa"/>
            <w:vAlign w:val="bottom"/>
          </w:tcPr>
          <w:p>
            <w:pPr>
              <w:spacing w:after="0"/>
              <w:rPr>
                <w:sz w:val="20"/>
                <w:szCs w:val="20"/>
                <w:color w:val="auto"/>
              </w:rPr>
            </w:pPr>
          </w:p>
        </w:tc>
        <w:tc>
          <w:tcPr>
            <w:tcW w:w="30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Label Linkbase Document</w:t>
            </w:r>
          </w:p>
        </w:tc>
        <w:tc>
          <w:tcPr>
            <w:tcW w:w="5020" w:type="dxa"/>
            <w:vAlign w:val="bottom"/>
          </w:tcPr>
          <w:p>
            <w:pPr>
              <w:spacing w:after="0"/>
              <w:rPr>
                <w:sz w:val="20"/>
                <w:szCs w:val="20"/>
                <w:color w:val="auto"/>
              </w:rPr>
            </w:pPr>
          </w:p>
        </w:tc>
      </w:tr>
      <w:tr>
        <w:trPr>
          <w:trHeight w:val="796"/>
        </w:trPr>
        <w:tc>
          <w:tcPr>
            <w:tcW w:w="76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5020" w:type="dxa"/>
            <w:vAlign w:val="bottom"/>
          </w:tcPr>
          <w:p>
            <w:pPr>
              <w:jc w:val="right"/>
              <w:ind w:right="4190"/>
              <w:spacing w:after="0"/>
              <w:rPr>
                <w:sz w:val="20"/>
                <w:szCs w:val="20"/>
                <w:color w:val="auto"/>
              </w:rPr>
            </w:pPr>
            <w:r>
              <w:rPr>
                <w:rFonts w:ascii="Times New Roman" w:cs="Times New Roman" w:eastAsia="Times New Roman" w:hAnsi="Times New Roman"/>
                <w:sz w:val="18"/>
                <w:szCs w:val="18"/>
                <w:color w:val="auto"/>
              </w:rPr>
              <w:t>133</w:t>
            </w:r>
          </w:p>
        </w:tc>
      </w:tr>
      <w:tr>
        <w:trPr>
          <w:trHeight w:val="561"/>
        </w:trPr>
        <w:tc>
          <w:tcPr>
            <w:tcW w:w="760" w:type="dxa"/>
            <w:vAlign w:val="bottom"/>
            <w:tcBorders>
              <w:bottom w:val="single" w:sz="8" w:color="auto"/>
            </w:tcBorders>
          </w:tcPr>
          <w:p>
            <w:pPr>
              <w:spacing w:after="0"/>
              <w:rPr>
                <w:sz w:val="24"/>
                <w:szCs w:val="24"/>
                <w:color w:val="auto"/>
              </w:rPr>
            </w:pPr>
          </w:p>
        </w:tc>
        <w:tc>
          <w:tcPr>
            <w:tcW w:w="3060" w:type="dxa"/>
            <w:vAlign w:val="bottom"/>
            <w:tcBorders>
              <w:bottom w:val="single" w:sz="8" w:color="auto"/>
            </w:tcBorders>
          </w:tcPr>
          <w:p>
            <w:pPr>
              <w:spacing w:after="0"/>
              <w:rPr>
                <w:sz w:val="24"/>
                <w:szCs w:val="24"/>
                <w:color w:val="auto"/>
              </w:rPr>
            </w:pPr>
          </w:p>
        </w:tc>
        <w:tc>
          <w:tcPr>
            <w:tcW w:w="50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13" w:right="1440" w:bottom="1440" w:gutter="0" w:footer="0" w:header="0"/>
        </w:sectPr>
      </w:pPr>
    </w:p>
    <w:bookmarkStart w:id="133" w:name="page134"/>
    <w:bookmarkEnd w:id="13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101.PRE</w:t>
            </w:r>
          </w:p>
        </w:tc>
        <w:tc>
          <w:tcPr>
            <w:tcW w:w="50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Inline XBRL Taxonomy Extension</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720" w:type="dxa"/>
            <w:vAlign w:val="bottom"/>
          </w:tcPr>
          <w:p>
            <w:pPr>
              <w:spacing w:after="0"/>
              <w:rPr>
                <w:sz w:val="20"/>
                <w:szCs w:val="20"/>
                <w:color w:val="auto"/>
              </w:rPr>
            </w:pPr>
          </w:p>
        </w:tc>
        <w:tc>
          <w:tcPr>
            <w:tcW w:w="50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Presentation Linkbase Document</w:t>
            </w:r>
          </w:p>
        </w:tc>
        <w:tc>
          <w:tcPr>
            <w:tcW w:w="2560" w:type="dxa"/>
            <w:vAlign w:val="bottom"/>
          </w:tcPr>
          <w:p>
            <w:pPr>
              <w:spacing w:after="0"/>
              <w:rPr>
                <w:sz w:val="20"/>
                <w:szCs w:val="20"/>
                <w:color w:val="auto"/>
              </w:rPr>
            </w:pPr>
          </w:p>
        </w:tc>
      </w:tr>
      <w:tr>
        <w:trPr>
          <w:trHeight w:val="346"/>
        </w:trPr>
        <w:tc>
          <w:tcPr>
            <w:tcW w:w="7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104</w:t>
            </w:r>
          </w:p>
        </w:tc>
        <w:tc>
          <w:tcPr>
            <w:tcW w:w="50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Cover Page Interactive Data File</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16"/>
        </w:trPr>
        <w:tc>
          <w:tcPr>
            <w:tcW w:w="720" w:type="dxa"/>
            <w:vAlign w:val="bottom"/>
          </w:tcPr>
          <w:p>
            <w:pPr>
              <w:spacing w:after="0"/>
              <w:rPr>
                <w:sz w:val="18"/>
                <w:szCs w:val="18"/>
                <w:color w:val="auto"/>
              </w:rPr>
            </w:pPr>
          </w:p>
        </w:tc>
        <w:tc>
          <w:tcPr>
            <w:tcW w:w="50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(formatted as Inline XBRL and</w:t>
            </w:r>
          </w:p>
        </w:tc>
        <w:tc>
          <w:tcPr>
            <w:tcW w:w="2560" w:type="dxa"/>
            <w:vAlign w:val="bottom"/>
          </w:tcPr>
          <w:p>
            <w:pPr>
              <w:spacing w:after="0"/>
              <w:rPr>
                <w:sz w:val="18"/>
                <w:szCs w:val="18"/>
                <w:color w:val="auto"/>
              </w:rPr>
            </w:pPr>
          </w:p>
        </w:tc>
      </w:tr>
      <w:tr>
        <w:trPr>
          <w:trHeight w:val="234"/>
        </w:trPr>
        <w:tc>
          <w:tcPr>
            <w:tcW w:w="720" w:type="dxa"/>
            <w:vAlign w:val="bottom"/>
          </w:tcPr>
          <w:p>
            <w:pPr>
              <w:spacing w:after="0"/>
              <w:rPr>
                <w:sz w:val="20"/>
                <w:szCs w:val="20"/>
                <w:color w:val="auto"/>
              </w:rPr>
            </w:pPr>
          </w:p>
        </w:tc>
        <w:tc>
          <w:tcPr>
            <w:tcW w:w="50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contained in Exhibit 101).</w:t>
            </w:r>
          </w:p>
        </w:tc>
        <w:tc>
          <w:tcPr>
            <w:tcW w:w="256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68580</wp:posOffset>
            </wp:positionV>
            <wp:extent cx="140589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64">
                      <a:extLst>
                        <a:ext uri="{28A0092B-C50C-407E-A947-70E740481C1C}"/>
                      </a:extLst>
                    </a:blip>
                    <a:srcRect/>
                    <a:stretch>
                      <a:fillRect/>
                    </a:stretch>
                  </pic:blipFill>
                  <pic:spPr bwMode="auto">
                    <a:xfrm>
                      <a:off x="0" y="0"/>
                      <a:ext cx="1405890" cy="8255"/>
                    </a:xfrm>
                    <a:prstGeom prst="rect">
                      <a:avLst/>
                    </a:prstGeom>
                    <a:noFill/>
                  </pic:spPr>
                </pic:pic>
              </a:graphicData>
            </a:graphic>
          </wp:anchor>
        </w:drawing>
      </w:r>
    </w:p>
    <w:p>
      <w:pPr>
        <w:spacing w:after="0" w:line="218" w:lineRule="exact"/>
        <w:rPr>
          <w:sz w:val="20"/>
          <w:szCs w:val="20"/>
          <w:color w:val="auto"/>
        </w:rPr>
      </w:pPr>
    </w:p>
    <w:p>
      <w:pPr>
        <w:ind w:left="380" w:hanging="330"/>
        <w:spacing w:after="0"/>
        <w:tabs>
          <w:tab w:leader="none" w:pos="3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50" w:lineRule="exact"/>
        <w:rPr>
          <w:sz w:val="20"/>
          <w:szCs w:val="20"/>
          <w:color w:val="auto"/>
        </w:rPr>
      </w:pPr>
    </w:p>
    <w:p>
      <w:pPr>
        <w:ind w:left="60"/>
        <w:spacing w:after="0"/>
        <w:tabs>
          <w:tab w:leader="none" w:pos="36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Furnished herewith.</w:t>
      </w:r>
    </w:p>
    <w:p>
      <w:pPr>
        <w:spacing w:after="0" w:line="200" w:lineRule="exact"/>
        <w:rPr>
          <w:sz w:val="20"/>
          <w:szCs w:val="20"/>
          <w:color w:val="auto"/>
        </w:rPr>
      </w:pPr>
    </w:p>
    <w:p>
      <w:pPr>
        <w:spacing w:after="0" w:line="24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2603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65">
                      <a:extLst>
                        <a:ext uri="{28A0092B-C50C-407E-A947-70E740481C1C}"/>
                      </a:extLst>
                    </a:blip>
                    <a:srcRect/>
                    <a:stretch>
                      <a:fillRect/>
                    </a:stretch>
                  </pic:blipFill>
                  <pic:spPr bwMode="auto">
                    <a:xfrm>
                      <a:off x="0" y="0"/>
                      <a:ext cx="5606415"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34" w:name="page135"/>
    <w:bookmarkEnd w:id="13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left="60" w:right="319"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48"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4400" w:type="dxa"/>
            <w:vAlign w:val="bottom"/>
          </w:tcPr>
          <w:p>
            <w:pPr>
              <w:spacing w:after="0"/>
              <w:rPr>
                <w:sz w:val="20"/>
                <w:szCs w:val="20"/>
                <w:color w:val="auto"/>
              </w:rPr>
            </w:pPr>
          </w:p>
        </w:tc>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BioXcel Therapeutics, Inc.</w:t>
            </w:r>
          </w:p>
        </w:tc>
      </w:tr>
      <w:tr>
        <w:trPr>
          <w:trHeight w:val="414"/>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Dated: May 12, 2025</w:t>
            </w:r>
          </w:p>
        </w:tc>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r>
      <w:tr>
        <w:trPr>
          <w:trHeight w:val="234"/>
        </w:trPr>
        <w:tc>
          <w:tcPr>
            <w:tcW w:w="4400" w:type="dxa"/>
            <w:vAlign w:val="bottom"/>
          </w:tcPr>
          <w:p>
            <w:pPr>
              <w:spacing w:after="0"/>
              <w:rPr>
                <w:sz w:val="20"/>
                <w:szCs w:val="20"/>
                <w:color w:val="auto"/>
              </w:rPr>
            </w:pPr>
          </w:p>
        </w:tc>
        <w:tc>
          <w:tcPr>
            <w:tcW w:w="44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Vimal Mehta</w:t>
            </w:r>
          </w:p>
        </w:tc>
      </w:tr>
      <w:tr>
        <w:trPr>
          <w:trHeight w:val="191"/>
        </w:trPr>
        <w:tc>
          <w:tcPr>
            <w:tcW w:w="4400" w:type="dxa"/>
            <w:vAlign w:val="bottom"/>
          </w:tcPr>
          <w:p>
            <w:pPr>
              <w:spacing w:after="0"/>
              <w:rPr>
                <w:sz w:val="16"/>
                <w:szCs w:val="16"/>
                <w:color w:val="auto"/>
              </w:rPr>
            </w:pPr>
          </w:p>
        </w:tc>
        <w:tc>
          <w:tcPr>
            <w:tcW w:w="44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Vimal Mehta</w:t>
            </w:r>
          </w:p>
        </w:tc>
      </w:tr>
      <w:tr>
        <w:trPr>
          <w:trHeight w:val="214"/>
        </w:trPr>
        <w:tc>
          <w:tcPr>
            <w:tcW w:w="440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236"/>
        </w:trPr>
        <w:tc>
          <w:tcPr>
            <w:tcW w:w="4400" w:type="dxa"/>
            <w:vAlign w:val="bottom"/>
          </w:tcPr>
          <w:p>
            <w:pPr>
              <w:spacing w:after="0"/>
              <w:rPr>
                <w:sz w:val="20"/>
                <w:szCs w:val="20"/>
                <w:color w:val="auto"/>
              </w:rPr>
            </w:pPr>
          </w:p>
        </w:tc>
        <w:tc>
          <w:tcPr>
            <w:tcW w:w="44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tc>
      </w:tr>
      <w:tr>
        <w:trPr>
          <w:trHeight w:val="630"/>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Dated: May 12, 2025</w:t>
            </w:r>
          </w:p>
        </w:tc>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r>
      <w:tr>
        <w:trPr>
          <w:trHeight w:val="234"/>
        </w:trPr>
        <w:tc>
          <w:tcPr>
            <w:tcW w:w="4400" w:type="dxa"/>
            <w:vAlign w:val="bottom"/>
          </w:tcPr>
          <w:p>
            <w:pPr>
              <w:spacing w:after="0"/>
              <w:rPr>
                <w:sz w:val="20"/>
                <w:szCs w:val="20"/>
                <w:color w:val="auto"/>
              </w:rPr>
            </w:pPr>
          </w:p>
        </w:tc>
        <w:tc>
          <w:tcPr>
            <w:tcW w:w="44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Richard Steinhart</w:t>
            </w:r>
          </w:p>
        </w:tc>
      </w:tr>
      <w:tr>
        <w:trPr>
          <w:trHeight w:val="191"/>
        </w:trPr>
        <w:tc>
          <w:tcPr>
            <w:tcW w:w="4400" w:type="dxa"/>
            <w:vAlign w:val="bottom"/>
          </w:tcPr>
          <w:p>
            <w:pPr>
              <w:spacing w:after="0"/>
              <w:rPr>
                <w:sz w:val="16"/>
                <w:szCs w:val="16"/>
                <w:color w:val="auto"/>
              </w:rPr>
            </w:pPr>
          </w:p>
        </w:tc>
        <w:tc>
          <w:tcPr>
            <w:tcW w:w="44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Richard Steinhart</w:t>
            </w:r>
          </w:p>
        </w:tc>
      </w:tr>
      <w:tr>
        <w:trPr>
          <w:trHeight w:val="214"/>
        </w:trPr>
        <w:tc>
          <w:tcPr>
            <w:tcW w:w="440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6"/>
        </w:trPr>
        <w:tc>
          <w:tcPr>
            <w:tcW w:w="4400" w:type="dxa"/>
            <w:vAlign w:val="bottom"/>
          </w:tcPr>
          <w:p>
            <w:pPr>
              <w:spacing w:after="0"/>
              <w:rPr>
                <w:sz w:val="20"/>
                <w:szCs w:val="20"/>
                <w:color w:val="auto"/>
              </w:rPr>
            </w:pPr>
          </w:p>
        </w:tc>
        <w:tc>
          <w:tcPr>
            <w:tcW w:w="44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171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66">
                      <a:extLst>
                        <a:ext uri="{28A0092B-C50C-407E-A947-70E740481C1C}"/>
                      </a:extLst>
                    </a:blip>
                    <a:srcRect/>
                    <a:stretch>
                      <a:fillRect/>
                    </a:stretch>
                  </pic:blipFill>
                  <pic:spPr bwMode="auto">
                    <a:xfrm>
                      <a:off x="0" y="0"/>
                      <a:ext cx="5606415"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35" w:name="page136"/>
    <w:bookmarkEnd w:id="135"/>
    <w:p>
      <w:pPr>
        <w:jc w:val="right"/>
        <w:ind w:right="219"/>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20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I, Vimal Mehta, Ph.D., certify that:</w:t>
      </w:r>
    </w:p>
    <w:p>
      <w:pPr>
        <w:spacing w:after="0" w:line="360" w:lineRule="exact"/>
        <w:rPr>
          <w:sz w:val="20"/>
          <w:szCs w:val="20"/>
          <w:color w:val="auto"/>
        </w:rPr>
      </w:pPr>
    </w:p>
    <w:p>
      <w:pPr>
        <w:ind w:left="540" w:right="459" w:hanging="331"/>
        <w:spacing w:after="0" w:line="282" w:lineRule="auto"/>
        <w:tabs>
          <w:tab w:leader="none" w:pos="54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quarterly period ended March 31, 2025 of BioXcel Therapeutics, Inc.;</w:t>
      </w:r>
    </w:p>
    <w:p>
      <w:pPr>
        <w:spacing w:after="0" w:line="134" w:lineRule="exact"/>
        <w:rPr>
          <w:rFonts w:ascii="Times New Roman" w:cs="Times New Roman" w:eastAsia="Times New Roman" w:hAnsi="Times New Roman"/>
          <w:sz w:val="18"/>
          <w:szCs w:val="18"/>
          <w:color w:val="auto"/>
        </w:rPr>
      </w:pPr>
    </w:p>
    <w:p>
      <w:pPr>
        <w:ind w:left="540" w:right="459" w:hanging="331"/>
        <w:spacing w:after="0" w:line="266" w:lineRule="auto"/>
        <w:tabs>
          <w:tab w:leader="none" w:pos="54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8" w:lineRule="exact"/>
        <w:rPr>
          <w:rFonts w:ascii="Times New Roman" w:cs="Times New Roman" w:eastAsia="Times New Roman" w:hAnsi="Times New Roman"/>
          <w:sz w:val="18"/>
          <w:szCs w:val="18"/>
          <w:color w:val="auto"/>
        </w:rPr>
      </w:pPr>
    </w:p>
    <w:p>
      <w:pPr>
        <w:ind w:left="540" w:right="359" w:hanging="331"/>
        <w:spacing w:after="0" w:line="266" w:lineRule="auto"/>
        <w:tabs>
          <w:tab w:leader="none" w:pos="54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8" w:lineRule="exact"/>
        <w:rPr>
          <w:rFonts w:ascii="Times New Roman" w:cs="Times New Roman" w:eastAsia="Times New Roman" w:hAnsi="Times New Roman"/>
          <w:sz w:val="18"/>
          <w:szCs w:val="18"/>
          <w:color w:val="auto"/>
        </w:rPr>
      </w:pPr>
    </w:p>
    <w:p>
      <w:pPr>
        <w:ind w:left="540" w:right="379" w:hanging="331"/>
        <w:spacing w:after="0" w:line="266" w:lineRule="auto"/>
        <w:tabs>
          <w:tab w:leader="none" w:pos="54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62" w:lineRule="exact"/>
        <w:rPr>
          <w:rFonts w:ascii="Times New Roman" w:cs="Times New Roman" w:eastAsia="Times New Roman" w:hAnsi="Times New Roman"/>
          <w:sz w:val="18"/>
          <w:szCs w:val="18"/>
          <w:color w:val="auto"/>
        </w:rPr>
      </w:pPr>
    </w:p>
    <w:p>
      <w:pPr>
        <w:ind w:left="1180" w:right="239" w:hanging="323"/>
        <w:spacing w:after="0" w:line="261" w:lineRule="auto"/>
        <w:tabs>
          <w:tab w:leader="none" w:pos="1180"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2" w:lineRule="exact"/>
        <w:rPr>
          <w:rFonts w:ascii="Times New Roman" w:cs="Times New Roman" w:eastAsia="Times New Roman" w:hAnsi="Times New Roman"/>
          <w:sz w:val="18"/>
          <w:szCs w:val="18"/>
          <w:color w:val="auto"/>
        </w:rPr>
      </w:pPr>
    </w:p>
    <w:p>
      <w:pPr>
        <w:ind w:left="1180" w:right="239" w:hanging="323"/>
        <w:spacing w:after="0" w:line="261" w:lineRule="auto"/>
        <w:tabs>
          <w:tab w:leader="none" w:pos="1180"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2" w:lineRule="exact"/>
        <w:rPr>
          <w:rFonts w:ascii="Times New Roman" w:cs="Times New Roman" w:eastAsia="Times New Roman" w:hAnsi="Times New Roman"/>
          <w:sz w:val="18"/>
          <w:szCs w:val="18"/>
          <w:color w:val="auto"/>
        </w:rPr>
      </w:pPr>
    </w:p>
    <w:p>
      <w:pPr>
        <w:ind w:left="1180" w:right="339" w:hanging="323"/>
        <w:spacing w:after="0" w:line="266" w:lineRule="auto"/>
        <w:tabs>
          <w:tab w:leader="none" w:pos="1180"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8" w:lineRule="exact"/>
        <w:rPr>
          <w:rFonts w:ascii="Times New Roman" w:cs="Times New Roman" w:eastAsia="Times New Roman" w:hAnsi="Times New Roman"/>
          <w:sz w:val="18"/>
          <w:szCs w:val="18"/>
          <w:color w:val="auto"/>
        </w:rPr>
      </w:pPr>
    </w:p>
    <w:p>
      <w:pPr>
        <w:ind w:left="1180" w:right="279" w:hanging="323"/>
        <w:spacing w:after="0" w:line="261" w:lineRule="auto"/>
        <w:tabs>
          <w:tab w:leader="none" w:pos="1180"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6" w:lineRule="exact"/>
        <w:rPr>
          <w:rFonts w:ascii="Times New Roman" w:cs="Times New Roman" w:eastAsia="Times New Roman" w:hAnsi="Times New Roman"/>
          <w:sz w:val="18"/>
          <w:szCs w:val="18"/>
          <w:color w:val="auto"/>
        </w:rPr>
      </w:pPr>
    </w:p>
    <w:p>
      <w:pPr>
        <w:ind w:left="540" w:right="539" w:hanging="331"/>
        <w:spacing w:after="0" w:line="266" w:lineRule="auto"/>
        <w:tabs>
          <w:tab w:leader="none" w:pos="54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8" w:lineRule="exact"/>
        <w:rPr>
          <w:rFonts w:ascii="Times New Roman" w:cs="Times New Roman" w:eastAsia="Times New Roman" w:hAnsi="Times New Roman"/>
          <w:sz w:val="18"/>
          <w:szCs w:val="18"/>
          <w:color w:val="auto"/>
        </w:rPr>
      </w:pPr>
    </w:p>
    <w:p>
      <w:pPr>
        <w:ind w:left="1180" w:right="479" w:hanging="323"/>
        <w:spacing w:after="0" w:line="266" w:lineRule="auto"/>
        <w:tabs>
          <w:tab w:leader="none" w:pos="1180"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8" w:lineRule="exact"/>
        <w:rPr>
          <w:rFonts w:ascii="Times New Roman" w:cs="Times New Roman" w:eastAsia="Times New Roman" w:hAnsi="Times New Roman"/>
          <w:sz w:val="18"/>
          <w:szCs w:val="18"/>
          <w:color w:val="auto"/>
        </w:rPr>
      </w:pPr>
    </w:p>
    <w:p>
      <w:pPr>
        <w:ind w:left="1180" w:right="259" w:hanging="323"/>
        <w:spacing w:after="0" w:line="282" w:lineRule="auto"/>
        <w:tabs>
          <w:tab w:leader="none" w:pos="1180"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75" w:lineRule="exact"/>
        <w:rPr>
          <w:sz w:val="20"/>
          <w:szCs w:val="20"/>
          <w:color w:val="auto"/>
        </w:rPr>
      </w:pPr>
    </w:p>
    <w:tbl>
      <w:tblPr>
        <w:tblLayout w:type="fixed"/>
        <w:tblInd w:w="200" w:type="dxa"/>
        <w:tblCellMar>
          <w:top w:w="0" w:type="dxa"/>
          <w:left w:w="0" w:type="dxa"/>
          <w:bottom w:w="0" w:type="dxa"/>
          <w:right w:w="0" w:type="dxa"/>
        </w:tblCellMar>
      </w:tblPr>
      <w:tr>
        <w:trPr>
          <w:trHeight w:val="234"/>
        </w:trPr>
        <w:tc>
          <w:tcPr>
            <w:tcW w:w="2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Date: May 12, 2025</w:t>
            </w:r>
          </w:p>
        </w:tc>
        <w:tc>
          <w:tcPr>
            <w:tcW w:w="5720" w:type="dxa"/>
            <w:vAlign w:val="bottom"/>
            <w:gridSpan w:val="2"/>
          </w:tcPr>
          <w:p>
            <w:pPr>
              <w:ind w:left="1420"/>
              <w:spacing w:after="0"/>
              <w:rPr>
                <w:sz w:val="20"/>
                <w:szCs w:val="20"/>
                <w:color w:val="auto"/>
              </w:rPr>
            </w:pPr>
            <w:r>
              <w:rPr>
                <w:rFonts w:ascii="Times New Roman" w:cs="Times New Roman" w:eastAsia="Times New Roman" w:hAnsi="Times New Roman"/>
                <w:sz w:val="18"/>
                <w:szCs w:val="18"/>
                <w:color w:val="auto"/>
              </w:rPr>
              <w:t>By:   /s/ Vimal Mehta</w:t>
            </w:r>
          </w:p>
        </w:tc>
      </w:tr>
      <w:tr>
        <w:trPr>
          <w:trHeight w:val="191"/>
        </w:trPr>
        <w:tc>
          <w:tcPr>
            <w:tcW w:w="20" w:type="dxa"/>
            <w:vAlign w:val="bottom"/>
          </w:tcPr>
          <w:p>
            <w:pPr>
              <w:spacing w:after="0"/>
              <w:rPr>
                <w:sz w:val="16"/>
                <w:szCs w:val="16"/>
                <w:color w:val="auto"/>
              </w:rPr>
            </w:pPr>
          </w:p>
        </w:tc>
        <w:tc>
          <w:tcPr>
            <w:tcW w:w="286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37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Vimal Mehta, Ph.D.</w:t>
            </w:r>
          </w:p>
        </w:tc>
      </w:tr>
      <w:tr>
        <w:trPr>
          <w:trHeight w:val="216"/>
        </w:trPr>
        <w:tc>
          <w:tcPr>
            <w:tcW w:w="2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234"/>
        </w:trPr>
        <w:tc>
          <w:tcPr>
            <w:tcW w:w="2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776"/>
        </w:trPr>
        <w:tc>
          <w:tcPr>
            <w:tcW w:w="20" w:type="dxa"/>
            <w:vAlign w:val="bottom"/>
          </w:tcPr>
          <w:p>
            <w:pPr>
              <w:spacing w:after="0"/>
              <w:rPr>
                <w:sz w:val="24"/>
                <w:szCs w:val="24"/>
                <w:color w:val="auto"/>
              </w:rPr>
            </w:pPr>
          </w:p>
        </w:tc>
        <w:tc>
          <w:tcPr>
            <w:tcW w:w="286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tcPr>
          <w:p>
            <w:pPr>
              <w:spacing w:after="0"/>
              <w:rPr>
                <w:sz w:val="24"/>
                <w:szCs w:val="24"/>
                <w:color w:val="auto"/>
              </w:rPr>
            </w:pPr>
          </w:p>
        </w:tc>
        <w:tc>
          <w:tcPr>
            <w:tcW w:w="378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17" w:right="1440" w:bottom="1440" w:gutter="0" w:footer="0" w:header="0"/>
        </w:sectPr>
      </w:pPr>
    </w:p>
    <w:bookmarkStart w:id="136" w:name="page137"/>
    <w:bookmarkEnd w:id="136"/>
    <w:p>
      <w:pPr>
        <w:jc w:val="right"/>
        <w:ind w:right="219"/>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22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I, Richard Steinhart, certify that:</w:t>
      </w:r>
    </w:p>
    <w:p>
      <w:pPr>
        <w:spacing w:after="0" w:line="360" w:lineRule="exact"/>
        <w:rPr>
          <w:sz w:val="20"/>
          <w:szCs w:val="20"/>
          <w:color w:val="auto"/>
        </w:rPr>
      </w:pPr>
    </w:p>
    <w:p>
      <w:pPr>
        <w:ind w:left="540" w:right="459" w:hanging="331"/>
        <w:spacing w:after="0" w:line="282" w:lineRule="auto"/>
        <w:tabs>
          <w:tab w:leader="none" w:pos="54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quarterly period ended March 31, 2025 of BioXcel Therapeutics, Inc.;</w:t>
      </w:r>
    </w:p>
    <w:p>
      <w:pPr>
        <w:spacing w:after="0" w:line="134" w:lineRule="exact"/>
        <w:rPr>
          <w:rFonts w:ascii="Times New Roman" w:cs="Times New Roman" w:eastAsia="Times New Roman" w:hAnsi="Times New Roman"/>
          <w:sz w:val="18"/>
          <w:szCs w:val="18"/>
          <w:color w:val="auto"/>
        </w:rPr>
      </w:pPr>
    </w:p>
    <w:p>
      <w:pPr>
        <w:ind w:left="540" w:right="459" w:hanging="331"/>
        <w:spacing w:after="0" w:line="266" w:lineRule="auto"/>
        <w:tabs>
          <w:tab w:leader="none" w:pos="54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8" w:lineRule="exact"/>
        <w:rPr>
          <w:rFonts w:ascii="Times New Roman" w:cs="Times New Roman" w:eastAsia="Times New Roman" w:hAnsi="Times New Roman"/>
          <w:sz w:val="18"/>
          <w:szCs w:val="18"/>
          <w:color w:val="auto"/>
        </w:rPr>
      </w:pPr>
    </w:p>
    <w:p>
      <w:pPr>
        <w:ind w:left="540" w:right="359" w:hanging="331"/>
        <w:spacing w:after="0" w:line="266" w:lineRule="auto"/>
        <w:tabs>
          <w:tab w:leader="none" w:pos="54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2" w:lineRule="exact"/>
        <w:rPr>
          <w:rFonts w:ascii="Times New Roman" w:cs="Times New Roman" w:eastAsia="Times New Roman" w:hAnsi="Times New Roman"/>
          <w:sz w:val="18"/>
          <w:szCs w:val="18"/>
          <w:color w:val="auto"/>
        </w:rPr>
      </w:pPr>
    </w:p>
    <w:p>
      <w:pPr>
        <w:ind w:left="540" w:right="379" w:hanging="331"/>
        <w:spacing w:after="0" w:line="266" w:lineRule="auto"/>
        <w:tabs>
          <w:tab w:leader="none" w:pos="54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8" w:lineRule="exact"/>
        <w:rPr>
          <w:rFonts w:ascii="Times New Roman" w:cs="Times New Roman" w:eastAsia="Times New Roman" w:hAnsi="Times New Roman"/>
          <w:sz w:val="18"/>
          <w:szCs w:val="18"/>
          <w:color w:val="auto"/>
        </w:rPr>
      </w:pPr>
    </w:p>
    <w:p>
      <w:pPr>
        <w:ind w:left="1180" w:right="239" w:hanging="323"/>
        <w:spacing w:after="0" w:line="261" w:lineRule="auto"/>
        <w:tabs>
          <w:tab w:leader="none" w:pos="1180"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2" w:lineRule="exact"/>
        <w:rPr>
          <w:rFonts w:ascii="Times New Roman" w:cs="Times New Roman" w:eastAsia="Times New Roman" w:hAnsi="Times New Roman"/>
          <w:sz w:val="18"/>
          <w:szCs w:val="18"/>
          <w:color w:val="auto"/>
        </w:rPr>
      </w:pPr>
    </w:p>
    <w:p>
      <w:pPr>
        <w:ind w:left="1180" w:right="239" w:hanging="323"/>
        <w:spacing w:after="0" w:line="261" w:lineRule="auto"/>
        <w:tabs>
          <w:tab w:leader="none" w:pos="1180"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2" w:lineRule="exact"/>
        <w:rPr>
          <w:rFonts w:ascii="Times New Roman" w:cs="Times New Roman" w:eastAsia="Times New Roman" w:hAnsi="Times New Roman"/>
          <w:sz w:val="18"/>
          <w:szCs w:val="18"/>
          <w:color w:val="auto"/>
        </w:rPr>
      </w:pPr>
    </w:p>
    <w:p>
      <w:pPr>
        <w:ind w:left="1180" w:right="339" w:hanging="323"/>
        <w:spacing w:after="0" w:line="266" w:lineRule="auto"/>
        <w:tabs>
          <w:tab w:leader="none" w:pos="1180"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2" w:lineRule="exact"/>
        <w:rPr>
          <w:rFonts w:ascii="Times New Roman" w:cs="Times New Roman" w:eastAsia="Times New Roman" w:hAnsi="Times New Roman"/>
          <w:sz w:val="18"/>
          <w:szCs w:val="18"/>
          <w:color w:val="auto"/>
        </w:rPr>
      </w:pPr>
    </w:p>
    <w:p>
      <w:pPr>
        <w:ind w:left="1180" w:right="279" w:hanging="323"/>
        <w:spacing w:after="0" w:line="261" w:lineRule="auto"/>
        <w:tabs>
          <w:tab w:leader="none" w:pos="1180"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52" w:lineRule="exact"/>
        <w:rPr>
          <w:rFonts w:ascii="Times New Roman" w:cs="Times New Roman" w:eastAsia="Times New Roman" w:hAnsi="Times New Roman"/>
          <w:sz w:val="18"/>
          <w:szCs w:val="18"/>
          <w:color w:val="auto"/>
        </w:rPr>
      </w:pPr>
    </w:p>
    <w:p>
      <w:pPr>
        <w:ind w:left="540" w:right="539" w:hanging="331"/>
        <w:spacing w:after="0" w:line="266" w:lineRule="auto"/>
        <w:tabs>
          <w:tab w:leader="none" w:pos="54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8" w:lineRule="exact"/>
        <w:rPr>
          <w:rFonts w:ascii="Times New Roman" w:cs="Times New Roman" w:eastAsia="Times New Roman" w:hAnsi="Times New Roman"/>
          <w:sz w:val="18"/>
          <w:szCs w:val="18"/>
          <w:color w:val="auto"/>
        </w:rPr>
      </w:pPr>
    </w:p>
    <w:p>
      <w:pPr>
        <w:ind w:left="1180" w:right="479" w:hanging="323"/>
        <w:spacing w:after="0" w:line="266" w:lineRule="auto"/>
        <w:tabs>
          <w:tab w:leader="none" w:pos="1180"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8" w:lineRule="exact"/>
        <w:rPr>
          <w:rFonts w:ascii="Times New Roman" w:cs="Times New Roman" w:eastAsia="Times New Roman" w:hAnsi="Times New Roman"/>
          <w:sz w:val="18"/>
          <w:szCs w:val="18"/>
          <w:color w:val="auto"/>
        </w:rPr>
      </w:pPr>
    </w:p>
    <w:p>
      <w:pPr>
        <w:ind w:left="1180" w:right="259" w:hanging="323"/>
        <w:spacing w:after="0" w:line="282" w:lineRule="auto"/>
        <w:tabs>
          <w:tab w:leader="none" w:pos="1180"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tbl>
      <w:tblPr>
        <w:tblLayout w:type="fixed"/>
        <w:tblInd w:w="200" w:type="dxa"/>
        <w:tblCellMar>
          <w:top w:w="0" w:type="dxa"/>
          <w:left w:w="0" w:type="dxa"/>
          <w:bottom w:w="0" w:type="dxa"/>
          <w:right w:w="0" w:type="dxa"/>
        </w:tblCellMar>
      </w:tblPr>
      <w:tr>
        <w:trPr>
          <w:trHeight w:val="234"/>
        </w:trPr>
        <w:tc>
          <w:tcPr>
            <w:tcW w:w="2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Date: May 12, 2025</w:t>
            </w:r>
          </w:p>
        </w:tc>
        <w:tc>
          <w:tcPr>
            <w:tcW w:w="5720" w:type="dxa"/>
            <w:vAlign w:val="bottom"/>
            <w:gridSpan w:val="2"/>
          </w:tcPr>
          <w:p>
            <w:pPr>
              <w:ind w:left="1420"/>
              <w:spacing w:after="0"/>
              <w:rPr>
                <w:sz w:val="20"/>
                <w:szCs w:val="20"/>
                <w:color w:val="auto"/>
              </w:rPr>
            </w:pPr>
            <w:r>
              <w:rPr>
                <w:rFonts w:ascii="Times New Roman" w:cs="Times New Roman" w:eastAsia="Times New Roman" w:hAnsi="Times New Roman"/>
                <w:sz w:val="18"/>
                <w:szCs w:val="18"/>
                <w:color w:val="auto"/>
              </w:rPr>
              <w:t>By: /s/ Richard Steinhart</w:t>
            </w:r>
          </w:p>
        </w:tc>
      </w:tr>
      <w:tr>
        <w:trPr>
          <w:trHeight w:val="191"/>
        </w:trPr>
        <w:tc>
          <w:tcPr>
            <w:tcW w:w="20" w:type="dxa"/>
            <w:vAlign w:val="bottom"/>
          </w:tcPr>
          <w:p>
            <w:pPr>
              <w:spacing w:after="0"/>
              <w:rPr>
                <w:sz w:val="16"/>
                <w:szCs w:val="16"/>
                <w:color w:val="auto"/>
              </w:rPr>
            </w:pPr>
          </w:p>
        </w:tc>
        <w:tc>
          <w:tcPr>
            <w:tcW w:w="286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394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Richard Steinhart</w:t>
            </w:r>
          </w:p>
        </w:tc>
      </w:tr>
      <w:tr>
        <w:trPr>
          <w:trHeight w:val="216"/>
        </w:trPr>
        <w:tc>
          <w:tcPr>
            <w:tcW w:w="2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4"/>
        </w:trPr>
        <w:tc>
          <w:tcPr>
            <w:tcW w:w="2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(Principal Financial Officer)</w:t>
            </w:r>
          </w:p>
        </w:tc>
      </w:tr>
      <w:tr>
        <w:trPr>
          <w:trHeight w:val="763"/>
        </w:trPr>
        <w:tc>
          <w:tcPr>
            <w:tcW w:w="20" w:type="dxa"/>
            <w:vAlign w:val="bottom"/>
          </w:tcPr>
          <w:p>
            <w:pPr>
              <w:spacing w:after="0"/>
              <w:rPr>
                <w:sz w:val="24"/>
                <w:szCs w:val="24"/>
                <w:color w:val="auto"/>
              </w:rPr>
            </w:pPr>
          </w:p>
        </w:tc>
        <w:tc>
          <w:tcPr>
            <w:tcW w:w="286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tcPr>
          <w:p>
            <w:pPr>
              <w:spacing w:after="0"/>
              <w:rPr>
                <w:sz w:val="24"/>
                <w:szCs w:val="24"/>
                <w:color w:val="auto"/>
              </w:rPr>
            </w:pPr>
          </w:p>
        </w:tc>
        <w:tc>
          <w:tcPr>
            <w:tcW w:w="394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17" w:right="1440" w:bottom="1440" w:gutter="0" w:footer="0" w:header="0"/>
        </w:sectPr>
      </w:pPr>
    </w:p>
    <w:bookmarkStart w:id="137" w:name="page138"/>
    <w:bookmarkEnd w:id="137"/>
    <w:p>
      <w:pPr>
        <w:jc w:val="right"/>
        <w:ind w:right="219"/>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ind w:left="2080"/>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w:t>
      </w:r>
    </w:p>
    <w:p>
      <w:pPr>
        <w:spacing w:after="0" w:line="2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200" w:right="379" w:firstLine="648"/>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on Form 10-Q of BioXcel Therapeutics, Inc. (the “Company”) for the quarterly period ended March 31, 2025, as filed with the Securities and Exchange Commission on the date hereof (the “Report”), the undersigned hereby certifies, pursuant to 18 U.S.C. Section 1350, as adopted pursuant to Section 906 of the Sarbanes-Oxley Act of 2002, that to the best of his knowledge:</w:t>
      </w:r>
    </w:p>
    <w:p>
      <w:pPr>
        <w:spacing w:after="0" w:line="180" w:lineRule="exact"/>
        <w:rPr>
          <w:sz w:val="20"/>
          <w:szCs w:val="20"/>
          <w:color w:val="auto"/>
        </w:rPr>
      </w:pPr>
    </w:p>
    <w:p>
      <w:pPr>
        <w:ind w:left="1180" w:right="759" w:hanging="323"/>
        <w:spacing w:after="0" w:line="282" w:lineRule="auto"/>
        <w:tabs>
          <w:tab w:leader="none" w:pos="11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Section 15(d) of the Securities Exchange Act of 1934, as amended; and</w:t>
      </w:r>
    </w:p>
    <w:p>
      <w:pPr>
        <w:spacing w:after="0" w:line="161" w:lineRule="exact"/>
        <w:rPr>
          <w:rFonts w:ascii="Times New Roman" w:cs="Times New Roman" w:eastAsia="Times New Roman" w:hAnsi="Times New Roman"/>
          <w:sz w:val="18"/>
          <w:szCs w:val="18"/>
          <w:color w:val="auto"/>
        </w:rPr>
      </w:pPr>
    </w:p>
    <w:p>
      <w:pPr>
        <w:ind w:left="1180" w:right="499" w:hanging="323"/>
        <w:spacing w:after="0" w:line="282" w:lineRule="auto"/>
        <w:tabs>
          <w:tab w:leader="none" w:pos="11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86" w:lineRule="exact"/>
        <w:rPr>
          <w:sz w:val="20"/>
          <w:szCs w:val="20"/>
          <w:color w:val="auto"/>
        </w:rPr>
      </w:pPr>
    </w:p>
    <w:tbl>
      <w:tblPr>
        <w:tblLayout w:type="fixed"/>
        <w:tblInd w:w="200" w:type="dxa"/>
        <w:tblCellMar>
          <w:top w:w="0" w:type="dxa"/>
          <w:left w:w="0" w:type="dxa"/>
          <w:bottom w:w="0" w:type="dxa"/>
          <w:right w:w="0" w:type="dxa"/>
        </w:tblCellMar>
      </w:tblPr>
      <w:tr>
        <w:trPr>
          <w:trHeight w:val="234"/>
        </w:trPr>
        <w:tc>
          <w:tcPr>
            <w:tcW w:w="2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Date: May 12, 2025</w:t>
            </w:r>
          </w:p>
        </w:tc>
        <w:tc>
          <w:tcPr>
            <w:tcW w:w="5820" w:type="dxa"/>
            <w:vAlign w:val="bottom"/>
            <w:gridSpan w:val="2"/>
          </w:tcPr>
          <w:p>
            <w:pPr>
              <w:ind w:left="1340"/>
              <w:spacing w:after="0"/>
              <w:rPr>
                <w:sz w:val="20"/>
                <w:szCs w:val="20"/>
                <w:color w:val="auto"/>
              </w:rPr>
            </w:pPr>
            <w:r>
              <w:rPr>
                <w:rFonts w:ascii="Times New Roman" w:cs="Times New Roman" w:eastAsia="Times New Roman" w:hAnsi="Times New Roman"/>
                <w:sz w:val="18"/>
                <w:szCs w:val="18"/>
                <w:color w:val="auto"/>
              </w:rPr>
              <w:t>By:  /s/ Vimal Mehta</w:t>
            </w:r>
          </w:p>
        </w:tc>
      </w:tr>
      <w:tr>
        <w:trPr>
          <w:trHeight w:val="191"/>
        </w:trPr>
        <w:tc>
          <w:tcPr>
            <w:tcW w:w="20" w:type="dxa"/>
            <w:vAlign w:val="bottom"/>
          </w:tcPr>
          <w:p>
            <w:pPr>
              <w:spacing w:after="0"/>
              <w:rPr>
                <w:sz w:val="16"/>
                <w:szCs w:val="16"/>
                <w:color w:val="auto"/>
              </w:rPr>
            </w:pPr>
          </w:p>
        </w:tc>
        <w:tc>
          <w:tcPr>
            <w:tcW w:w="276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406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Vimal Mehta, Ph.D.</w:t>
            </w:r>
          </w:p>
        </w:tc>
      </w:tr>
      <w:tr>
        <w:trPr>
          <w:trHeight w:val="216"/>
        </w:trPr>
        <w:tc>
          <w:tcPr>
            <w:tcW w:w="2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234"/>
        </w:trPr>
        <w:tc>
          <w:tcPr>
            <w:tcW w:w="2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763"/>
        </w:trPr>
        <w:tc>
          <w:tcPr>
            <w:tcW w:w="20" w:type="dxa"/>
            <w:vAlign w:val="bottom"/>
          </w:tcPr>
          <w:p>
            <w:pPr>
              <w:spacing w:after="0"/>
              <w:rPr>
                <w:sz w:val="24"/>
                <w:szCs w:val="24"/>
                <w:color w:val="auto"/>
              </w:rPr>
            </w:pPr>
          </w:p>
        </w:tc>
        <w:tc>
          <w:tcPr>
            <w:tcW w:w="276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tcPr>
          <w:p>
            <w:pPr>
              <w:spacing w:after="0"/>
              <w:rPr>
                <w:sz w:val="24"/>
                <w:szCs w:val="24"/>
                <w:color w:val="auto"/>
              </w:rPr>
            </w:pPr>
          </w:p>
        </w:tc>
        <w:tc>
          <w:tcPr>
            <w:tcW w:w="406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17" w:right="1440" w:bottom="1440" w:gutter="0" w:footer="0" w:header="0"/>
        </w:sectPr>
      </w:pPr>
    </w:p>
    <w:bookmarkStart w:id="138" w:name="page139"/>
    <w:bookmarkEnd w:id="138"/>
    <w:p>
      <w:pPr>
        <w:jc w:val="right"/>
        <w:ind w:right="219"/>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ind w:left="2080"/>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w:t>
      </w:r>
    </w:p>
    <w:p>
      <w:pPr>
        <w:spacing w:after="0" w:line="2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200" w:right="379" w:firstLine="648"/>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on Form 10-Q of BioXcel Therapeutics, Inc. (the “Company”) for the quarterly period ended March 31, 2025, as filed with the Securities and Exchange Commission on the date hereof (the “Report”), the undersigned hereby certifies, pursuant to 18 U.S.C. Section 1350, as adopted pursuant to Section 906 of the Sarbanes-Oxley Act of 2002, that to the best of his knowledge:</w:t>
      </w:r>
    </w:p>
    <w:p>
      <w:pPr>
        <w:spacing w:after="0" w:line="180" w:lineRule="exact"/>
        <w:rPr>
          <w:sz w:val="20"/>
          <w:szCs w:val="20"/>
          <w:color w:val="auto"/>
        </w:rPr>
      </w:pPr>
    </w:p>
    <w:p>
      <w:pPr>
        <w:ind w:left="1180" w:right="759" w:hanging="323"/>
        <w:spacing w:after="0" w:line="282" w:lineRule="auto"/>
        <w:tabs>
          <w:tab w:leader="none" w:pos="11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Section 15(d) of the Securities Exchange Act of 1934, as amended; and</w:t>
      </w:r>
    </w:p>
    <w:p>
      <w:pPr>
        <w:spacing w:after="0" w:line="161" w:lineRule="exact"/>
        <w:rPr>
          <w:rFonts w:ascii="Times New Roman" w:cs="Times New Roman" w:eastAsia="Times New Roman" w:hAnsi="Times New Roman"/>
          <w:sz w:val="18"/>
          <w:szCs w:val="18"/>
          <w:color w:val="auto"/>
        </w:rPr>
      </w:pPr>
    </w:p>
    <w:p>
      <w:pPr>
        <w:ind w:left="1180" w:right="499" w:hanging="323"/>
        <w:spacing w:after="0" w:line="282" w:lineRule="auto"/>
        <w:tabs>
          <w:tab w:leader="none" w:pos="11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45" w:lineRule="exact"/>
        <w:rPr>
          <w:sz w:val="20"/>
          <w:szCs w:val="20"/>
          <w:color w:val="auto"/>
        </w:rPr>
      </w:pPr>
    </w:p>
    <w:tbl>
      <w:tblPr>
        <w:tblLayout w:type="fixed"/>
        <w:tblInd w:w="200" w:type="dxa"/>
        <w:tblCellMar>
          <w:top w:w="0" w:type="dxa"/>
          <w:left w:w="0" w:type="dxa"/>
          <w:bottom w:w="0" w:type="dxa"/>
          <w:right w:w="0" w:type="dxa"/>
        </w:tblCellMar>
      </w:tblPr>
      <w:tr>
        <w:trPr>
          <w:trHeight w:val="234"/>
        </w:trPr>
        <w:tc>
          <w:tcPr>
            <w:tcW w:w="2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Date: May 12, 2025</w:t>
            </w:r>
          </w:p>
        </w:tc>
        <w:tc>
          <w:tcPr>
            <w:tcW w:w="5720" w:type="dxa"/>
            <w:vAlign w:val="bottom"/>
            <w:gridSpan w:val="2"/>
          </w:tcPr>
          <w:p>
            <w:pPr>
              <w:ind w:left="1420"/>
              <w:spacing w:after="0"/>
              <w:rPr>
                <w:sz w:val="20"/>
                <w:szCs w:val="20"/>
                <w:color w:val="auto"/>
              </w:rPr>
            </w:pPr>
            <w:r>
              <w:rPr>
                <w:rFonts w:ascii="Times New Roman" w:cs="Times New Roman" w:eastAsia="Times New Roman" w:hAnsi="Times New Roman"/>
                <w:sz w:val="18"/>
                <w:szCs w:val="18"/>
                <w:color w:val="auto"/>
              </w:rPr>
              <w:t>By: /s/ Richard Steinhart</w:t>
            </w:r>
          </w:p>
        </w:tc>
      </w:tr>
      <w:tr>
        <w:trPr>
          <w:trHeight w:val="191"/>
        </w:trPr>
        <w:tc>
          <w:tcPr>
            <w:tcW w:w="20" w:type="dxa"/>
            <w:vAlign w:val="bottom"/>
          </w:tcPr>
          <w:p>
            <w:pPr>
              <w:spacing w:after="0"/>
              <w:rPr>
                <w:sz w:val="16"/>
                <w:szCs w:val="16"/>
                <w:color w:val="auto"/>
              </w:rPr>
            </w:pPr>
          </w:p>
        </w:tc>
        <w:tc>
          <w:tcPr>
            <w:tcW w:w="286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394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Richard Steinhart</w:t>
            </w:r>
          </w:p>
        </w:tc>
      </w:tr>
      <w:tr>
        <w:trPr>
          <w:trHeight w:val="216"/>
        </w:trPr>
        <w:tc>
          <w:tcPr>
            <w:tcW w:w="2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4"/>
        </w:trPr>
        <w:tc>
          <w:tcPr>
            <w:tcW w:w="2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(Principal Financial Officer)</w:t>
            </w:r>
          </w:p>
        </w:tc>
      </w:tr>
      <w:tr>
        <w:trPr>
          <w:trHeight w:val="763"/>
        </w:trPr>
        <w:tc>
          <w:tcPr>
            <w:tcW w:w="20" w:type="dxa"/>
            <w:vAlign w:val="bottom"/>
          </w:tcPr>
          <w:p>
            <w:pPr>
              <w:spacing w:after="0"/>
              <w:rPr>
                <w:sz w:val="24"/>
                <w:szCs w:val="24"/>
                <w:color w:val="auto"/>
              </w:rPr>
            </w:pPr>
          </w:p>
        </w:tc>
        <w:tc>
          <w:tcPr>
            <w:tcW w:w="286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tcPr>
          <w:p>
            <w:pPr>
              <w:spacing w:after="0"/>
              <w:rPr>
                <w:sz w:val="24"/>
                <w:szCs w:val="24"/>
                <w:color w:val="auto"/>
              </w:rPr>
            </w:pPr>
          </w:p>
        </w:tc>
        <w:tc>
          <w:tcPr>
            <w:tcW w:w="394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9019"/>
      </w:cols>
      <w:pgMar w:left="1440" w:top="11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Unicode MS">
    <w:panose1 w:val="020B0604020202020204"/>
    <w:charset w:val="81"/>
    <w:family w:val="swiss"/>
    <w:pitch w:val="variable"/>
    <w:sig w:usb0="FFFFFFFF" w:usb1="E9FFFFFF" w:usb2="0000003F" w:usb3="00000000" w:csb0="603F01FF" w:csb1="FFFF0000"/>
  </w:font>
</w:fonts>
</file>

<file path=word/numbering.xml><?xml version="1.0" encoding="utf-8"?>
<w:numbering xmlns:w="http://schemas.openxmlformats.org/wordprocessingml/2006/main">
  <w:abstractNum w:abstractNumId="0">
    <w:nsid w:val="2CA88611"/>
    <w:multiLevelType w:val="hybridMultilevel"/>
    <w:lvl w:ilvl="0">
      <w:lvlJc w:val="left"/>
      <w:lvlText w:val="☒"/>
      <w:numFmt w:val="bullet"/>
      <w:start w:val="1"/>
    </w:lvl>
  </w:abstractNum>
  <w:abstractNum w:abstractNumId="1">
    <w:nsid w:val="836C40E"/>
    <w:multiLevelType w:val="hybridMultilevel"/>
    <w:lvl w:ilvl="0">
      <w:lvlJc w:val="left"/>
      <w:lvlText w:val="☐"/>
      <w:numFmt w:val="bullet"/>
      <w:start w:val="1"/>
    </w:lvl>
  </w:abstractNum>
  <w:abstractNum w:abstractNumId="2">
    <w:nsid w:val="2901D82"/>
    <w:multiLevelType w:val="hybridMultilevel"/>
    <w:lvl w:ilvl="0">
      <w:lvlJc w:val="left"/>
      <w:lvlText w:val="●"/>
      <w:numFmt w:val="bullet"/>
      <w:start w:val="1"/>
    </w:lvl>
  </w:abstractNum>
  <w:abstractNum w:abstractNumId="3">
    <w:nsid w:val="3A95F874"/>
    <w:multiLevelType w:val="hybridMultilevel"/>
    <w:lvl w:ilvl="0">
      <w:lvlJc w:val="left"/>
      <w:lvlText w:val="/"/>
      <w:numFmt w:val="bullet"/>
      <w:start w:val="1"/>
    </w:lvl>
  </w:abstractNum>
  <w:abstractNum w:abstractNumId="4">
    <w:nsid w:val="8138641"/>
    <w:multiLevelType w:val="hybridMultilevel"/>
    <w:lvl w:ilvl="0">
      <w:lvlJc w:val="left"/>
      <w:lvlText w:val="●"/>
      <w:numFmt w:val="bullet"/>
      <w:start w:val="1"/>
    </w:lvl>
  </w:abstractNum>
  <w:abstractNum w:abstractNumId="5">
    <w:nsid w:val="1E7FF521"/>
    <w:multiLevelType w:val="hybridMultilevel"/>
    <w:lvl w:ilvl="0">
      <w:lvlJc w:val="left"/>
      <w:lvlText w:val="●"/>
      <w:numFmt w:val="bullet"/>
      <w:start w:val="1"/>
    </w:lvl>
  </w:abstractNum>
  <w:abstractNum w:abstractNumId="6">
    <w:nsid w:val="7C3DBD3D"/>
    <w:multiLevelType w:val="hybridMultilevel"/>
    <w:lvl w:ilvl="0">
      <w:lvlJc w:val="left"/>
      <w:lvlText w:val="●"/>
      <w:numFmt w:val="bullet"/>
      <w:start w:val="1"/>
    </w:lvl>
  </w:abstractNum>
  <w:abstractNum w:abstractNumId="7">
    <w:nsid w:val="737B8DDC"/>
    <w:multiLevelType w:val="hybridMultilevel"/>
    <w:lvl w:ilvl="0">
      <w:lvlJc w:val="left"/>
      <w:lvlText w:val="●"/>
      <w:numFmt w:val="bullet"/>
      <w:start w:val="1"/>
    </w:lvl>
  </w:abstractNum>
  <w:abstractNum w:abstractNumId="8">
    <w:nsid w:val="6CEAF087"/>
    <w:multiLevelType w:val="hybridMultilevel"/>
    <w:lvl w:ilvl="0">
      <w:lvlJc w:val="left"/>
      <w:lvlText w:val="●"/>
      <w:numFmt w:val="bullet"/>
      <w:start w:val="1"/>
    </w:lvl>
  </w:abstractNum>
  <w:abstractNum w:abstractNumId="9">
    <w:nsid w:val="22221A70"/>
    <w:multiLevelType w:val="hybridMultilevel"/>
    <w:lvl w:ilvl="0">
      <w:lvlJc w:val="left"/>
      <w:lvlText w:val="(%1)"/>
      <w:numFmt w:val="lowerRoman"/>
      <w:start w:val="4"/>
    </w:lvl>
  </w:abstractNum>
  <w:abstractNum w:abstractNumId="10">
    <w:nsid w:val="4516DDE9"/>
    <w:multiLevelType w:val="hybridMultilevel"/>
    <w:lvl w:ilvl="0">
      <w:lvlJc w:val="left"/>
      <w:lvlText w:val="(%1)"/>
      <w:numFmt w:val="lowerRoman"/>
      <w:start w:val="2"/>
    </w:lvl>
  </w:abstractNum>
  <w:abstractNum w:abstractNumId="11">
    <w:nsid w:val="3006C83E"/>
    <w:multiLevelType w:val="hybridMultilevel"/>
    <w:lvl w:ilvl="0">
      <w:lvlJc w:val="left"/>
      <w:lvlText w:val="●"/>
      <w:numFmt w:val="bullet"/>
      <w:start w:val="1"/>
    </w:lvl>
  </w:abstractNum>
  <w:abstractNum w:abstractNumId="12">
    <w:nsid w:val="614FD4A1"/>
    <w:multiLevelType w:val="hybridMultilevel"/>
    <w:lvl w:ilvl="0">
      <w:lvlJc w:val="left"/>
      <w:lvlText w:val="●"/>
      <w:numFmt w:val="bullet"/>
      <w:start w:val="1"/>
    </w:lvl>
  </w:abstractNum>
  <w:abstractNum w:abstractNumId="13">
    <w:nsid w:val="419AC241"/>
    <w:multiLevelType w:val="hybridMultilevel"/>
    <w:lvl w:ilvl="0">
      <w:lvlJc w:val="left"/>
      <w:lvlText w:val="●"/>
      <w:numFmt w:val="bullet"/>
      <w:start w:val="1"/>
    </w:lvl>
  </w:abstractNum>
  <w:abstractNum w:abstractNumId="14">
    <w:nsid w:val="5577F8E1"/>
    <w:multiLevelType w:val="hybridMultilevel"/>
    <w:lvl w:ilvl="0">
      <w:lvlJc w:val="left"/>
      <w:lvlText w:val="●"/>
      <w:numFmt w:val="bullet"/>
      <w:start w:val="1"/>
    </w:lvl>
  </w:abstractNum>
  <w:abstractNum w:abstractNumId="15">
    <w:nsid w:val="440BADFC"/>
    <w:multiLevelType w:val="hybridMultilevel"/>
    <w:lvl w:ilvl="0">
      <w:lvlJc w:val="left"/>
      <w:lvlText w:val="●"/>
      <w:numFmt w:val="bullet"/>
      <w:start w:val="1"/>
    </w:lvl>
  </w:abstractNum>
  <w:abstractNum w:abstractNumId="16">
    <w:nsid w:val="5072367"/>
    <w:multiLevelType w:val="hybridMultilevel"/>
    <w:lvl w:ilvl="0">
      <w:lvlJc w:val="left"/>
      <w:lvlText w:val="●"/>
      <w:numFmt w:val="bullet"/>
      <w:start w:val="1"/>
    </w:lvl>
  </w:abstractNum>
  <w:abstractNum w:abstractNumId="17">
    <w:nsid w:val="3804823E"/>
    <w:multiLevelType w:val="hybridMultilevel"/>
    <w:lvl w:ilvl="0">
      <w:lvlJc w:val="left"/>
      <w:lvlText w:val="●"/>
      <w:numFmt w:val="bullet"/>
      <w:start w:val="1"/>
    </w:lvl>
  </w:abstractNum>
  <w:abstractNum w:abstractNumId="18">
    <w:nsid w:val="77465F01"/>
    <w:multiLevelType w:val="hybridMultilevel"/>
    <w:lvl w:ilvl="0">
      <w:lvlJc w:val="left"/>
      <w:lvlText w:val="●"/>
      <w:numFmt w:val="bullet"/>
      <w:start w:val="1"/>
    </w:lvl>
  </w:abstractNum>
  <w:abstractNum w:abstractNumId="19">
    <w:nsid w:val="7724C67E"/>
    <w:multiLevelType w:val="hybridMultilevel"/>
    <w:lvl w:ilvl="0">
      <w:lvlJc w:val="left"/>
      <w:lvlText w:val="●"/>
      <w:numFmt w:val="bullet"/>
      <w:start w:val="1"/>
    </w:lvl>
  </w:abstractNum>
  <w:abstractNum w:abstractNumId="20">
    <w:nsid w:val="5C482A97"/>
    <w:multiLevelType w:val="hybridMultilevel"/>
    <w:lvl w:ilvl="0">
      <w:lvlJc w:val="left"/>
      <w:lvlText w:val="●"/>
      <w:numFmt w:val="bullet"/>
      <w:start w:val="1"/>
    </w:lvl>
  </w:abstractNum>
  <w:abstractNum w:abstractNumId="21">
    <w:nsid w:val="2463B9EA"/>
    <w:multiLevelType w:val="hybridMultilevel"/>
    <w:lvl w:ilvl="0">
      <w:lvlJc w:val="left"/>
      <w:lvlText w:val="●"/>
      <w:numFmt w:val="bullet"/>
      <w:start w:val="1"/>
    </w:lvl>
  </w:abstractNum>
  <w:abstractNum w:abstractNumId="22">
    <w:nsid w:val="5E884ADC"/>
    <w:multiLevelType w:val="hybridMultilevel"/>
    <w:lvl w:ilvl="0">
      <w:lvlJc w:val="left"/>
      <w:lvlText w:val="●"/>
      <w:numFmt w:val="bullet"/>
      <w:start w:val="1"/>
    </w:lvl>
  </w:abstractNum>
  <w:abstractNum w:abstractNumId="23">
    <w:nsid w:val="51EAD36B"/>
    <w:multiLevelType w:val="hybridMultilevel"/>
    <w:lvl w:ilvl="0">
      <w:lvlJc w:val="left"/>
      <w:lvlText w:val="●"/>
      <w:numFmt w:val="bullet"/>
      <w:start w:val="1"/>
    </w:lvl>
  </w:abstractNum>
  <w:abstractNum w:abstractNumId="24">
    <w:nsid w:val="2D517796"/>
    <w:multiLevelType w:val="hybridMultilevel"/>
    <w:lvl w:ilvl="0">
      <w:lvlJc w:val="left"/>
      <w:lvlText w:val="●"/>
      <w:numFmt w:val="bullet"/>
      <w:start w:val="1"/>
    </w:lvl>
  </w:abstractNum>
  <w:abstractNum w:abstractNumId="25">
    <w:nsid w:val="580BD78F"/>
    <w:multiLevelType w:val="hybridMultilevel"/>
    <w:lvl w:ilvl="0">
      <w:lvlJc w:val="left"/>
      <w:lvlText w:val="●"/>
      <w:numFmt w:val="bullet"/>
      <w:start w:val="1"/>
    </w:lvl>
  </w:abstractNum>
  <w:abstractNum w:abstractNumId="26">
    <w:nsid w:val="153EA438"/>
    <w:multiLevelType w:val="hybridMultilevel"/>
    <w:lvl w:ilvl="0">
      <w:lvlJc w:val="left"/>
      <w:lvlText w:val="●"/>
      <w:numFmt w:val="bullet"/>
      <w:start w:val="1"/>
    </w:lvl>
  </w:abstractNum>
  <w:abstractNum w:abstractNumId="27">
    <w:nsid w:val="3855585C"/>
    <w:multiLevelType w:val="hybridMultilevel"/>
    <w:lvl w:ilvl="0">
      <w:lvlJc w:val="left"/>
      <w:lvlText w:val="●"/>
      <w:numFmt w:val="bullet"/>
      <w:start w:val="1"/>
    </w:lvl>
  </w:abstractNum>
  <w:abstractNum w:abstractNumId="28">
    <w:nsid w:val="70A64E2A"/>
    <w:multiLevelType w:val="hybridMultilevel"/>
    <w:lvl w:ilvl="0">
      <w:lvlJc w:val="left"/>
      <w:lvlText w:val="●"/>
      <w:numFmt w:val="bullet"/>
      <w:start w:val="1"/>
    </w:lvl>
  </w:abstractNum>
  <w:abstractNum w:abstractNumId="29">
    <w:nsid w:val="6A2342EC"/>
    <w:multiLevelType w:val="hybridMultilevel"/>
    <w:lvl w:ilvl="0">
      <w:lvlJc w:val="left"/>
      <w:lvlText w:val="●"/>
      <w:numFmt w:val="bullet"/>
      <w:start w:val="1"/>
    </w:lvl>
  </w:abstractNum>
  <w:abstractNum w:abstractNumId="30">
    <w:nsid w:val="2A487CB0"/>
    <w:multiLevelType w:val="hybridMultilevel"/>
    <w:lvl w:ilvl="0">
      <w:lvlJc w:val="left"/>
      <w:lvlText w:val="●"/>
      <w:numFmt w:val="bullet"/>
      <w:start w:val="1"/>
    </w:lvl>
  </w:abstractNum>
  <w:abstractNum w:abstractNumId="31">
    <w:nsid w:val="1D4ED43B"/>
    <w:multiLevelType w:val="hybridMultilevel"/>
    <w:lvl w:ilvl="0">
      <w:lvlJc w:val="left"/>
      <w:lvlText w:val="●"/>
      <w:numFmt w:val="bullet"/>
      <w:start w:val="1"/>
    </w:lvl>
  </w:abstractNum>
  <w:abstractNum w:abstractNumId="32">
    <w:nsid w:val="725A06FB"/>
    <w:multiLevelType w:val="hybridMultilevel"/>
    <w:lvl w:ilvl="0">
      <w:lvlJc w:val="left"/>
      <w:lvlText w:val="●"/>
      <w:numFmt w:val="bullet"/>
      <w:start w:val="1"/>
    </w:lvl>
  </w:abstractNum>
  <w:abstractNum w:abstractNumId="33">
    <w:nsid w:val="2CD89A32"/>
    <w:multiLevelType w:val="hybridMultilevel"/>
    <w:lvl w:ilvl="0">
      <w:lvlJc w:val="left"/>
      <w:lvlText w:val="●"/>
      <w:numFmt w:val="bullet"/>
      <w:start w:val="1"/>
    </w:lvl>
  </w:abstractNum>
  <w:abstractNum w:abstractNumId="34">
    <w:nsid w:val="57E4CCAF"/>
    <w:multiLevelType w:val="hybridMultilevel"/>
    <w:lvl w:ilvl="0">
      <w:lvlJc w:val="left"/>
      <w:lvlText w:val="●"/>
      <w:numFmt w:val="bullet"/>
      <w:start w:val="1"/>
    </w:lvl>
  </w:abstractNum>
  <w:abstractNum w:abstractNumId="35">
    <w:nsid w:val="7A6D8D3C"/>
    <w:multiLevelType w:val="hybridMultilevel"/>
    <w:lvl w:ilvl="0">
      <w:lvlJc w:val="left"/>
      <w:lvlText w:val="●"/>
      <w:numFmt w:val="bullet"/>
      <w:start w:val="1"/>
    </w:lvl>
  </w:abstractNum>
  <w:abstractNum w:abstractNumId="36">
    <w:nsid w:val="4B588F54"/>
    <w:multiLevelType w:val="hybridMultilevel"/>
    <w:lvl w:ilvl="0">
      <w:lvlJc w:val="left"/>
      <w:lvlText w:val="●"/>
      <w:numFmt w:val="bullet"/>
      <w:start w:val="1"/>
    </w:lvl>
  </w:abstractNum>
  <w:abstractNum w:abstractNumId="37">
    <w:nsid w:val="542289EC"/>
    <w:multiLevelType w:val="hybridMultilevel"/>
    <w:lvl w:ilvl="0">
      <w:lvlJc w:val="left"/>
      <w:lvlText w:val="●"/>
      <w:numFmt w:val="bullet"/>
      <w:start w:val="1"/>
    </w:lvl>
  </w:abstractNum>
  <w:abstractNum w:abstractNumId="38">
    <w:nsid w:val="6DE91B18"/>
    <w:multiLevelType w:val="hybridMultilevel"/>
    <w:lvl w:ilvl="0">
      <w:lvlJc w:val="left"/>
      <w:lvlText w:val="●"/>
      <w:numFmt w:val="bullet"/>
      <w:start w:val="1"/>
    </w:lvl>
  </w:abstractNum>
  <w:abstractNum w:abstractNumId="39">
    <w:nsid w:val="38437FDB"/>
    <w:multiLevelType w:val="hybridMultilevel"/>
    <w:lvl w:ilvl="0">
      <w:lvlJc w:val="left"/>
      <w:lvlText w:val="●"/>
      <w:numFmt w:val="bullet"/>
      <w:start w:val="1"/>
    </w:lvl>
  </w:abstractNum>
  <w:abstractNum w:abstractNumId="40">
    <w:nsid w:val="7644A45C"/>
    <w:multiLevelType w:val="hybridMultilevel"/>
    <w:lvl w:ilvl="0">
      <w:lvlJc w:val="left"/>
      <w:lvlText w:val="●"/>
      <w:numFmt w:val="bullet"/>
      <w:start w:val="1"/>
    </w:lvl>
  </w:abstractNum>
  <w:abstractNum w:abstractNumId="41">
    <w:nsid w:val="32FFF902"/>
    <w:multiLevelType w:val="hybridMultilevel"/>
    <w:lvl w:ilvl="0">
      <w:lvlJc w:val="left"/>
      <w:lvlText w:val="●"/>
      <w:numFmt w:val="bullet"/>
      <w:start w:val="1"/>
    </w:lvl>
  </w:abstractNum>
  <w:abstractNum w:abstractNumId="42">
    <w:nsid w:val="684A481A"/>
    <w:multiLevelType w:val="hybridMultilevel"/>
    <w:lvl w:ilvl="0">
      <w:lvlJc w:val="left"/>
      <w:lvlText w:val="●"/>
      <w:numFmt w:val="bullet"/>
      <w:start w:val="1"/>
    </w:lvl>
  </w:abstractNum>
  <w:abstractNum w:abstractNumId="43">
    <w:nsid w:val="579478FE"/>
    <w:multiLevelType w:val="hybridMultilevel"/>
    <w:lvl w:ilvl="0">
      <w:lvlJc w:val="left"/>
      <w:lvlText w:val="●"/>
      <w:numFmt w:val="bullet"/>
      <w:start w:val="1"/>
    </w:lvl>
  </w:abstractNum>
  <w:abstractNum w:abstractNumId="44">
    <w:nsid w:val="749ABB43"/>
    <w:multiLevelType w:val="hybridMultilevel"/>
    <w:lvl w:ilvl="0">
      <w:lvlJc w:val="left"/>
      <w:lvlText w:val="●"/>
      <w:numFmt w:val="bullet"/>
      <w:start w:val="1"/>
    </w:lvl>
  </w:abstractNum>
  <w:abstractNum w:abstractNumId="45">
    <w:nsid w:val="3DC240FB"/>
    <w:multiLevelType w:val="hybridMultilevel"/>
    <w:lvl w:ilvl="0">
      <w:lvlJc w:val="left"/>
      <w:lvlText w:val="●"/>
      <w:numFmt w:val="bullet"/>
      <w:start w:val="1"/>
    </w:lvl>
  </w:abstractNum>
  <w:abstractNum w:abstractNumId="46">
    <w:nsid w:val="1BA026FA"/>
    <w:multiLevelType w:val="hybridMultilevel"/>
    <w:lvl w:ilvl="0">
      <w:lvlJc w:val="left"/>
      <w:lvlText w:val="(%1)"/>
      <w:numFmt w:val="decimal"/>
      <w:start w:val="1"/>
    </w:lvl>
  </w:abstractNum>
  <w:abstractNum w:abstractNumId="47">
    <w:nsid w:val="79A1DEAA"/>
    <w:multiLevelType w:val="hybridMultilevel"/>
    <w:lvl w:ilvl="0">
      <w:lvlJc w:val="left"/>
      <w:lvlText w:val="●"/>
      <w:numFmt w:val="bullet"/>
      <w:start w:val="1"/>
    </w:lvl>
  </w:abstractNum>
  <w:abstractNum w:abstractNumId="48">
    <w:nsid w:val="75C6C33A"/>
    <w:multiLevelType w:val="hybridMultilevel"/>
    <w:lvl w:ilvl="0">
      <w:lvlJc w:val="left"/>
      <w:lvlText w:val="(%1)"/>
      <w:numFmt w:val="lowerLetter"/>
      <w:start w:val="1"/>
    </w:lvl>
  </w:abstractNum>
  <w:abstractNum w:abstractNumId="49">
    <w:nsid w:val="12E685FB"/>
    <w:multiLevelType w:val="hybridMultilevel"/>
    <w:lvl w:ilvl="0">
      <w:lvlJc w:val="left"/>
      <w:lvlText w:val="-"/>
      <w:numFmt w:val="bullet"/>
      <w:start w:val="1"/>
    </w:lvl>
  </w:abstractNum>
  <w:abstractNum w:abstractNumId="50">
    <w:nsid w:val="70C6A529"/>
    <w:multiLevelType w:val="hybridMultilevel"/>
    <w:lvl w:ilvl="0">
      <w:lvlJc w:val="left"/>
      <w:lvlText w:val="*"/>
      <w:numFmt w:val="bullet"/>
      <w:start w:val="1"/>
    </w:lvl>
  </w:abstractNum>
  <w:abstractNum w:abstractNumId="51">
    <w:nsid w:val="520EEDD1"/>
    <w:multiLevelType w:val="hybridMultilevel"/>
    <w:lvl w:ilvl="0">
      <w:lvlJc w:val="left"/>
      <w:lvlText w:val="%1."/>
      <w:numFmt w:val="decimal"/>
      <w:start w:val="1"/>
    </w:lvl>
    <w:lvl w:ilvl="1">
      <w:lvlJc w:val="left"/>
      <w:lvlText w:val="%2."/>
      <w:numFmt w:val="lowerLetter"/>
      <w:start w:val="1"/>
    </w:lvl>
  </w:abstractNum>
  <w:abstractNum w:abstractNumId="52">
    <w:nsid w:val="374A3FE6"/>
    <w:multiLevelType w:val="hybridMultilevel"/>
    <w:lvl w:ilvl="0">
      <w:lvlJc w:val="left"/>
      <w:lvlText w:val="%1."/>
      <w:numFmt w:val="decimal"/>
      <w:start w:val="1"/>
    </w:lvl>
    <w:lvl w:ilvl="1">
      <w:lvlJc w:val="left"/>
      <w:lvlText w:val="%2."/>
      <w:numFmt w:val="lowerLetter"/>
      <w:start w:val="1"/>
    </w:lvl>
  </w:abstractNum>
  <w:abstractNum w:abstractNumId="53">
    <w:nsid w:val="4F4EF005"/>
    <w:multiLevelType w:val="hybridMultilevel"/>
    <w:lvl w:ilvl="0">
      <w:lvlJc w:val="left"/>
      <w:lvlText w:val="(%1)"/>
      <w:numFmt w:val="decimal"/>
      <w:start w:val="1"/>
    </w:lvl>
  </w:abstractNum>
  <w:abstractNum w:abstractNumId="54">
    <w:nsid w:val="23F9C13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jpe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jpe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64" Type="http://schemas.openxmlformats.org/officeDocument/2006/relationships/image" Target="media/image144.png"/><Relationship Id="rId165" Type="http://schemas.openxmlformats.org/officeDocument/2006/relationships/image" Target="media/image145.png"/><Relationship Id="rId166" Type="http://schemas.openxmlformats.org/officeDocument/2006/relationships/image" Target="media/image146.png"/><Relationship Id="rId151" Type="http://schemas.openxmlformats.org/officeDocument/2006/relationships/hyperlink" Target="https://www.sec.gov/Archives/edgar/data/1720893/000155837021011074/btai-20210630xex3d1.htm" TargetMode="External"/><Relationship Id="rId152" Type="http://schemas.openxmlformats.org/officeDocument/2006/relationships/hyperlink" Target="https://www.sec.gov/Archives/edgar/data/1720893/000110465924070503/tm249625d6_ex3-1.htm" TargetMode="External"/><Relationship Id="rId153" Type="http://schemas.openxmlformats.org/officeDocument/2006/relationships/hyperlink" Target="https://www.sec.gov/Archives/edgar/data/1720893/000110465925009906/tm255604d1_ex3-1.htm" TargetMode="External"/><Relationship Id="rId154" Type="http://schemas.openxmlformats.org/officeDocument/2006/relationships/hyperlink" Target="https://www.sec.gov/Archives/edgar/data/1720893/000110465918016770/a18-8090_1ex3d2.htm" TargetMode="External"/><Relationship Id="rId155" Type="http://schemas.openxmlformats.org/officeDocument/2006/relationships/hyperlink" Target="https://www.sec.gov/Archives/edgar/data/1720893/000110465925002583/tm251419d2_ex4-3.htm" TargetMode="External"/><Relationship Id="rId156" Type="http://schemas.openxmlformats.org/officeDocument/2006/relationships/hyperlink" Target="https://www.sec.gov/Archives/edgar/data/1720893/000110465925020349/tm258193d1_ex4-1.htm" TargetMode="External"/><Relationship Id="rId157" Type="http://schemas.openxmlformats.org/officeDocument/2006/relationships/hyperlink" Target="https://www.sec.gov/Archives/edgar/data/1720893/000110465925020349/tm258193d1_ex4-2.htm" TargetMode="External"/><Relationship Id="rId158" Type="http://schemas.openxmlformats.org/officeDocument/2006/relationships/hyperlink" Target="https://www.sec.gov/Archives/edgar/data/1720893/000110465925020349/tm258193d1_ex4-3.htm" TargetMode="External"/><Relationship Id="rId159" Type="http://schemas.openxmlformats.org/officeDocument/2006/relationships/hyperlink" Target="https://www.sec.gov/Archives/edgar/data/1720893/000110465925001869/tm252221d1_ex10-1.htm" TargetMode="External"/><Relationship Id="rId160" Type="http://schemas.openxmlformats.org/officeDocument/2006/relationships/hyperlink" Target="https://www.sec.gov/Archives/edgar/data/1720893/000110465925001869/tm252221d1_ex10-2.htm" TargetMode="External"/><Relationship Id="rId161" Type="http://schemas.openxmlformats.org/officeDocument/2006/relationships/hyperlink" Target="https://www.sec.gov/Archives/edgar/data/1720893/000110465925001869/tm252221d1_ex10-3.htm" TargetMode="External"/><Relationship Id="rId162" Type="http://schemas.openxmlformats.org/officeDocument/2006/relationships/hyperlink" Target="https://www.sec.gov/Archives/edgar/data/1720893/000110465925020349/tm258193d1_ex10-1.htm" TargetMode="External"/><Relationship Id="rId163" Type="http://schemas.openxmlformats.org/officeDocument/2006/relationships/hyperlink" Target="https://www.sec.gov/Archives/edgar/data/1720893/000155837025003985/btai-20241231xex10d226.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2025-05-12T08:10:02Z</dcterms:created>
  <dcterms:modified xsi:type="dcterms:W3CDTF">2025-05-12T08:10:02Z</dcterms:modified>
</cp:coreProperties>
</file>