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140" w:right="280" w:hanging="2862"/>
        <w:spacing w:after="0" w:line="375" w:lineRule="auto"/>
        <w:tabs>
          <w:tab w:leader="none" w:pos="72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7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37"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6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80" w:space="720"/>
            <w:col w:w="3340"/>
          </w:cols>
          <w:pgMar w:left="840" w:top="661" w:right="919" w:bottom="1440" w:gutter="0" w:footer="0" w:header="0"/>
          <w:type w:val="continuous"/>
        </w:sectPr>
      </w:pPr>
    </w:p>
    <w:p>
      <w:pPr>
        <w:ind w:left="68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222"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November 11, 2025 was 21,869,491.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Forward Looking Statements</w:t>
            </w:r>
          </w:p>
        </w:tc>
        <w:tc>
          <w:tcPr>
            <w:tcW w:w="516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and December 31, 2024</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9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30, 2025 and 2024</w:t>
            </w:r>
          </w:p>
        </w:tc>
        <w:tc>
          <w:tcPr>
            <w:tcW w:w="16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Equity for the three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nine months ended September 30, 2025 and 2024</w:t>
            </w: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1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60" w:type="dxa"/>
            <w:vAlign w:val="bottom"/>
            <w:gridSpan w:val="1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2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left="60" w:right="199" w:firstLine="324"/>
        <w:spacing w:after="0" w:line="23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p>
      <w:pPr>
        <w:spacing w:after="0" w:line="5"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relating to, anticipated benefits from, and cost savings from our Reprioritization (as defined herein);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program;</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1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84" w:lineRule="exact"/>
        <w:rPr>
          <w:sz w:val="20"/>
          <w:szCs w:val="20"/>
          <w:color w:val="auto"/>
        </w:rPr>
      </w:pPr>
    </w:p>
    <w:p>
      <w:pPr>
        <w:ind w:left="60" w:right="199" w:firstLine="324"/>
        <w:spacing w:after="0" w:line="23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81" w:lineRule="exact"/>
        <w:rPr>
          <w:sz w:val="20"/>
          <w:szCs w:val="20"/>
          <w:color w:val="auto"/>
        </w:rPr>
      </w:pPr>
    </w:p>
    <w:p>
      <w:pPr>
        <w:ind w:left="60" w:right="399" w:firstLine="324"/>
        <w:spacing w:after="0" w:line="24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specified or the context otherwise requires, the terms “we,” “our,” “us,” the “Company” or “BTI” refer to BioXcel Therapeutics, Inc. and “BioXcel LLC” refers to the Company’s former parent company, BioXcel LLC and its predecessor, BioXcel Corporation.</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7"/>
          <w:szCs w:val="17"/>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7"/>
          <w:szCs w:val="17"/>
          <w:i w:val="1"/>
          <w:iCs w:val="1"/>
          <w:color w:val="auto"/>
        </w:rPr>
        <w:t>www.bioxceltherapeutics.com</w:t>
      </w:r>
      <w:r>
        <w:rPr>
          <w:rFonts w:ascii="Times New Roman" w:cs="Times New Roman" w:eastAsia="Times New Roman" w:hAnsi="Times New Roman"/>
          <w:sz w:val="17"/>
          <w:szCs w:val="17"/>
          <w:color w:val="auto"/>
        </w:rPr>
        <w:t>. In addition, you may automatically receive email alerts and other information about the Company when you enroll your email address by visiting the “Email Alerts” option under the News</w:t>
      </w:r>
    </w:p>
    <w:p>
      <w:pPr>
        <w:spacing w:after="0" w:line="2" w:lineRule="exact"/>
        <w:rPr>
          <w:sz w:val="20"/>
          <w:szCs w:val="20"/>
          <w:color w:val="auto"/>
        </w:rPr>
      </w:pPr>
    </w:p>
    <w:p>
      <w:pPr>
        <w:ind w:left="60" w:right="399" w:hanging="10"/>
        <w:spacing w:after="0" w:line="234" w:lineRule="auto"/>
        <w:tabs>
          <w:tab w:leader="none" w:pos="1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The information contained in, or accessible through, our website does not constitute part quarterly of this report and the inclusion of our website address in this quarterly report is an inactive textual reference only.</w:t>
      </w:r>
    </w:p>
    <w:p>
      <w:pPr>
        <w:spacing w:after="0" w:line="3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17" w:lineRule="exact"/>
        <w:rPr>
          <w:sz w:val="20"/>
          <w:szCs w:val="20"/>
          <w:color w:val="auto"/>
        </w:rPr>
      </w:pPr>
    </w:p>
    <w:p>
      <w:pPr>
        <w:ind w:left="720" w:right="4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34"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99" w:lineRule="exact"/>
        <w:rPr>
          <w:rFonts w:ascii="Times New Roman" w:cs="Times New Roman" w:eastAsia="Times New Roman" w:hAnsi="Times New Roman"/>
          <w:sz w:val="17"/>
          <w:szCs w:val="17"/>
          <w:color w:val="auto"/>
        </w:rPr>
      </w:pPr>
    </w:p>
    <w:p>
      <w:pPr>
        <w:ind w:left="720" w:right="1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delisted from The Nasdaq Capital Market, which could seriously harm the liquidity of our stock and our ability to raise capital or complete a strategic transaction.</w:t>
      </w:r>
    </w:p>
    <w:p>
      <w:pPr>
        <w:spacing w:after="0" w:line="121"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6"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3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reprioritization and other workforce reductions in force may not achieve our intended outcome.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3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supporting potential safety or efficacy of BXCL501 for use in the at-home setting in the acute treatment of agitation in patients with dementia due to probable Alzheimer’s disease.</w:t>
      </w:r>
    </w:p>
    <w:p>
      <w:pPr>
        <w:spacing w:after="0" w:line="126" w:lineRule="exact"/>
        <w:rPr>
          <w:rFonts w:ascii="Times New Roman" w:cs="Times New Roman" w:eastAsia="Times New Roman" w:hAnsi="Times New Roman"/>
          <w:sz w:val="18"/>
          <w:szCs w:val="18"/>
          <w:color w:val="auto"/>
        </w:rPr>
      </w:pPr>
    </w:p>
    <w:p>
      <w:pPr>
        <w:ind w:left="720" w:right="279" w:hanging="319"/>
        <w:spacing w:after="0" w:line="21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other product candidates, either alone or with a collaborator, or if we experience significant delays in doing so, our business could be substantially harmed.</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8" w:lineRule="exact"/>
        <w:rPr>
          <w:rFonts w:ascii="Times New Roman" w:cs="Times New Roman" w:eastAsia="Times New Roman" w:hAnsi="Times New Roman"/>
          <w:sz w:val="18"/>
          <w:szCs w:val="18"/>
          <w:color w:val="auto"/>
        </w:rPr>
      </w:pPr>
    </w:p>
    <w:p>
      <w:pPr>
        <w:ind w:left="720" w:right="59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Food and Drug Administration (“FDA”), and comparable foreign authorities are lengthy, expensive and inherently unpredictable, and if we are ultimately unable to obtain regulatory approval for our product candidates, our business will be substantially harmed.</w:t>
      </w:r>
    </w:p>
    <w:p>
      <w:pPr>
        <w:spacing w:after="0" w:line="135"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time-consuming, difficult to design, difficult to conduct and involve an uncertain outcome.</w:t>
      </w:r>
    </w:p>
    <w:p>
      <w:pPr>
        <w:spacing w:after="0" w:line="121" w:lineRule="exact"/>
        <w:rPr>
          <w:rFonts w:ascii="Times New Roman" w:cs="Times New Roman" w:eastAsia="Times New Roman" w:hAnsi="Times New Roman"/>
          <w:sz w:val="18"/>
          <w:szCs w:val="18"/>
          <w:color w:val="auto"/>
        </w:rPr>
      </w:pPr>
    </w:p>
    <w:p>
      <w:pPr>
        <w:jc w:val="both"/>
        <w:ind w:left="720" w:right="1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and evaluation of patients in our clinical trials to continue development of our product candidates. If we are unable to enroll patients in our clinical trials, our research and development efforts could be adversely affected.</w:t>
      </w:r>
    </w:p>
    <w:p>
      <w:pPr>
        <w:spacing w:after="0" w:line="148"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5"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27"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product candidates for which we obtain approval.</w:t>
      </w:r>
    </w:p>
    <w:p>
      <w:pPr>
        <w:spacing w:after="0" w:line="60"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administrative services for our business.</w:t>
      </w:r>
    </w:p>
    <w:p>
      <w:pPr>
        <w:spacing w:after="0" w:line="184" w:lineRule="exact"/>
        <w:rPr>
          <w:rFonts w:ascii="Times New Roman" w:cs="Times New Roman" w:eastAsia="Times New Roman" w:hAnsi="Times New Roman"/>
          <w:sz w:val="18"/>
          <w:szCs w:val="18"/>
          <w:color w:val="auto"/>
        </w:rPr>
      </w:pPr>
    </w:p>
    <w:p>
      <w:pPr>
        <w:ind w:left="720" w:right="159" w:hanging="319"/>
        <w:spacing w:after="0" w:line="23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73"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17" w:lineRule="exact"/>
        <w:rPr>
          <w:rFonts w:ascii="Times New Roman" w:cs="Times New Roman" w:eastAsia="Times New Roman" w:hAnsi="Times New Roman"/>
          <w:sz w:val="17"/>
          <w:szCs w:val="17"/>
          <w:color w:val="auto"/>
        </w:rPr>
      </w:pPr>
    </w:p>
    <w:p>
      <w:pPr>
        <w:ind w:left="720" w:right="4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21"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4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of and evolving expectations for environmental, social and governance (“ESG”) initiatives may impose additional costs or otherwise adversely impact our business.</w:t>
      </w:r>
    </w:p>
    <w:p>
      <w:pPr>
        <w:spacing w:after="0" w:line="12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5"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7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02" w:lineRule="exact"/>
        <w:rPr>
          <w:sz w:val="20"/>
          <w:szCs w:val="20"/>
          <w:color w:val="auto"/>
        </w:rPr>
      </w:pPr>
    </w:p>
    <w:p>
      <w:pPr>
        <w:ind w:left="60" w:right="159" w:firstLine="324"/>
        <w:spacing w:after="0" w:line="216" w:lineRule="auto"/>
        <w:rPr>
          <w:sz w:val="20"/>
          <w:szCs w:val="20"/>
          <w:color w:val="auto"/>
        </w:rPr>
      </w:pPr>
      <w:r>
        <w:rPr>
          <w:rFonts w:ascii="Times New Roman" w:cs="Times New Roman" w:eastAsia="Times New Roman" w:hAnsi="Times New Roman"/>
          <w:sz w:val="18"/>
          <w:szCs w:val="18"/>
          <w:color w:val="auto"/>
        </w:rPr>
        <w:t>This Quarterly Report includes our trademarks, trade names and service marks, including, without limitation,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 which are our property and are protected under applicable intellectual property laws. Solely for convenience, trademarks, trade names and service marks may appear in this Quarterly Report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Quarterly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37,394</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133,711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131,439</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 shares authorized as of September 30, 2025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December 31, 2024; 19,996 and 3,102 shares issued and outstanding as of</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30, 2025 and December 31, 2024, respectively</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557,047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(707,549)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(650,197)</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(88,919)</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59"/>
          </w:cols>
          <w:pgMar w:left="140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25"/>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w:t>
            </w:r>
          </w:p>
        </w:tc>
        <w:tc>
          <w:tcPr>
            <w:tcW w:w="0" w:type="dxa"/>
            <w:vAlign w:val="bottom"/>
          </w:tcPr>
          <w:p>
            <w:pPr>
              <w:spacing w:after="0"/>
              <w:rPr>
                <w:sz w:val="1"/>
                <w:szCs w:val="1"/>
                <w:color w:val="auto"/>
              </w:rPr>
            </w:pPr>
          </w:p>
        </w:tc>
      </w:tr>
      <w:tr>
        <w:trPr>
          <w:trHeight w:val="25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net loss per share attributable to</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6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4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8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(590,598)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(26,791)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(617,389)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5,306</w:t>
            </w: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(8,299)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551,347</w:t>
            </w:r>
          </w:p>
        </w:tc>
        <w:tc>
          <w:tcPr>
            <w:tcW w:w="16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(625,688)</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(74,301)</w:t>
            </w: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(639,338)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00" w:type="dxa"/>
            <w:vAlign w:val="bottom"/>
          </w:tcPr>
          <w:p>
            <w:pPr>
              <w:spacing w:after="0"/>
              <w:rPr>
                <w:sz w:val="17"/>
                <w:szCs w:val="17"/>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557,047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(650,197)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(657,451)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(19,187)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568,911</w:t>
            </w:r>
          </w:p>
        </w:tc>
        <w:tc>
          <w:tcPr>
            <w:tcW w:w="16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(676,638)</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(107,667)</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49,065</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49,078</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(30,911)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(707,549)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(57,352)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 costs for common stock and warrants issuance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 period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reconciliation: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 and restricted cash as presented above</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37,320</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built on artificial intelligence (“AI”) approaches to develop transformative medicines in neuroscience and immuno-oncology. The Company is focused on utilizing cutting-edge technology and innovative research to develop high-value therapeutics aimed at transforming patients’ lives. BTI developed a proprietary AI platform to reduce therapeutic development costs and potentially accelerate development timelines. The Company’s approach leverages existing approved drugs and/or clinically evaluated product candidates together with big data and proprietary machine learning algorithms to identify new therapeutic indices. BTI management believes this differentiated approach has proven its potential to reduce the expense and time associated with drug development in diseases with substantial unmet medical needs.</w:t>
      </w:r>
    </w:p>
    <w:p>
      <w:pPr>
        <w:spacing w:after="0" w:line="151"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condensed consolidated financial statements, unless otherwise specified or the context otherwise requires, the terms “BioXcel LLC” refers to the Company’s former parent, BioXcel LLC and, its predecessor, BioXcel Corporation. “OnkosXcel” refers to BTI’s wholly owned subsidiary for its advanced immuno-oncology assets, OnkosXcel Therapeutics, LLC.</w:t>
      </w:r>
    </w:p>
    <w:p>
      <w:pPr>
        <w:spacing w:after="0" w:line="139" w:lineRule="exact"/>
        <w:rPr>
          <w:sz w:val="20"/>
          <w:szCs w:val="20"/>
          <w:color w:val="auto"/>
        </w:rPr>
      </w:pPr>
    </w:p>
    <w:p>
      <w:pPr>
        <w:ind w:left="60" w:right="199" w:firstLine="324"/>
        <w:spacing w:after="0" w:line="201" w:lineRule="auto"/>
        <w:rPr>
          <w:sz w:val="20"/>
          <w:szCs w:val="20"/>
          <w:color w:val="auto"/>
        </w:rPr>
      </w:pPr>
      <w:r>
        <w:rPr>
          <w:rFonts w:ascii="Times New Roman" w:cs="Times New Roman" w:eastAsia="Times New Roman" w:hAnsi="Times New Roman"/>
          <w:sz w:val="18"/>
          <w:szCs w:val="18"/>
          <w:color w:val="auto"/>
        </w:rPr>
        <w:t>On April 6, 2022, BTI announced that the United States (“U.S.”) Food and Drug Administration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was commercially available in doses of 120 and 180 micrograms.</w:t>
      </w:r>
    </w:p>
    <w:p>
      <w:pPr>
        <w:spacing w:after="0" w:line="171" w:lineRule="exact"/>
        <w:rPr>
          <w:sz w:val="20"/>
          <w:szCs w:val="20"/>
          <w:color w:val="auto"/>
        </w:rPr>
      </w:pPr>
    </w:p>
    <w:p>
      <w:pPr>
        <w:ind w:left="60" w:right="25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neuroscience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2025, the results of its operations for the three and nine months ended September 30, 2025 and 2024 and its cash flows for the nine months ended September 30, 2025 and 2024. The results for the three and nine months ended September 30, 2025 are not necessarily indicative of results to be expected for the year ending December 31, 2025, any other interim periods or any future year or period. The accompanying unaudited interim condensed consolidated financial statements of the Company should be read in conjunction with the audited financial statements and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thereto included in the Company’s Annual Report on Form 10-K for the year ended December 31, 2024, filed with the Securities and Exchange Commission on March 28, 2025.</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3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 had cash, cash equivalents and restricted cash of $37,320 and an accumulated deficit of $707,549. The Company has incurred substantial net losses and negative cash flows from operating activities in nearly every fiscal period since inception and expects this trend to continue for the foreseeable future. The Company recognized net losses of $30,911 and $13,650 for the three months ended September 30, 2025 and 2024, respectively, and $57,352 and $48,740 for the nine months ended September 30, 2025 and 2024, respectively, and had net cash used in operating activities of $43,405 and $57,218 for the nine months ended September, 2025 and 2024, respectively.</w:t>
      </w:r>
    </w:p>
    <w:p>
      <w:pPr>
        <w:spacing w:after="0" w:line="148" w:lineRule="exact"/>
        <w:rPr>
          <w:sz w:val="20"/>
          <w:szCs w:val="20"/>
          <w:color w:val="auto"/>
        </w:rPr>
      </w:pPr>
    </w:p>
    <w:p>
      <w:pPr>
        <w:jc w:val="both"/>
        <w:ind w:left="60" w:right="379" w:firstLine="324"/>
        <w:spacing w:after="0" w:line="271" w:lineRule="auto"/>
        <w:rPr>
          <w:sz w:val="20"/>
          <w:szCs w:val="20"/>
          <w:color w:val="auto"/>
        </w:rPr>
      </w:pPr>
      <w:r>
        <w:rPr>
          <w:rFonts w:ascii="Times New Roman" w:cs="Times New Roman" w:eastAsia="Times New Roman" w:hAnsi="Times New Roman"/>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18" w:lineRule="exact"/>
        <w:rPr>
          <w:sz w:val="20"/>
          <w:szCs w:val="20"/>
          <w:color w:val="auto"/>
        </w:rPr>
      </w:pPr>
    </w:p>
    <w:p>
      <w:pPr>
        <w:ind w:left="60" w:right="179" w:firstLine="324"/>
        <w:spacing w:after="0" w:line="284" w:lineRule="auto"/>
        <w:rPr>
          <w:sz w:val="20"/>
          <w:szCs w:val="20"/>
          <w:color w:val="auto"/>
        </w:rPr>
      </w:pPr>
      <w:r>
        <w:rPr>
          <w:rFonts w:ascii="Times New Roman" w:cs="Times New Roman" w:eastAsia="Times New Roman" w:hAnsi="Times New Roman"/>
          <w:sz w:val="17"/>
          <w:szCs w:val="17"/>
          <w:color w:val="auto"/>
        </w:rPr>
        <w:t xml:space="preserve">The Company’s history of significant losses, its negative cash flows from operations, potential near-term increased covenant-driven amortization payments under its Credit Agreement (as defined in Note 9, </w:t>
      </w:r>
      <w:r>
        <w:rPr>
          <w:rFonts w:ascii="Times New Roman" w:cs="Times New Roman" w:eastAsia="Times New Roman" w:hAnsi="Times New Roman"/>
          <w:sz w:val="17"/>
          <w:szCs w:val="17"/>
          <w:i w:val="1"/>
          <w:iCs w:val="1"/>
          <w:color w:val="auto"/>
        </w:rPr>
        <w:t>Debt and Credit Facilities</w:t>
      </w:r>
      <w:r>
        <w:rPr>
          <w:rFonts w:ascii="Times New Roman" w:cs="Times New Roman" w:eastAsia="Times New Roman" w:hAnsi="Times New Roman"/>
          <w:sz w:val="17"/>
          <w:szCs w:val="17"/>
          <w:color w:val="auto"/>
        </w:rPr>
        <w: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on Form 10-Q.</w:t>
      </w:r>
    </w:p>
    <w:p>
      <w:pPr>
        <w:spacing w:after="0" w:line="97" w:lineRule="exact"/>
        <w:rPr>
          <w:sz w:val="20"/>
          <w:szCs w:val="20"/>
          <w:color w:val="auto"/>
        </w:rPr>
      </w:pPr>
    </w:p>
    <w:p>
      <w:pPr>
        <w:ind w:left="60" w:right="239" w:firstLine="324"/>
        <w:spacing w:after="0" w:line="264" w:lineRule="auto"/>
        <w:rPr>
          <w:sz w:val="20"/>
          <w:szCs w:val="20"/>
          <w:color w:val="auto"/>
        </w:rPr>
      </w:pPr>
      <w:r>
        <w:rPr>
          <w:rFonts w:ascii="Times New Roman" w:cs="Times New Roman" w:eastAsia="Times New Roman" w:hAnsi="Times New Roman"/>
          <w:sz w:val="18"/>
          <w:szCs w:val="18"/>
          <w:color w:val="auto"/>
        </w:rPr>
        <w:t xml:space="preserve">This going concern evaluation takes into consideration the potential mitigating effect of management’s Reprioritization (as defined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including the additional restructuring actions taken in the second and third quarters of 2024, will not mitigate the entity’s ability to continue as a going concern within one year after the date that the financial statements are issued.</w:t>
      </w:r>
    </w:p>
    <w:p>
      <w:pPr>
        <w:spacing w:after="0" w:line="11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w:t>
      </w:r>
      <w:r>
        <w:rPr>
          <w:rFonts w:ascii="Times New Roman" w:cs="Times New Roman" w:eastAsia="Times New Roman" w:hAnsi="Times New Roman"/>
          <w:sz w:val="18"/>
          <w:szCs w:val="18"/>
          <w:i w:val="1"/>
          <w:iCs w:val="1"/>
          <w:color w:val="auto"/>
        </w:rPr>
        <w:t>Debt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or other potential sources of debt or equity capital.</w:t>
      </w:r>
    </w:p>
    <w:p>
      <w:pPr>
        <w:spacing w:after="0" w:line="143" w:lineRule="exact"/>
        <w:rPr>
          <w:sz w:val="20"/>
          <w:szCs w:val="20"/>
          <w:color w:val="auto"/>
        </w:rPr>
      </w:pPr>
    </w:p>
    <w:p>
      <w:pPr>
        <w:ind w:left="60" w:right="299" w:firstLine="324"/>
        <w:spacing w:after="0" w:line="270"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actions, pursuing one or more of the following steps to raise additional capital, none of which can be guaranteed or are entirely within the Company’s control:</w:t>
      </w:r>
    </w:p>
    <w:p>
      <w:pPr>
        <w:spacing w:after="0" w:line="105"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47" w:lineRule="exact"/>
        <w:rPr>
          <w:sz w:val="20"/>
          <w:szCs w:val="20"/>
          <w:color w:val="auto"/>
        </w:rPr>
      </w:pPr>
    </w:p>
    <w:p>
      <w:pPr>
        <w:ind w:left="60" w:right="139" w:firstLine="324"/>
        <w:spacing w:after="0" w:line="270" w:lineRule="auto"/>
        <w:rPr>
          <w:sz w:val="20"/>
          <w:szCs w:val="20"/>
          <w:color w:val="auto"/>
        </w:rPr>
      </w:pPr>
      <w:r>
        <w:rPr>
          <w:rFonts w:ascii="Times New Roman" w:cs="Times New Roman" w:eastAsia="Times New Roman" w:hAnsi="Times New Roman"/>
          <w:sz w:val="18"/>
          <w:szCs w:val="18"/>
          <w:color w:val="auto"/>
        </w:rPr>
        <w:t>If the Company is unable to raise capital when needed or on acceptable terms,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that affect amounts reported in the condensed consolidated financial statements and notes thereto. Estimates are used in the following areas, among others: revenue recognition, derivative liabilities, stock-based compensation expense, accrued expenses and income taxes. Although these estimates are based on the Company’s knowledge of current events and actions it may undertake in the future, actual results may ultimately materially differ from these estimates.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previously disclosed in Note 3 to the Consolidated Financial Statements in the Company’s Annual Report on Form 10-K for the year ended December 31, 2024, except for the following:</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Restricted Cash represents cash required to be set aside as collateral under a letter of credit for our annual Directors and Officers (D&amp;O) insurance premiums which are financed and paid over the next six months. The restriction will lapse when the D&amp;O insurance premiums are paid.</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adopted the new standard in fiscal year 2024 for annual and retrospective reporting periods with all interim disclosures beginning in the first quarter of fiscal year 2025. For additional information, see Note 17,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 Scope application of profit interest and similar awards, which clarifies how an entity determines whether a profits interest or similar award is within the scope of Topic 718 or if it is not a share-based payment arrangement and therefore within the scope of other guidance. ASU 2024-01 is effective for annual periods beginning after December 15, 2024, and interim periods within those annual periods. The adoption of this guidance did not have a significant impact on our financial statements, and the Company does not expect this guidance to have a material impact prospectively.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0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condensed consolidated financial statements.</w:t>
      </w:r>
    </w:p>
    <w:p>
      <w:pPr>
        <w:spacing w:after="0" w:line="18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requires public entities to disclose specified information about certain costs and expenses. ASU 2024-03 is effective for annual periods beginning after December 15, 2026 and interim reporting periods beginning after December 15, 2027, with early adoption permitted. The Company is evaluating the effect of adopting this guidance on its condensed consolidated financial statements.</w:t>
      </w:r>
    </w:p>
    <w:p>
      <w:pPr>
        <w:spacing w:after="0" w:line="183"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yet been issued or made available for issuance. We are currently evaluating the impact of this amendment and do not expect that the adoption of this guidance will have a material impact on our consolidated financial statements and accompanying notes.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8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September 17, 2024, the Company reduced its workforce by an additional 28% to extend its cash runway and prioritize clinical development of BXCL501. The Company completed the Clinical Prioritization in October 2024, paid $475 of the related costs during the first quarter of 2025, and paid the remaining $128 during the second quarter of 2025.</w:t>
      </w:r>
    </w:p>
    <w:p>
      <w:pPr>
        <w:spacing w:after="0" w:line="158"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On April 8, 2025, the Board unanimously approved (i) the payment of a retention bonus to all non-executive employees in the total aggregate amount of $1,522, to be paid in two equal installments and (ii) the issuance of 66 RSUs which fully vest on the one-year anniversary of the grant date. The first installment of the retention bonus was paid on April 30, 2025 and the second installment was paid on September 30, 2025. Each such installment payment is subject to the applicable employee’s continued employment through December 31, 2025.</w:t>
      </w:r>
    </w:p>
    <w:p>
      <w:pPr>
        <w:spacing w:after="0" w:line="183"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On September 16, 2025, the Company dissolved its operations in the Czech Republic and paid $194 in closure related expenses during the third quarter of 2025.</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5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inventory write-downs totaling $0 and $95 for the three and nine months ended September 30, 2025. The Company recorded inventory write downs of $1,157 and $1,202 for the three and nine months ended September 30,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$75 and $77 for the three months ended September 30, 2025 and 2024, respectively, and $226 and $232 for the nine months ended September 30,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59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4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4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0"/>
        </w:trPr>
        <w:tc>
          <w:tcPr>
            <w:tcW w:w="5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48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r>
      <w:tr>
        <w:trPr>
          <w:trHeight w:val="20"/>
        </w:trPr>
        <w:tc>
          <w:tcPr>
            <w:tcW w:w="5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202"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Under the Services Agreement, the Company had an option, exercisable until December 31, 2024, to enter into a separate collaborative services agreement with BioXcel LLC pursuant to which BioXcel LLC shall perform product identification and related services for us utilizing its EvolverAI. The Company agreed to pay BioXcel LLC $18 per month from March 13, 2023 to December 31, 2024 in exchange for this option. This option was not exercised. However, BioXcel LLC continues to perform certain administrative services under the terms of the original contract.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The Company did not exercise its option to renew the agreement for product identification and related services utilizing BioXcel LLC’s EvolverAI. Subsequent to December 31, 2024 no development activity has been carried out by BioXcel LLC and none is contemplated.</w:t>
      </w:r>
    </w:p>
    <w:p>
      <w:pPr>
        <w:spacing w:after="0" w:line="160"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for the three and nine months ended September 30, 2025 and 2024, respectively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2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09"/>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4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no outstanding service charges related to the Services Agreement included in Due to related parties in the Company’s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59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1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liability</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106,722</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3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10"/>
        </w:trPr>
        <w:tc>
          <w:tcPr>
            <w:tcW w:w="59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3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(16,823)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42"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 First Amendment). As of September 30, 2025, $80,000 in commitments under the Credit Agreement remains unfunded. The blended effective interest rate on the Tranches A-1 and A-2 as of September 30, 2025 was approximately 15.3%.</w:t>
      </w:r>
    </w:p>
    <w:p>
      <w:pPr>
        <w:spacing w:after="0" w:line="157" w:lineRule="exact"/>
        <w:rPr>
          <w:sz w:val="20"/>
          <w:szCs w:val="20"/>
          <w:color w:val="auto"/>
        </w:rPr>
      </w:pPr>
    </w:p>
    <w:p>
      <w:pPr>
        <w:ind w:left="60" w:right="299" w:firstLine="324"/>
        <w:spacing w:after="0" w:line="254" w:lineRule="auto"/>
        <w:rPr>
          <w:sz w:val="20"/>
          <w:szCs w:val="20"/>
          <w:color w:val="auto"/>
        </w:rPr>
      </w:pPr>
      <w:r>
        <w:rPr>
          <w:rFonts w:ascii="Times New Roman" w:cs="Times New Roman" w:eastAsia="Times New Roman" w:hAnsi="Times New Roman"/>
          <w:sz w:val="18"/>
          <w:szCs w:val="18"/>
          <w:color w:val="auto"/>
        </w:rPr>
        <w:t>The remaining tranches may be borrowed at the Company’s option subject to satisfaction of certain conditions, including regulatory and financial milestones. Tranche B of the Credit Agreement is $20,000 and was available upon satisfaction of certain conditions and financial milestones. Tranche B expired on December 31, 2024. Tranche C of the Credit Agreement is $30,000 and is available upon satisfaction of certain conditions, including receipt of certain regulatory and financial milestones met on or before December 31, 2025.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 As of September 30, 2025, Tranches C and D, totaling $80,000, remain available for borrowing if the milestones above are met.</w:t>
      </w:r>
    </w:p>
    <w:p>
      <w:pPr>
        <w:spacing w:after="0" w:line="16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 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60"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6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spacing w:after="0" w:line="14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Third and Fourth Amendments to Credit Agreement and Guaranty</w:t>
      </w:r>
    </w:p>
    <w:p>
      <w:pPr>
        <w:spacing w:after="0" w:line="25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 on or before February 20, 2024. The Company did not meet this condition and therefore the Third Amendment did not become effective.</w:t>
      </w:r>
    </w:p>
    <w:p>
      <w:pPr>
        <w:spacing w:after="0" w:line="18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w:t>
      </w:r>
    </w:p>
    <w:p>
      <w:pPr>
        <w:spacing w:after="0" w:line="192"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7"/>
          <w:szCs w:val="17"/>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w:t>
      </w:r>
    </w:p>
    <w:p>
      <w:pPr>
        <w:spacing w:after="0" w:line="2" w:lineRule="exact"/>
        <w:rPr>
          <w:sz w:val="20"/>
          <w:szCs w:val="20"/>
          <w:color w:val="auto"/>
        </w:rPr>
      </w:pPr>
    </w:p>
    <w:p>
      <w:pPr>
        <w:ind w:left="60" w:right="219" w:hanging="10"/>
        <w:spacing w:after="0" w:line="255"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until May 15, 2024. For the avoidance of doubt, failure to perform clause (ii) of the preceding sentence would constitute an immediate event of default under the Credit Agreement without any cure or grace period.</w:t>
      </w:r>
    </w:p>
    <w:p>
      <w:pPr>
        <w:spacing w:after="0" w:line="18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the Company has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satisfying the April 15, 2024 covenant requirement of the Fourth Amendment. During the third quarter of 2024, the Company received $467 of gross proceeds from the issuance of the Company’s common stock. As of September 30, 2024, the Company had satisfied $30,943 of the $40,000 required to maintain the Minimum Liquidity Amount and the $50,000 gross proceeds requirement. As a result, at September 30, 2024, the Minimum Liquidity Amount increased to $25,000.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Fifth Amendment to Credit Agreement and Guaranty</w:t>
      </w:r>
    </w:p>
    <w:p>
      <w:pPr>
        <w:spacing w:after="0" w:line="2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 which amended the Credit Agreement and Guaranty, dated April 19, 2022, by and among the Company, as the borrower, certain subsidiaries of the Company from time to time party thereto as subsidiary guarantors, the lenders party thereto (the “Lenders”), and Oaktree Fund Administration LLC (“OFA”) as administrative agent (as amended by the Waiver and First Amendment to Credit Agreement and Guaranty, dated as of November 13, 2023, the Second Amendment to Credit Agreement and Guaranty and Termination of Revenue Interest Financing Agreement, dated as of December 5, 2023, the Third Amendment to Credit Agreement, dated as of February 12, 2024, and the Fourth Amendment to Credit Agreement and Guaranty, dated as of March 20, 2024 (the “Fourth Amendment”), the “Existing Credit Agreement”).</w:t>
      </w:r>
    </w:p>
    <w:p>
      <w:pPr>
        <w:spacing w:after="0" w:line="188"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31"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Fifth Amendment includes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 (“Raise 3”).</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Lenders agreed to modify the Credit Agreement’s minimum liquidity covenant to require minimum cash liquidity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$7,500 (instead of $25,000) from and after the closing of Raise 1 until March 30, 2025. On March 31, 2025, the minimum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liquidity amount increased to $10,000 and on September 30, 2025, the minimum liquidity amount increased to $15,000.</w:t>
      </w:r>
    </w:p>
    <w:p>
      <w:pPr>
        <w:spacing w:after="0" w:line="166"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paid a one-time amortization payment of $2,500 principal amount, together with accrued and unpaid interest and a portion of the prepayment fee and other fees payable in December 2024.</w:t>
      </w:r>
    </w:p>
    <w:p>
      <w:pPr>
        <w:spacing w:after="0" w:line="135"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Fifth Amendment also modifies the interest rate of the loans provided under the Credit Agreement from a floating rate of Term SOFR plus 7.50% per annum, to a fixed rate of 13% per annum, retroactive to and effective as of September 30, 2024. For the quarterly payment dates ending December 31, 2024, March 31, 2025, and June 30, 2025, the Company had the ability to make interest payments of up to 10% per annum “in-kind” by capitalizing and adding such interest to the outstanding principal amount of the loans under the Credit Agreement. In addition, pursuant to the Fifth Amendment, the Company will be required to make quarterly amortization payments equal to 5.0% of the principal amount of funded loans, together with applicable prepayment fees, beginning on March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53"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Fifth Amendment amends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3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47"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color w:val="auto"/>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for its employees or executives during the fiscal years 2024 and 2025 without OFA’s consent or increasing the cash compensation for fiscal year 2025 for certain senior officers of the Company from their compensation for fiscal year 2024.</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Sixth Amendment to Credit Agreement</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On March 4, 2025, the Company entered into the Sixth Amendment to our Credit Agreement (the “Sixth Amendment”), pursuant to which the Lenders agreed to, among other things, delay the date on which the Company is required to engage an investment banker (which date has been subsequently extended to July 31, 2025). The Company retained an investment banker prior to July 31, 2025.</w:t>
      </w:r>
    </w:p>
    <w:p>
      <w:pPr>
        <w:spacing w:after="0" w:line="13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was in compliance with all restrictive and financial covenants under the Credit Agreement.</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Warrants and Equity Investment Right</w:t>
      </w:r>
    </w:p>
    <w:p>
      <w:pPr>
        <w:spacing w:after="0" w:line="18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17 shares of the Company’s common stock at an exercise price of $320.64 per share (the “Closing Date Warrants”). Pursuant to the amendment and restatement of the Closing Date Warrants, dated December 5, 2023 (the “Amended and Restated Closing Date Warrants”), the exercise price of the Closing Date Warrants has been reduced to $58.3232 per share. In addition, the Company granted new warrants to the Lenders to purchase up to 4 shares of the Company’s common stock (the “2023 Warrant Shares”) at an exercise price of $58.3232 per share (the “2023 Warrants” and together with the Amended and Restated Closing Date Warrants, the “Warrants”). The Amended and Restated Closing Date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the Company’s common stock issuable under the Warrants (including the Closing Date Warrants and the 2023 Warrants) and Lenders’ Equity Investment Right was 366 as of March 31, 2024. On the Second Amendment Effective Date,</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Company amended and restated its Registration Rights Agreement (the “Amended and Restated Registration Rights Agreement”) with the Lenders, dated April 19, 2022, pursuant to which the Company agreed to register the 2023 Warrant Shares for resale.</w:t>
      </w:r>
    </w:p>
    <w:p>
      <w:pPr>
        <w:spacing w:after="0" w:line="14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Fourth Amendment discussed below, the Company granted new warrants to the Lenders to purchase up to 6 shares of its common stock (the “2024 Warrant Shares”) at an exercise price of $49.1568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 April 19, 2022. Pursuant to the Second Amended and Restated Registration Rights Agreement, the Company agreed to register the 2024 Warrant Shares for resale.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Fifth Amendment Warrants, Registration Rights Agreement and Equity Investment Right Termination</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Closing Date Warrants, 2023 Warrants and the New Warrants for resale. The maximum shares of our common stock issuable under the Closing Date Warrants, the 2023 Warrants and the Lenders’ Equity Investment Right was 366.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63"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Fifth Amendment, the Company agreed to, substantially concurrently with the closing of Raise 1, grant new warrants to the Lenders to purchase an aggregate of 313 shares of common stock on the closing date of the Fifth Amendment, at an exercise price of $0.16 per share (the “New Warrants”). During the three months ended June 30, 2025, the Company issued 284 shares of Common Stock in connection with the cashless exercises of the 313 New Warrants.</w:t>
      </w:r>
    </w:p>
    <w:p>
      <w:pPr>
        <w:spacing w:after="0" w:line="14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 and the exercise prices of $58.3232 per share and $49.1568 per share were reduced to $7.68 per share.</w:t>
      </w:r>
    </w:p>
    <w:p>
      <w:pPr>
        <w:spacing w:after="0" w:line="15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On the date of issuance of the New Warrants, the Company agreed to amend and restate its Second Amended and Restated Registration Rights Agreement with the Lenders, dated March 20, 2024. Pursuant to such amendment and restatement (the “Third Amended and Restated Registration Rights Agreement”), the Company will agree to register the shares of common stock issuable under the New Warrants, in addition to all Original Warrants, for resale.</w:t>
      </w:r>
    </w:p>
    <w:p>
      <w:pPr>
        <w:spacing w:after="0" w:line="13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Maturities of debt are expected to be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10"/>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89,725</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was as follows: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2"/>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46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r>
      <w:tr>
        <w:trPr>
          <w:trHeight w:val="21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0"/>
        </w:trPr>
        <w:tc>
          <w:tcPr>
            <w:tcW w:w="4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left="60" w:right="219" w:firstLine="405"/>
        <w:spacing w:after="0" w:line="254" w:lineRule="auto"/>
        <w:rPr>
          <w:sz w:val="20"/>
          <w:szCs w:val="20"/>
          <w:color w:val="auto"/>
        </w:rPr>
      </w:pPr>
      <w:r>
        <w:rPr>
          <w:rFonts w:ascii="Times New Roman" w:cs="Times New Roman" w:eastAsia="Times New Roman" w:hAnsi="Times New Roman"/>
          <w:sz w:val="18"/>
          <w:szCs w:val="18"/>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19"/>
        <w:spacing w:after="0" w:line="267" w:lineRule="auto"/>
        <w:rPr>
          <w:sz w:val="20"/>
          <w:szCs w:val="20"/>
          <w:color w:val="auto"/>
        </w:rPr>
      </w:pPr>
      <w:r>
        <w:rPr>
          <w:rFonts w:ascii="Times New Roman" w:cs="Times New Roman" w:eastAsia="Times New Roman" w:hAnsi="Times New Roman"/>
          <w:sz w:val="18"/>
          <w:szCs w:val="18"/>
          <w:color w:val="auto"/>
        </w:rPr>
        <w:t xml:space="preserve">Consolidated Statements of Operations. 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the Equity Investment Right was terminated on November 25, 2024 in connection with the Fifth Amendment to the Credit Agreement, and the Company recorded a termination gain, reducing the carrying value of the Equity Investment Right to $0.</w:t>
      </w:r>
    </w:p>
    <w:p>
      <w:pPr>
        <w:spacing w:after="0" w:line="173"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With respect to the Purchase Agreement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 Derivative liabilities in the Condensed Consolidated Balance Sheet as of September 30, 2025.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We value the Accompanying Warrants using the Black-Scholes option pricing model as discussed in Note 14,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November 21, 2024, the exercise price of 534 of the Accompanying Warrants was reduced from $51.20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$9.136 per share. For the three and nine months ended September 30, 2025, the Company recorded a net loss of $352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net gain of $1,405, respectively, in Other (income) expense, net, in the Company’s Consolidated Statements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As of September 30, 2025, the fair value of the Accompanying Warrants was $916.</w:t>
      </w:r>
    </w:p>
    <w:p>
      <w:pPr>
        <w:spacing w:after="0" w:line="205"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On November 25, 2024, with respect to the Underwriter Agreement discussed in Note 11, </w:t>
      </w:r>
      <w:r>
        <w:rPr>
          <w:rFonts w:ascii="Times New Roman" w:cs="Times New Roman" w:eastAsia="Times New Roman" w:hAnsi="Times New Roman"/>
          <w:sz w:val="18"/>
          <w:szCs w:val="18"/>
          <w:i w:val="1"/>
          <w:iCs w:val="1"/>
          <w:color w:val="auto"/>
        </w:rPr>
        <w:t>Common Stock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the Company issued additional warrants (the “November 2024 Accompanying Warrants”). The November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Warrants failed to meet the requirements to be indexed to equity and equity classified, and meet the definition of a derivative instrument. Therefore, these instruments are recorded as Derivative liabilities in the Consolidated Balance Sheet as of September 30, 2025.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Consolidated Statements of Operations. For the three and nine months ended September 30, 2025, the Company recorded a net loss of $617 and a net gain of $2,623, respectively, in Other (income) expense, net, in the Company’s Consolidated Statements of Operations. As of September 30, 2025, the fair value of the November 2024 Accompanying Warrants was $1,650.</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On March 3, 2025, with respect to the March 2025 Offering discussed in Note 11, </w:t>
      </w:r>
      <w:r>
        <w:rPr>
          <w:rFonts w:ascii="Times New Roman" w:cs="Times New Roman" w:eastAsia="Times New Roman" w:hAnsi="Times New Roman"/>
          <w:sz w:val="18"/>
          <w:szCs w:val="18"/>
          <w:i w:val="1"/>
          <w:iCs w:val="1"/>
          <w:color w:val="auto"/>
        </w:rPr>
        <w:t>Common Stock Financing</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the Company issued additional warrants (the “March 2025 Accompanying Warrants”). The March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Accompanying Warrants failed to meet the requirements to be indexed to equity and equity classified, and meet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definition of a derivative instrument. Therefore, these instruments are recorded as Derivative liabilities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Balance Sheet as of September 30, 2025. The respective derivative liabilities were recorded at fair value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date of issuance in the amount of $2,831 and are revalued on each balance sheet date until such instruments are settled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expire, with changes in the fair value between reporting periods recorded within Other (income) expense, net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Consolidated Statements of Operations. In August 2025, 2,300 of the March 2025 Accompanying Warrants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were exercised. In connection with the exercise, the Company remeasured the fair value of the warrant liability, resulting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 a recognized net loss of $10,986 recorded in Other (income) expense, net in the Company’s Consolidated Statements of</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As of September 30, 2025, the fair value of the remaining 1,700 March 2025 Accompanying Warrants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$1,001. For the three and nine months ended September 30, 2025, the Company recorded a net loss of $586 and a net gain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$1,268, respectively, for the remaining warrants in Other (income) expense, net, in the Company’s Consolidated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205" w:lineRule="exact"/>
        <w:rPr>
          <w:sz w:val="20"/>
          <w:szCs w:val="20"/>
          <w:color w:val="auto"/>
        </w:rPr>
      </w:pPr>
    </w:p>
    <w:p>
      <w:pPr>
        <w:ind w:left="60" w:right="199" w:firstLine="401"/>
        <w:spacing w:after="0" w:line="257" w:lineRule="auto"/>
        <w:rPr>
          <w:sz w:val="20"/>
          <w:szCs w:val="20"/>
          <w:color w:val="auto"/>
        </w:rPr>
      </w:pPr>
      <w:r>
        <w:rPr>
          <w:rFonts w:ascii="Times New Roman" w:cs="Times New Roman" w:eastAsia="Times New Roman" w:hAnsi="Times New Roman"/>
          <w:sz w:val="18"/>
          <w:szCs w:val="18"/>
          <w:color w:val="auto"/>
        </w:rPr>
        <w:t xml:space="preserve">In connection with the March 2025 Offering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the Company also issued option warrants (the “Option Warrants”). The Option Warrants failed to meet the requirements to be indexed to equity and equity classified, and meet the definition of a derivative instrument. Therefore, these instruments are initially recorded as Derivative liabilities. The respective derivative liabilities were recorded at fair value on the date of issuance in the amount of $369. The Option Warrants expired on March 18, 2025 without being exercised, and the Company recorded a termination gain of $369 in Other (income) expense, net, in the Company’s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Condensed Consolidated Statements of Operations. As of September 30, 2025, the fair value of the Option Warrants was $0.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Jeffries At-the-Market Program</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 May 2021, the Company entered into 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On March 26, 2025, the Company and Jefferies terminated that certain Open Market Sales Agreement. There have been no sales of the Company’s common stock under the Sale Agreement for the three and nine months ended September 30, 2025. For the three months ended September 30, 2024, the Company sold 22 shares under the Sale Agreement for gross proceeds of $467 and received proceeds of $453, net of issuance costs of $14. For the nine months ended September 30, 2024, the Company sold 240 shares under the Sale Agreement for gross proceeds of $7,682 and received proceeds of $7,451, net of issuance costs of $231.</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2024 Offering</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191 shares (the “Shares”) of Common Stock, and accompanying warrants (the “Accompanying Warrants”) to purchase up to 191 shares of common stock at a combined offering price of $46.416 per Share and Accompanying Warrant and pre-funded warrants (the “Pre-Funded Warrants”) to purchase up to 348 shares of common stock and Accompanying Warrants to purchase up to 348 shares of common stock, at a combined offering price of $46.40 per share underlying each Pre-Funded Warrant and Accompanying Warrant, which equals the offering price per Share and Accompanying Warrant less the $0.016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incurred costs of $248, and received net proceeds of $24,752.</w:t>
      </w:r>
    </w:p>
    <w:p>
      <w:pPr>
        <w:spacing w:after="0" w:line="19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all 348 Pre-Funded Warrants were exercised and the same number of shares of common stock were issued.</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$51.20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September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November 2024 Offering</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22, 2024, the Company entered into an underwriting agreement (the “Underwriting Agreement”) with Canaccord Genuity LLC, as underwriter (the “Underwriter”), in connection with the issuance and sale by the Company in a public offering of (i) 350 shares of the Company’s common stock, and accompanying warrants (the “November 2024 Accompanying Warrants”) to purchase 350 shares of Common Stock, at a combined public offering price of $7.68 per share, and, in lieu thereof to certain investors, (ii) Pre-Funded Warrants to purchase 563 shares of Common Stock, and accompanying warrants to purchase 563 shares of Common Stock, at a combined public offering price of $7.664 per pre-funded warrant, which equals the public offering price per share of Common Stock and accompanying warrant less the $0.016 exercise price per share of the pre-funded warrants, less underwriting discounts and commissions, pursuant to an effective shelf registration statement on Form S-3 (Registration No. 333-275261) and a related prospectus supplement filed with the Securities and Exchange Commission. The Company received net proceeds from the offering of approximately $6,128, after deducting underwriting discounts and commissions and offering expenses of $871. The Company intends to use the net proceeds of the offering to fund the SERENITY At-Home trial, prepare for the initiation of the TRANQUILITY In-Care trial, working capital and general corporate purposes.</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80 Pre-Funded Warrants were exercised and the same number of shares of common stock were issued. The remaining 483 Pre-Funded Warrants were exercised and the same number of common stock were issued during the first three months of 2025 in exchange for $8 of proceeds received.</w:t>
      </w:r>
    </w:p>
    <w:p>
      <w:pPr>
        <w:spacing w:after="0" w:line="192" w:lineRule="exact"/>
        <w:rPr>
          <w:sz w:val="20"/>
          <w:szCs w:val="20"/>
          <w:color w:val="auto"/>
        </w:rPr>
      </w:pPr>
    </w:p>
    <w:p>
      <w:pPr>
        <w:ind w:left="60" w:right="319" w:firstLine="324"/>
        <w:spacing w:after="0" w:line="254" w:lineRule="auto"/>
        <w:rPr>
          <w:sz w:val="20"/>
          <w:szCs w:val="20"/>
          <w:color w:val="auto"/>
        </w:rPr>
      </w:pPr>
      <w:r>
        <w:rPr>
          <w:rFonts w:ascii="Times New Roman" w:cs="Times New Roman" w:eastAsia="Times New Roman" w:hAnsi="Times New Roman"/>
          <w:sz w:val="18"/>
          <w:szCs w:val="18"/>
          <w:color w:val="auto"/>
        </w:rPr>
        <w:t>The November 2024 Accompanying Warrants have an exercise price per share of common stock equal to $7.68 per share. The exercise price and the number of shares of common stock issuable upon exercise of the November 2024 Accompanying Warrants are subject to appropriate adjustments in the event of certain stock dividends and distributions, stock splits, stock combinations, reclassifications or similar events affecting the common stock. The November 2024 Accompanying Warrants are exercisable at any time after the date of issuance and will expire on the fifth anniversary of the date of issuance. The November 2024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September 30, 2025.</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2025 Offering</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On March 3, 2025, the Company entered into a purchase agreement (the “March 2025 Offering”) with a purchaser. Pursuant to the March 2025 Offering, the Company agreed to issue and sell to the purchaser and the purchaser agreed to buy in a registered direct offering (i) an aggregate of 188 shares (the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pursuant to an effective registration statement on Form S-3 (File No. 333-275261), including the base prospectus included therein, and prospectus supplement filed with the SEC on March 4, 2025. The Company received net proceeds from the offering of approximately $12,957, after deducting underwriting discounts and commissions and offering expenses of $1,039.</w:t>
      </w:r>
    </w:p>
    <w:p>
      <w:pPr>
        <w:spacing w:after="0" w:line="18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8" w:lineRule="auto"/>
        <w:rPr>
          <w:sz w:val="20"/>
          <w:szCs w:val="20"/>
          <w:color w:val="auto"/>
        </w:rPr>
      </w:pPr>
      <w:r>
        <w:rPr>
          <w:rFonts w:ascii="Times New Roman" w:cs="Times New Roman" w:eastAsia="Times New Roman" w:hAnsi="Times New Roman"/>
          <w:sz w:val="18"/>
          <w:szCs w:val="18"/>
          <w:color w:val="auto"/>
        </w:rPr>
        <w:t>at any time after the date of issuance. The Pre-Funded Warrants meet the equity classification criteria and are therefore classified as equity. For the three months ended September 30, 2025, the remaining 1,359 Pre-Funded Warrants were exercised and the same number of common stock were issued in exchange for $1 of proceeds received. For the nine months ended September 30, 2025, 3,812 Pre-Funded Warrants were exercised and the same number of common stock were issued in exchange for $4 of proceeds received.</w:t>
      </w:r>
    </w:p>
    <w:p>
      <w:pPr>
        <w:spacing w:after="0" w:line="18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March 2025 Accompanying Warrants have an exercise price per share of common stock equal to $4.20 per share. The exercise price and the number of shares of common stock issuable upon exercise of the March 2025 Accompanying Warrants are subject to appropriate adjustments in the event of certain stock dividends and distributions, stock splits, stock combinations, reclassifications or similar events affecting the common stock. The March 2025 Accompanying Warrants will be exercisable at any time after the date of issuance and will expire on the fifth anniversary of the date of issuance. The March 2025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September 30, 2025. For the three and nine months ended September 30, 2025, 2,300 March 2025 Accompanying Warrants were exercised and the same number of common stock were issued in exchange for $9,660 of proceeds received.</w:t>
      </w:r>
    </w:p>
    <w:p>
      <w:pPr>
        <w:spacing w:after="0" w:line="192" w:lineRule="exact"/>
        <w:rPr>
          <w:sz w:val="20"/>
          <w:szCs w:val="20"/>
          <w:color w:val="auto"/>
        </w:rPr>
      </w:pPr>
    </w:p>
    <w:p>
      <w:pPr>
        <w:ind w:left="60" w:right="419" w:firstLine="324"/>
        <w:spacing w:after="0" w:line="256" w:lineRule="auto"/>
        <w:rPr>
          <w:sz w:val="20"/>
          <w:szCs w:val="20"/>
          <w:color w:val="auto"/>
        </w:rPr>
      </w:pPr>
      <w:r>
        <w:rPr>
          <w:rFonts w:ascii="Times New Roman" w:cs="Times New Roman" w:eastAsia="Times New Roman" w:hAnsi="Times New Roman"/>
          <w:sz w:val="18"/>
          <w:szCs w:val="18"/>
          <w:color w:val="auto"/>
        </w:rPr>
        <w:t>In the March 2025 Offering, the Company also issued to the purchaser option warrants, to purchase up to 4,000 shares of Common Stock (or pre-funded warrants in lieu thereof) and accompanying warrants to purchase up to 4,000 shares of Common Stock. The exercise price of the Option Warrant is $3.50 per underlying share of Common Stock or $3.499 per underlying pre-funded warrant to purchase one share of Common Stock and accompanying warrant. The option accompanying warrants have an exercise price per share of common stock equal to $4.20 per share. The Option Warrants expired on March 18, 2025 without being exercised.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Canaccord At-the-Market Program</w:t>
      </w:r>
    </w:p>
    <w:p>
      <w:pPr>
        <w:spacing w:after="0" w:line="229" w:lineRule="exact"/>
        <w:rPr>
          <w:sz w:val="20"/>
          <w:szCs w:val="20"/>
          <w:color w:val="auto"/>
        </w:rPr>
      </w:pPr>
    </w:p>
    <w:p>
      <w:pPr>
        <w:ind w:left="60" w:right="299" w:firstLine="324"/>
        <w:spacing w:after="0" w:line="273" w:lineRule="auto"/>
        <w:rPr>
          <w:sz w:val="20"/>
          <w:szCs w:val="20"/>
          <w:color w:val="auto"/>
        </w:rPr>
      </w:pPr>
      <w:r>
        <w:rPr>
          <w:rFonts w:ascii="Times New Roman" w:cs="Times New Roman" w:eastAsia="Times New Roman" w:hAnsi="Times New Roman"/>
          <w:sz w:val="17"/>
          <w:szCs w:val="17"/>
          <w:color w:val="auto"/>
        </w:rPr>
        <w:t>On April 3, 2025, the Company entered into an Equity Distribution Agreement (the “Equity Distribution Agreement”) with Canaccord Genuity LLC (“Canaccord”) to sell shares of the Company’s common stock, par value $0.001 per share, with aggregate gross sales proceeds of up to $8,135, from time to time, through an “at the market” equity offering program under which Canaccord will act as sales agent. For the three months ended September 30, 2025, the Company sold 4,627 shares of its common stock for a gross amount of $7,991, incurred issuance costs of $240, and received net proceeds of $7,751. For the nine months ended September 30, 2025, the Company sold 4,724 shares of its common stock for a gross amount of $8,130, incurred issuance costs of $244, and received net proceeds of $7,886.</w:t>
      </w:r>
    </w:p>
    <w:p>
      <w:pPr>
        <w:spacing w:after="0" w:line="171" w:lineRule="exact"/>
        <w:rPr>
          <w:sz w:val="20"/>
          <w:szCs w:val="20"/>
          <w:color w:val="auto"/>
        </w:rPr>
      </w:pPr>
    </w:p>
    <w:p>
      <w:pPr>
        <w:jc w:val="both"/>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On August 6, 2025, the Company increased the maximum amount of shares that are eligible to be sold pursuant to the Equity Distribution Agreement to allow for the offer and sale of up to $3,500 of its common stock. For the three and nine months ended September 30, 2025, the Company sold 1,050 shares for gross proceeds of $3,500 and received proceeds of $3,395, net of issuance costs of $105. Following the sale of common stock, the Company raised sufficient net proceeds to satisfy the Raise 3 requirement under the Fifth Amendment to the Credit Agreement.</w:t>
      </w:r>
    </w:p>
    <w:p>
      <w:pPr>
        <w:spacing w:after="0" w:line="183" w:lineRule="exact"/>
        <w:rPr>
          <w:sz w:val="20"/>
          <w:szCs w:val="20"/>
          <w:color w:val="auto"/>
        </w:rPr>
      </w:pPr>
    </w:p>
    <w:p>
      <w:pPr>
        <w:jc w:val="both"/>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On August 18, 2025, the Company filed a prospectus supplement with the Securities and Exchange Commission for the offer and sale of up to $80,000 shares of common stock pursuant to the Equity Distribution Agreement. For the three and nine months ended September 30, 2025, the Company sold 3,984 shares for gross proceeds of $17,082 and received proceeds of $16,740, net of issuance costs of $342.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279" w:firstLine="324"/>
        <w:spacing w:after="0" w:line="272"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57 shares of the Company’s common stock and</w:t>
      </w:r>
    </w:p>
    <w:p>
      <w:pPr>
        <w:spacing w:after="0" w:line="2" w:lineRule="exact"/>
        <w:rPr>
          <w:sz w:val="20"/>
          <w:szCs w:val="20"/>
          <w:color w:val="auto"/>
        </w:rPr>
      </w:pPr>
    </w:p>
    <w:p>
      <w:pPr>
        <w:ind w:left="60" w:right="159" w:hanging="10"/>
        <w:spacing w:after="0" w:line="251" w:lineRule="auto"/>
        <w:tabs>
          <w:tab w:leader="none" w:pos="3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124 shares and 75 shares on January 1, 2025 and 2024, respectively.</w:t>
      </w:r>
    </w:p>
    <w:p>
      <w:pPr>
        <w:spacing w:after="0" w:line="15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Plan have a term of ten years. The vesting schedule of all awards granted under the 2020 Plan is determined by the Board of Directors, which is generally four years.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2025, there were 39 shares available to be granted under the 2020 Plan.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400" w:type="dxa"/>
            <w:vAlign w:val="bottom"/>
          </w:tcPr>
          <w:p>
            <w:pPr>
              <w:spacing w:after="0"/>
              <w:rPr>
                <w:sz w:val="15"/>
                <w:szCs w:val="15"/>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113 time-based BTI RSUs. BTI RSUs granted to employees fully vest on the one-year anniversary of the grant date and BTI RSUs granted to executives fully vest on the nine-month anniversary of the grant date. The weighted average grant date fair value per share for the BTI RSUs for the nine months ended September 30, 2025 was $1.71. The outstanding BTI RSUs issued prior to 2025 generally vest over four years, with 25% vesting at the one-year anniversary of the grant date and the balance vesting ratably over the remaining 12 quarters of the vesting period. Unrecognized stock-based compensation expense related to the BTI RSUs was approximately $345 and $854 as of September 30, 2025 and 2024, respectively.</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Performance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Performance Units related to BTI common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900" w:type="dxa"/>
            <w:vAlign w:val="bottom"/>
          </w:tcPr>
          <w:p>
            <w:pPr>
              <w:spacing w:after="0"/>
              <w:rPr>
                <w:sz w:val="15"/>
                <w:szCs w:val="15"/>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9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In July 2024, the Company granted 87 Performance Units to employees. The Performance Units vest on the one-year anniversary of the grant date, provided certain performance criteria are met. The weighted average value per share of Performance Units granted in 2024 was $19.20. All of the Performance Units had vested as of September 30, 2025. Unrecognized stock-based compensation expense related to these Performance Units expected to vest was zero as stock-based compensation expense of $1,098 was recognized in June 2025 due to certain performance criteria being met as determined by the Compensation Committee of the Board of Directors.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16"/>
        </w:trPr>
        <w:tc>
          <w:tcPr>
            <w:tcW w:w="58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r>
      <w:tr>
        <w:trPr>
          <w:trHeight w:val="199"/>
        </w:trPr>
        <w:tc>
          <w:tcPr>
            <w:tcW w:w="58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7"/>
                <w:szCs w:val="17"/>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r>
      <w:tr>
        <w:trPr>
          <w:trHeight w:val="209"/>
        </w:trPr>
        <w:tc>
          <w:tcPr>
            <w:tcW w:w="58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September 30,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0"/>
        </w:trPr>
        <w:tc>
          <w:tcPr>
            <w:tcW w:w="5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During 2024, OnkosXcel Employee Holdings, LLC, a management holding company used to facilitate the grant of equity interests to service providers of OnkosXcel granted 15 individual (not in thousands) time-based PSUs related to OnkosXcel to certain employees of the Company in consideration for services provided to OnkosXcel. The PSUs represent indirect equity interests in OnkosXcel. These PSUs vest ratably over 48 months.</w:t>
      </w:r>
    </w:p>
    <w:p>
      <w:pPr>
        <w:spacing w:after="0" w:line="153"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PSUs granted in 2024 were estimated at the date of grant using a Black-Scholes option pricing model and assumptions below.</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2024 grant profit share</w:t>
            </w:r>
          </w:p>
        </w:tc>
      </w:tr>
      <w:tr>
        <w:trPr>
          <w:trHeight w:val="238"/>
        </w:trPr>
        <w:tc>
          <w:tcPr>
            <w:tcW w:w="6560" w:type="dxa"/>
            <w:vAlign w:val="bottom"/>
          </w:tcPr>
          <w:p>
            <w:pPr>
              <w:spacing w:after="0"/>
              <w:rPr>
                <w:sz w:val="20"/>
                <w:szCs w:val="20"/>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unit valuation inputs</w:t>
            </w:r>
          </w:p>
        </w:tc>
      </w:tr>
      <w:tr>
        <w:trPr>
          <w:trHeight w:val="210"/>
        </w:trPr>
        <w:tc>
          <w:tcPr>
            <w:tcW w:w="65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97.4 %</w:t>
            </w:r>
          </w:p>
        </w:tc>
        <w:tc>
          <w:tcPr>
            <w:tcW w:w="320" w:type="dxa"/>
            <w:vAlign w:val="bottom"/>
            <w:shd w:val="clear" w:color="auto" w:fill="CCEEFF"/>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these awards was $155 and $496 as of September 30, 2025 and 2024, respectively.</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restricted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40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09"/>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137 OnkosXcel Restricted Stock Units outstanding. Unrecognized stock-based compensation expense related to the awards expected to vest was approximately $30 and $261 as of September 30, 2025 and 2024,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202"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nine months ended September 30, 2025 is presented below.</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50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142"/>
        </w:trPr>
        <w:tc>
          <w:tcPr>
            <w:tcW w:w="55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28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28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372.12</w:t>
            </w:r>
          </w:p>
        </w:tc>
        <w:tc>
          <w:tcPr>
            <w:tcW w:w="28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280" w:type="dxa"/>
            <w:vAlign w:val="bottom"/>
            <w:tcBorders>
              <w:bottom w:val="single" w:sz="8" w:color="CCEEFF"/>
            </w:tcBorders>
          </w:tcPr>
          <w:p>
            <w:pPr>
              <w:spacing w:after="0"/>
              <w:rPr>
                <w:sz w:val="21"/>
                <w:szCs w:val="21"/>
                <w:color w:val="auto"/>
              </w:rPr>
            </w:pPr>
          </w:p>
        </w:tc>
      </w:tr>
      <w:tr>
        <w:trPr>
          <w:trHeight w:val="197"/>
        </w:trPr>
        <w:tc>
          <w:tcPr>
            <w:tcW w:w="5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September 30,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280" w:type="dxa"/>
            <w:vAlign w:val="bottom"/>
          </w:tcPr>
          <w:p>
            <w:pPr>
              <w:spacing w:after="0"/>
              <w:rPr>
                <w:sz w:val="20"/>
                <w:szCs w:val="20"/>
                <w:color w:val="auto"/>
              </w:rPr>
            </w:pPr>
          </w:p>
        </w:tc>
      </w:tr>
    </w:tbl>
    <w:p>
      <w:pPr>
        <w:spacing w:after="0" w:line="179"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the intrinsic value of options outstanding was $0. The intrinsic value for stock options is calculated based on the difference between the exercise prices of the underlying awards and the quoted stock price of the Company’s common stock as of the reporting date.</w:t>
      </w:r>
    </w:p>
    <w:p>
      <w:pPr>
        <w:spacing w:after="0" w:line="135" w:lineRule="exact"/>
        <w:rPr>
          <w:sz w:val="20"/>
          <w:szCs w:val="20"/>
          <w:color w:val="auto"/>
        </w:rPr>
      </w:pPr>
    </w:p>
    <w:p>
      <w:pPr>
        <w:jc w:val="both"/>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No stock options were exercised for the three and nine months ended September 30, 2025. As of September 30, 2025, the total intrinsic value of stock options exercisable was $0.</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granted as of September 30, 2025 was $6.21.</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vested as of September 30, 2025 was $161.34.</w:t>
      </w:r>
    </w:p>
    <w:p>
      <w:pPr>
        <w:spacing w:after="0" w:line="185"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5.4 years for options exercisable as of September 30, 2025. The weighted average remaining contractual life was 5.7 years for options outstanding as of September 30, 2025.</w:t>
      </w:r>
    </w:p>
    <w:p>
      <w:pPr>
        <w:spacing w:after="0" w:line="135"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stock option awards as of September 30, 2025 was $683 and will be recognized over the remaining vesting periods of the underlying awards. The weighted-average period over which such compensation is expected to be recognized is 0.9 years.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nine months ended September 30, 2025 and 2024 was estimated using the Black-Scholes pricing model with the following assumptions: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4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3"/>
                <w:szCs w:val="13"/>
                <w:color w:val="auto"/>
              </w:rPr>
            </w:pPr>
          </w:p>
        </w:tc>
      </w:tr>
      <w:tr>
        <w:trPr>
          <w:trHeight w:val="173"/>
        </w:trPr>
        <w:tc>
          <w:tcPr>
            <w:tcW w:w="4000" w:type="dxa"/>
            <w:vAlign w:val="bottom"/>
          </w:tcPr>
          <w:p>
            <w:pPr>
              <w:spacing w:after="0"/>
              <w:rPr>
                <w:sz w:val="15"/>
                <w:szCs w:val="15"/>
                <w:color w:val="auto"/>
              </w:rPr>
            </w:pPr>
          </w:p>
        </w:tc>
        <w:tc>
          <w:tcPr>
            <w:tcW w:w="24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4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20" w:type="dxa"/>
            <w:vAlign w:val="bottom"/>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108.0</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2025, the Company continued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4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RSUs and PSUs, of $581 and $1,865 for the three months ended September 30, 2025 and 2024, respectively, and $2,317 and $6,355 for the nine months ended September 30, 2025 and 2024, respectively, which were comprised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30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38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16"/>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10"/>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were initially available to be issued pursuant to rights granted under the ESPP was 6 shares of common stock. In addition, the number of shares available for issuance under the ESPP increases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31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31 shares and 19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shares on January 1, 2025 and 2024, respectively. To date, no shares have been sold under the ESPP. There were 106 shares available for issuance as of September 30, 2025.</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September 30, 2025, are as follows:</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9"/>
        </w:trPr>
        <w:tc>
          <w:tcPr>
            <w:tcW w:w="6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$161 as of September 30, 2025, is included in Other current liabilities on the Condensed Consolidated Balance Sheets.</w:t>
      </w:r>
    </w:p>
    <w:p>
      <w:pPr>
        <w:spacing w:after="0" w:line="121"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Lease expense was $104 and $101 for the three months ended September 30, 2025 and 2024, respectively, and $307 and $299 for the nine months ended September 30, 2025 and 2024, respectively.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8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groups its assets and liabilities measured at fair value in three levels based on the nature of the inputs and assumptions used to determine fair value.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additional information on the accounting policies related to fair value.</w:t>
      </w:r>
    </w:p>
    <w:p>
      <w:pPr>
        <w:spacing w:after="0" w:line="135"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September 30, 2025 and December 31, 2024, the Company had $33,765 and $29,036, respectively, primarily in money market funds that hold U.S. government cash equivalent instruments (included in cash and cash equivalents) which were valued based on Level 1 inputs. There were no transfers between levels within the hierarchy during the three and nine months ended September 30, 2025 and the year ended December 31, 2024.</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9"/>
        </w:trPr>
        <w:tc>
          <w:tcPr>
            <w:tcW w:w="4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4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4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Derivative liabilities are comprised of the OnkosXcel Warrants, BTI Warrants, and Option Warrants. The fair value of the derivative liabilities was determined using Binomial Option Pricing and Distribution models for the OnkosXcel Warrants and Option Warrants, and using a Black Scholes model for the BTI Warrants.</w:t>
      </w:r>
    </w:p>
    <w:p>
      <w:pPr>
        <w:spacing w:after="0" w:line="14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nine months ended September 30, 2025. Both observable and unobservable inputs were used to determine the fair value of positions that the Company has classified within the Level 3 category.</w:t>
      </w:r>
    </w:p>
    <w:p>
      <w:pPr>
        <w:spacing w:after="0" w:line="14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-3175</wp:posOffset>
            </wp:positionV>
            <wp:extent cx="12687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 of derivative liabilities - BTI Warrant (March 2025 Accompanying Warrants)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 of derivative liabilities - Option Warrant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derivative liabilities - Option Warrant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of derivative liabilities - BTI Warrant to permanent equity upon exercise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(11,548)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September 30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the derivative liabilities was reported in the Condensed Consolidated Statements of Operations as Other (income) expense, net, for the three and nine months ended September 30, 2025.</w:t>
      </w:r>
    </w:p>
    <w:p>
      <w:pPr>
        <w:spacing w:after="0" w:line="121"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115% based on the historical volatility of the Company’s stock, along with a peer group of comparable publicly traded companies), and the timing and probability of the relevant capital transactions occurring.</w:t>
      </w:r>
    </w:p>
    <w:p>
      <w:pPr>
        <w:spacing w:after="0" w:line="15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Option Warrants, the valuation inputs used were a strike price of $3.50, the Company’s stock price of $2.70, volatility of 39.2% (adjusted to set the value of securities in the March 2025 Offering equal to the consideration paid), a term of 0.04 years and a risk-free rate of 4.39%. The Option Warrants expired on March 18, 2025 without being exercised, and the Company recorded a termination gain of $369 in Other (income) expense, net, in the Company’s Condensed Consolidated Statements of Operations.</w:t>
      </w:r>
    </w:p>
    <w:p>
      <w:pPr>
        <w:spacing w:after="0" w:line="14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estimating the fair value of the derivative liability related to the BTI Warrants – March 2025 Accompanying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Warrants, the valuation inputs used were a strike price of $4.20, the Company’s stock price of $2.70, volatility of 39.2%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(adjusted to set the value of securities in the March 2025 Offering equal to the consideration paid), a term of 5 years and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risk-free rate of 4.01%. The Company remeasured the fair value of the remaining warrants at September 30, 2025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$1,001, and for the three and nine months ended September 30, 2025 recorded a net loss of $586 and a net gain of $1,268,</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respectively, within Other (income) expense, net in the Company’s Condensed Consolidated Statements of Operations.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valuation inputs used as of September 30, 2025 were a strike price of $4.20, the Company’s stock price of $2.56,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volatility of 41.0%, term of 4.4 years and risk-free rate of 3.71%.</w:t>
      </w:r>
    </w:p>
    <w:p>
      <w:pPr>
        <w:spacing w:after="0" w:line="207"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Credit Agreement as of September 30, 2025 and December 31, 2024 was $107,363 and $94,204, respectively. Both observable and unobservable inputs were used to determine the fair value of long-term debt, which was classified within the Level 3 category.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BTI warrants issued and outstanding by the Company and the corresponding balance sheet classification:</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 Recipient</w:t>
            </w:r>
          </w:p>
        </w:tc>
        <w:tc>
          <w:tcPr>
            <w:tcW w:w="25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173"/>
        </w:trPr>
        <w:tc>
          <w:tcPr>
            <w:tcW w:w="2780" w:type="dxa"/>
            <w:vAlign w:val="bottom"/>
            <w:gridSpan w:val="2"/>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Closing Date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4/19/2022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2023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12/5/2023</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2024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9"/>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3/25/2024</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9.136</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6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6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Heights Capital Management</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Hudson Bay Capital Management</w:t>
            </w: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IntraCoastal Capital, LLC</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Murchison Capital Partners, LP and assignees</w:t>
            </w:r>
          </w:p>
        </w:tc>
        <w:tc>
          <w:tcPr>
            <w:tcW w:w="252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March 2025 Accompanying Warrants</w:t>
            </w:r>
          </w:p>
        </w:tc>
        <w:tc>
          <w:tcPr>
            <w:tcW w:w="8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3/4/2025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warrants issued</w:t>
            </w:r>
          </w:p>
        </w:tc>
        <w:tc>
          <w:tcPr>
            <w:tcW w:w="2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Closing Date Warrants, which was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$320.64, the Company’s stock price of $238.88, volatility of 95%, term of 7 years and risk-free rate of 2.95%.</w:t>
      </w:r>
    </w:p>
    <w:p>
      <w:pPr>
        <w:spacing w:after="0" w:line="174"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9, Debt and Credit Facilities, in connection with the closing of the Second Amendment of the Credit Agreement, on the Second Amendment Effective Date, the Company amended and restated the Closing Date Warrants granted to the Lenders to have an exercise price of $58.3232 per share.</w:t>
      </w:r>
    </w:p>
    <w:p>
      <w:pPr>
        <w:spacing w:after="0" w:line="176" w:lineRule="exact"/>
        <w:rPr>
          <w:sz w:val="20"/>
          <w:szCs w:val="20"/>
          <w:color w:val="auto"/>
        </w:rPr>
      </w:pPr>
    </w:p>
    <w:p>
      <w:pPr>
        <w:ind w:left="60" w:right="299" w:firstLine="324"/>
        <w:spacing w:after="0" w:line="277" w:lineRule="auto"/>
        <w:rPr>
          <w:sz w:val="20"/>
          <w:szCs w:val="20"/>
          <w:color w:val="auto"/>
        </w:rPr>
      </w:pPr>
      <w:r>
        <w:rPr>
          <w:rFonts w:ascii="Times New Roman" w:cs="Times New Roman" w:eastAsia="Times New Roman" w:hAnsi="Times New Roman"/>
          <w:sz w:val="17"/>
          <w:szCs w:val="17"/>
          <w:color w:val="auto"/>
        </w:rPr>
        <w:t>Using a Black-Scholes pricing model, the Company determined that the Closing Date Warrants’ fair values at the original strike price of $320.64 and the amended strike price of $58.3232 were $548 and $802, respectively, as of the Second Amendment Effective Date. The Closing Date Warrants’ incremental increase in fair value for the repricing of $254, was recorded as a component of stockholders’ equity in Additional-paid-in-capital in the Condensed Consolidated Balance Sheets, with the offset recorded as a discount on the amounts refinanced under the Credit Agreement.</w:t>
      </w:r>
    </w:p>
    <w:p>
      <w:pPr>
        <w:spacing w:after="0" w:line="16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Second Amendment, the Company issued 4 “2023 Warrants” at a strike price of $58.3232 per share. The fair value of the 2023 Warrants, which is a non-recurring fair value, was determined as of the date of issuance using a Black-Scholes pricing model and the fair value of $200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 were a strike price of $58.3232, the Company’s stock price of $59.36, volatility of 99%, term of 5.4 years and risk-free rate of 4.14%.</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Fourth Amendment, the Company issued 6 “2024 Warrants” at a strike price of $49.1568 per share. The fair value of the “2024 Warrants”, which was a non-recurring fair value, was determined as of the date of issuance using a Black-Scholes pricing model and the fair value of $224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$49.1568, the Company’s stock price of $44.48, volatility of 112.2%, term of 5 years and risk-free rate of 4.25%.</w:t>
      </w:r>
    </w:p>
    <w:p>
      <w:pPr>
        <w:spacing w:after="0" w:line="189" w:lineRule="exact"/>
        <w:rPr>
          <w:sz w:val="20"/>
          <w:szCs w:val="20"/>
          <w:color w:val="auto"/>
        </w:rPr>
      </w:pPr>
    </w:p>
    <w:p>
      <w:pPr>
        <w:jc w:val="both"/>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Fifth Amendment of the Credit Agreement, on the Fifth Amendment Effective Date of November 25, 2024, the Company amended and restated the Closing Date Warrants, 2023 Warrants, and 2024 Warrants granted to the Lenders to have an exercise price of $7.68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Using a Black-Scholes pricing model, the Company determined that the Closing Date Warrants, 2023 Warrants, and 2024 Warrants’ fair values at the previously amended strike price of $58.3232 and original strike price of $49.1568 the amended strike price of $7.68 were $105 and $164, respectively, as of the Fifth Amendment Effective Date. The Closing Date Warrants, 2023 Warrants, and 2024 Warrants’ incremental increase in fair value for the repricing of $59, was recorded as a component of stockholders’ equity in Additional-paid-in-capital in the Condensed Consolidated Balance Sheets, with the offset recorded as a discount on the amounts refinanced under the Credit Agreement.</w:t>
      </w:r>
    </w:p>
    <w:p>
      <w:pPr>
        <w:spacing w:after="0" w:line="18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Accompanying Warrants at issuance on March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On November 25, 2024, 534 of the 539 Accompanying Warrants’ strike price were amended to $9.136. The Company remeasured the Accompanying Warrants’ fair value at September 30, 2025 of $916, and for the three and nine months ended September 30, 2025 recorded a net loss of $352 and a net gain of $1,405, respectively, within Other (income) expense, net in the Company’s Condensed Consolidated Statements of Operations. The valuation inputs used as of September 30, 2025 were strike prices of $9.136 and $51.20 for 534 and 5 Accompanying Warrants, respectively, the Company’s stock price of $2.56, volatility of 137.1%, term of 3.5 years and risk-free rate of 3.64%.</w:t>
      </w:r>
    </w:p>
    <w:p>
      <w:pPr>
        <w:spacing w:after="0" w:line="18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November 2024 Accompanying Warrants at issuance on November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The Company remeasured the November 2024 Accompanying Warrants’ fair value at September 30, 2025 of $1,650, and for the three and nine months ended September 30, 2025 recorded a net loss of $617 and a net gain of $2,623, respectively, within Other (income) expense, net in the Company’s Condensed Consolidated Statements of Operations. The valuation inputs used as of September 30, 2025 were a strike price of $7.68, the Company’s stock price of $2.56, volatility of 128.4%, term of 4.1 years and risk-free rate of 3.69%.</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(30,911)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(57,352)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and performance units, and BTI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common stock equivalents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4"/>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9"/>
        </w:trPr>
        <w:tc>
          <w:tcPr>
            <w:tcW w:w="6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r>
      <w:tr>
        <w:trPr>
          <w:trHeight w:val="209"/>
        </w:trPr>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BTI Warrants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Borders>
              <w:bottom w:val="single" w:sz="8" w:color="CCEEFF"/>
            </w:tcBorders>
          </w:tcPr>
          <w:p>
            <w:pPr>
              <w:spacing w:after="0"/>
              <w:rPr>
                <w:sz w:val="18"/>
                <w:szCs w:val="18"/>
                <w:color w:val="auto"/>
              </w:rPr>
            </w:pPr>
          </w:p>
        </w:tc>
      </w:tr>
      <w:tr>
        <w:trPr>
          <w:trHeight w:val="209"/>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0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items below, the Company is not currently subject to any matters where it believes there is a reasonable possibility that a material loss may be incurred.</w:t>
      </w:r>
    </w:p>
    <w:p>
      <w:pPr>
        <w:spacing w:after="0" w:line="13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xml:space="preserve">, 3:23-cv-00915 (D. Conn). The case has since been renamed to </w:t>
      </w:r>
      <w:r>
        <w:rPr>
          <w:rFonts w:ascii="Times New Roman" w:cs="Times New Roman" w:eastAsia="Times New Roman" w:hAnsi="Times New Roman"/>
          <w:sz w:val="18"/>
          <w:szCs w:val="18"/>
          <w:i w:val="1"/>
          <w:iCs w:val="1"/>
          <w:color w:val="auto"/>
        </w:rPr>
        <w:t>Hills et al v. BioXcel Therapeutics, Inc. et</w:t>
      </w:r>
      <w:r>
        <w:rPr>
          <w:rFonts w:ascii="Times New Roman" w:cs="Times New Roman" w:eastAsia="Times New Roman" w:hAnsi="Times New Roman"/>
          <w:sz w:val="18"/>
          <w:szCs w:val="18"/>
          <w:color w:val="auto"/>
        </w:rPr>
        <w:t xml:space="preserve"> al.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On September 29, 2025, the Court issued an order granting Plaintiffs’ motion for leave to amend, denying Defendants’ motion to dismiss as moot, and allowing Plaintiffs to proceed on certain of their claims. The Company filed an answer to the third amended complaint on October 28, 2025.</w:t>
      </w:r>
    </w:p>
    <w:p>
      <w:pPr>
        <w:spacing w:after="0" w:line="15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xml:space="preserve">, 3:23-cv-1554 (D. Conn.). On October 30, 2025, the Court entered the parties’ joint stipulation staying the consolidated action until the resolution of </w:t>
      </w:r>
      <w:r>
        <w:rPr>
          <w:rFonts w:ascii="Times New Roman" w:cs="Times New Roman" w:eastAsia="Times New Roman" w:hAnsi="Times New Roman"/>
          <w:sz w:val="18"/>
          <w:szCs w:val="18"/>
          <w:i w:val="1"/>
          <w:iCs w:val="1"/>
          <w:color w:val="auto"/>
        </w:rPr>
        <w:t>Hills v. BioXcel et al</w:t>
      </w:r>
      <w:r>
        <w:rPr>
          <w:rFonts w:ascii="Times New Roman" w:cs="Times New Roman" w:eastAsia="Times New Roman" w:hAnsi="Times New Roman"/>
          <w:sz w:val="18"/>
          <w:szCs w:val="18"/>
          <w:color w:val="auto"/>
        </w:rPr>
        <w:t>, 3:23-cv-00915 (D. Conn.).</w:t>
      </w:r>
    </w:p>
    <w:p>
      <w:pPr>
        <w:spacing w:after="0" w:line="16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 Mehta et al,</w:t>
      </w:r>
      <w:r>
        <w:rPr>
          <w:rFonts w:ascii="Times New Roman" w:cs="Times New Roman" w:eastAsia="Times New Roman" w:hAnsi="Times New Roman"/>
          <w:sz w:val="18"/>
          <w:szCs w:val="18"/>
          <w:color w:val="auto"/>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xml:space="preserve">, 1:24-cv-00041 (D. Del.). On October 30, 2025, the Court entered the parties’ joint stipulation staying the consolidated action until the resolution of </w:t>
      </w:r>
      <w:r>
        <w:rPr>
          <w:rFonts w:ascii="Times New Roman" w:cs="Times New Roman" w:eastAsia="Times New Roman" w:hAnsi="Times New Roman"/>
          <w:sz w:val="18"/>
          <w:szCs w:val="18"/>
          <w:i w:val="1"/>
          <w:iCs w:val="1"/>
          <w:color w:val="auto"/>
        </w:rPr>
        <w:t>Hills v. BioXcel et al</w:t>
      </w:r>
      <w:r>
        <w:rPr>
          <w:rFonts w:ascii="Times New Roman" w:cs="Times New Roman" w:eastAsia="Times New Roman" w:hAnsi="Times New Roman"/>
          <w:sz w:val="18"/>
          <w:szCs w:val="18"/>
          <w:color w:val="auto"/>
        </w:rPr>
        <w:t>, 3:23-cv-00915 (D. Conn.).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 w:cs="Times New Roman" w:eastAsia="Times New Roman" w:hAnsi="Times New Roman"/>
          <w:sz w:val="18"/>
          <w:szCs w:val="18"/>
          <w:i w:val="1"/>
          <w:iCs w:val="1"/>
          <w:color w:val="auto"/>
        </w:rPr>
        <w:t>Yaakov Portnoy, derivatively on behalf of BioXcel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Vimal Mehta, et al</w:t>
      </w:r>
      <w:r>
        <w:rPr>
          <w:rFonts w:ascii="Times New Roman" w:cs="Times New Roman" w:eastAsia="Times New Roman" w:hAnsi="Times New Roman"/>
          <w:sz w:val="18"/>
          <w:szCs w:val="18"/>
          <w:color w:val="auto"/>
        </w:rPr>
        <w:t>, 2025-0508-BWD (Del. Ch.). The complaint alleges similar claims to those raised in</w:t>
      </w:r>
      <w:r>
        <w:rPr>
          <w:rFonts w:ascii="Times New Roman" w:cs="Times New Roman" w:eastAsia="Times New Roman" w:hAnsi="Times New Roman"/>
          <w:sz w:val="18"/>
          <w:szCs w:val="18"/>
          <w:i w:val="1"/>
          <w:iCs w:val="1"/>
          <w:color w:val="auto"/>
        </w:rPr>
        <w:t xml:space="preserve"> In re BioXcel Therapeutics, Inc. Derivative Litigation</w:t>
      </w:r>
      <w:r>
        <w:rPr>
          <w:rFonts w:ascii="Times New Roman" w:cs="Times New Roman" w:eastAsia="Times New Roman" w:hAnsi="Times New Roman"/>
          <w:sz w:val="18"/>
          <w:szCs w:val="18"/>
          <w:color w:val="auto"/>
        </w:rPr>
        <w:t>, 1:24-cv-00041 (D. Del.), including business torts.</w:t>
      </w:r>
    </w:p>
    <w:p>
      <w:pPr>
        <w:spacing w:after="0" w:line="160"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9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reduced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 In addition, the Company agreed to make a reconciliation payment of $1,200 in the third quarter of 2024 for full settlement for amounts due prior to the July 11, 2024 amendment.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0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utilizing artificial intelligence (“AI”) to develop transformative medicines in neuroscience and immuno-oncology. The Company is focused on utilizing cutting-edge technology and innovative research to develop high-value therapeutics aimed at transforming patients’ lives. The Company’s approach employs a unique AI platform to reduce therapeutic development costs and potentially accelerate development timelines.</w:t>
      </w:r>
    </w:p>
    <w:p>
      <w:pPr>
        <w:spacing w:after="0" w:line="143"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Consistent with the operational structure, the Chief Executive Officer, as the chief operating decision maker (“CODM”), reviews weekly cash usage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16"/>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Clinical trials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16"/>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09"/>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24,534</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costs: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09"/>
        </w:trPr>
        <w:tc>
          <w:tcPr>
            <w:tcW w:w="388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commercial costs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r>
      <w:tr>
        <w:trPr>
          <w:trHeight w:val="178"/>
        </w:trPr>
        <w:tc>
          <w:tcPr>
            <w:tcW w:w="3880" w:type="dxa"/>
            <w:vAlign w:val="bottom"/>
          </w:tcPr>
          <w:p>
            <w:pPr>
              <w:ind w:left="400"/>
              <w:spacing w:after="0" w:line="177"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4"/>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200" w:type="dxa"/>
            <w:vAlign w:val="bottom"/>
          </w:tcPr>
          <w:p>
            <w:pPr>
              <w:spacing w:after="0"/>
              <w:rPr>
                <w:sz w:val="20"/>
                <w:szCs w:val="20"/>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25,633</w:t>
            </w: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10"/>
        </w:trPr>
        <w:tc>
          <w:tcPr>
            <w:tcW w:w="3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40,565</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58,652</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w:t>
            </w: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(48,740)</w:t>
            </w:r>
          </w:p>
        </w:tc>
      </w:tr>
      <w:tr>
        <w:trPr>
          <w:trHeight w:val="21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(30,911)</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(57,352)</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00"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the Company filed a prospectus supplement with the Securities and Exchange Commission for the offer and sale of up to $80,000 shares of common stock pursuant to the Equity Distribution Agreement with Canaccord. After September 30, 2025 but before financial statement issuance, the Company sold 1,870 shares under the Equity Distribution Agreement for gross proceeds of $4,863 and received proceeds of $4,766, net of issuance costs of $97.</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2024.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(Nasdaq: BTAI, “the Company”) is a biopharmaceutical company built on artificial intelligence (“AI”) to develop transformative medicines in neuroscience. Our wholly owned subsidiary, OnkosXcel Therapeutics, is focused on the development of medicines in immuno-oncology. We utilize cutting-edge technology and innovative research to develop high-value therapeutics aimed at transforming patients’ lives. We developed a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proven its potential to reduce the expense and time associated with drug development in diseases with substantial unmet medical needs.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89" w:lineRule="exact"/>
        <w:rPr>
          <w:sz w:val="20"/>
          <w:szCs w:val="20"/>
          <w:color w:val="auto"/>
        </w:rPr>
      </w:pPr>
    </w:p>
    <w:p>
      <w:pPr>
        <w:ind w:left="60" w:right="299" w:firstLine="324"/>
        <w:spacing w:after="0" w:line="236"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U.S. Food and Drug Administration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sublingual film formulation of dexmedetomidine in development for the treatment of agitation associated with psychiatric and neurological disorders. Our most advanced immuno-oncology asset, BXCL701, is an investigational oral innate immune activator from OnkosXcel Therapeutics as a potential therapy for the treatment of aggressive forms of prostate cancer, pancreatic cancer, and other solid and liquid tumors.</w:t>
      </w:r>
    </w:p>
    <w:p>
      <w:pPr>
        <w:spacing w:after="0" w:line="192" w:lineRule="exact"/>
        <w:rPr>
          <w:sz w:val="20"/>
          <w:szCs w:val="20"/>
          <w:color w:val="auto"/>
        </w:rPr>
      </w:pPr>
    </w:p>
    <w:p>
      <w:pPr>
        <w:jc w:val="both"/>
        <w:ind w:left="60" w:right="23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commercially available in doses of 120 and 180 micrograms (“mcg”).</w:t>
      </w:r>
    </w:p>
    <w:p>
      <w:pPr>
        <w:spacing w:after="0" w:line="200" w:lineRule="exact"/>
        <w:rPr>
          <w:sz w:val="20"/>
          <w:szCs w:val="20"/>
          <w:color w:val="auto"/>
        </w:rPr>
      </w:pPr>
    </w:p>
    <w:p>
      <w:pPr>
        <w:ind w:left="60" w:right="159" w:firstLine="324"/>
        <w:spacing w:after="0" w:line="233" w:lineRule="auto"/>
        <w:rPr>
          <w:sz w:val="20"/>
          <w:szCs w:val="20"/>
          <w:color w:val="auto"/>
        </w:rPr>
      </w:pPr>
      <w:r>
        <w:rPr>
          <w:rFonts w:ascii="Times New Roman" w:cs="Times New Roman" w:eastAsia="Times New Roman" w:hAnsi="Times New Roman"/>
          <w:sz w:val="18"/>
          <w:szCs w:val="18"/>
          <w:color w:val="auto"/>
        </w:rPr>
        <w:t>We have recently completed our SERENITY At-Home pivotal Phase 3 safety trial intended to support a supplemental new drug application (“sNDA”) submission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outpatient or at-home setting. On September 5, 2024, we announced the initiation of the trial, a double-blind, placebo-controlled study to evaluate the safety of a 120 mcg dose of BXCL501 in 200 patients for acute treatment of agitation associated with bipolar disorders or schizophrenia in the outpatient or at-home setting.</w:t>
      </w:r>
    </w:p>
    <w:p>
      <w:pPr>
        <w:spacing w:after="0" w:line="161" w:lineRule="exact"/>
        <w:rPr>
          <w:sz w:val="20"/>
          <w:szCs w:val="20"/>
          <w:color w:val="auto"/>
        </w:rPr>
      </w:pPr>
    </w:p>
    <w:p>
      <w:pPr>
        <w:ind w:left="60" w:right="379" w:firstLine="324"/>
        <w:spacing w:after="0" w:line="265" w:lineRule="auto"/>
        <w:rPr>
          <w:sz w:val="20"/>
          <w:szCs w:val="20"/>
          <w:color w:val="auto"/>
        </w:rPr>
      </w:pPr>
      <w:r>
        <w:rPr>
          <w:rFonts w:ascii="Times New Roman" w:cs="Times New Roman" w:eastAsia="Times New Roman" w:hAnsi="Times New Roman"/>
          <w:sz w:val="18"/>
          <w:szCs w:val="18"/>
          <w:color w:val="auto"/>
        </w:rPr>
        <w:t>On August 27, 2025 we announced that the SERENITY At-Home Pivotal Phase 3 trial evaluating the safety of BXCL501, as an acute treatment for agitation associated with bipolar disorders or schizophrenia in the at-home setting, met its primary endpoint. The data from this successful study will form the basis of the sNDA submission for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 planned for early first quarter of 2026.</w:t>
      </w:r>
    </w:p>
    <w:p>
      <w:pPr>
        <w:spacing w:after="0" w:line="64"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On September 10, 2025 we further announced positive topline exploratory efficacy data from the SERENITY At-Home Pivotal Phase 3 safety trial, which demonstrated BXCL501 had continued effects and consistent benefit with repeat dosing.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On October 10, 2025 we announced positive results from the correlation study related to exploratory efficacy outcomes from the SERENITY At-Home trial. The results demonstrated a strong correlation between the clinician assessments and the patient or caregiver (informant) assessments. The results, along with the data from the SERENITY At-Home trial, are expected to be included in the planned sNDA submission.</w:t>
      </w:r>
    </w:p>
    <w:p>
      <w:pPr>
        <w:spacing w:after="0" w:line="180"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TRANQUILITY program is designed to evaluate BXCL501 as a potential treatment option for agitation associated with Alzheimer’s dementia in the outpatient or at-home setting and in-care facilities. We have had several FDA meetings to discuss the development program, and the FDA has commented on the proposed protocol for our TRANQUILITY In-Care Phase 3 trial, which is designed to evaluate the efficacy and safety of a 60 mcg dose of BXCL501 for agitation associated with Alzheimer’s dementia. The Company is advancing plans for initiation of the trial upon funding. See further discussion in </w:t>
      </w:r>
      <w:r>
        <w:rPr>
          <w:rFonts w:ascii="Times New Roman" w:cs="Times New Roman" w:eastAsia="Times New Roman" w:hAnsi="Times New Roman"/>
          <w:sz w:val="18"/>
          <w:szCs w:val="18"/>
          <w:i w:val="1"/>
          <w:iCs w:val="1"/>
          <w:color w:val="auto"/>
        </w:rPr>
        <w:t>“Our Neuroscience Clinical Programs”</w:t>
      </w:r>
      <w:r>
        <w:rPr>
          <w:rFonts w:ascii="Times New Roman" w:cs="Times New Roman" w:eastAsia="Times New Roman" w:hAnsi="Times New Roman"/>
          <w:sz w:val="18"/>
          <w:szCs w:val="18"/>
          <w:color w:val="auto"/>
        </w:rPr>
        <w:t xml:space="preserve"> below.</w:t>
      </w:r>
    </w:p>
    <w:p>
      <w:pPr>
        <w:spacing w:after="0" w:line="187"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As described further below, we have deprioritized the development of BXCL501 for certain other proposed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-236855</wp:posOffset>
            </wp:positionV>
            <wp:extent cx="28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most advanced immuno-oncology candidate, BXCL701, is an investigational oral innate immune activator from OnkosXcel Therapeutics as a potential therapy for the treatment of aggressive forms of prostate cancer, pancreatic cancer, and other solid and liquid tumors. As described further below, we have deprioritized the development of our BXCL701 programs, except as noted under “Immuno-Oncology”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-225425</wp:posOffset>
            </wp:positionV>
            <wp:extent cx="28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 Clinical Prioritization</w:t>
      </w:r>
    </w:p>
    <w:p>
      <w:pPr>
        <w:spacing w:after="0" w:line="22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September 17, 2024, the Company reduced its workforce by an additional 28% to extend its cash runway and prioritize clinical development of BXCL501. The Company completed the Clinical Prioritization in October 2024, paid $475 of the related costs during the first quarter of 2025, and paid the remaining $128 during the second quarter of 2025.</w:t>
      </w:r>
    </w:p>
    <w:p>
      <w:pPr>
        <w:spacing w:after="0" w:line="158"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In the quarter ended September 30, 2025, we also reduced our investment in and utilization of our proprietary AI platform until additional funding is available.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b w:val="1"/>
          <w:bCs w:val="1"/>
          <w:color w:val="auto"/>
        </w:rPr>
        <w:t xml:space="preserve"> Commercialization Strategy</w:t>
      </w:r>
    </w:p>
    <w:p>
      <w:pPr>
        <w:spacing w:after="0" w:line="226" w:lineRule="exact"/>
        <w:rPr>
          <w:sz w:val="20"/>
          <w:szCs w:val="20"/>
          <w:color w:val="auto"/>
        </w:rPr>
      </w:pPr>
    </w:p>
    <w:p>
      <w:pPr>
        <w:ind w:left="60" w:right="159" w:firstLine="324"/>
        <w:spacing w:after="0" w:line="228" w:lineRule="auto"/>
        <w:rPr>
          <w:sz w:val="20"/>
          <w:szCs w:val="20"/>
          <w:color w:val="auto"/>
        </w:rPr>
      </w:pPr>
      <w:r>
        <w:rPr>
          <w:rFonts w:ascii="Times New Roman" w:cs="Times New Roman" w:eastAsia="Times New Roman" w:hAnsi="Times New Roman"/>
          <w:sz w:val="17"/>
          <w:szCs w:val="17"/>
          <w:color w:val="auto"/>
        </w:rPr>
        <w:t>We are continuing to supply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through existing distribution channels. At the same time, while seeking potential commercial partners, we are maintaining IGALMI’s market presence with minimal commercial resources following our Clinical Prioritization in 2024. Our commercialization efforts are designed to build the foundation to launch additional potential follow-on indications. If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would be approved outside the U.S., we would consider launching the product through collaborations with third parties. However, no foreign applications have been made at this time.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Neuroscience Clinical Programs and Investigator-Sponsored Trials</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major neuroscience clinical development programs and investigator-sponsored trials as of the date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03545" cy="27603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354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About BXCL501</w:t>
      </w:r>
    </w:p>
    <w:p>
      <w:pPr>
        <w:spacing w:after="0" w:line="202" w:lineRule="exact"/>
        <w:rPr>
          <w:sz w:val="20"/>
          <w:szCs w:val="20"/>
          <w:color w:val="auto"/>
        </w:rPr>
      </w:pPr>
    </w:p>
    <w:p>
      <w:pPr>
        <w:ind w:left="60" w:right="159" w:firstLine="324"/>
        <w:spacing w:after="0" w:line="233" w:lineRule="auto"/>
        <w:rPr>
          <w:sz w:val="20"/>
          <w:szCs w:val="20"/>
          <w:color w:val="auto"/>
        </w:rPr>
      </w:pPr>
      <w:r>
        <w:rPr>
          <w:rFonts w:ascii="Times New Roman" w:cs="Times New Roman" w:eastAsia="Times New Roman" w:hAnsi="Times New Roman"/>
          <w:sz w:val="18"/>
          <w:szCs w:val="18"/>
          <w:color w:val="auto"/>
        </w:rPr>
        <w:t>BXCL501 is our most advanced neuroscience clinical candidate.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sublingual film formulation of dexmedetomidine, a selective alpha-2 receptor agonist, targeting symptoms from stress-related behaviors such as agitation. BXCL501 is currently being evaluated for the acute treatment of agitation related to bipolar disorders or schizophrenia in the outpatient or at-home setting.</w:t>
      </w:r>
    </w:p>
    <w:p>
      <w:pPr>
        <w:spacing w:after="0" w:line="16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As a selective adrenergic agent with sublingual or buccal administration, BXCL501 is designed to be easily administered and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and benzodiazepines, which are currently used as first-line standard-of-care treatment for agitation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and, if approved for the respective indications, has the potential to become the standard of care for the acute treatment of agitation associated with these disorders.</w:t>
      </w:r>
    </w:p>
    <w:p>
      <w:pPr>
        <w:spacing w:after="0" w:line="154"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addition, based on its mechanism of action, we believe BXCL501 has the potential to address some symptoms of several additional diseases or conditions, including opioid use disorder (“OUD”), acute stress disorder (“ASD”) and post-traumatic stress disorder (“PTSD”). BXCL501 is currently being evaluated for treatment of patients with those conditions in clinical trials sponsored by leading academic research institutions. See Government-Supported Investigator-Sponsored Trials (“ISTs”) below.</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Late-Stage Clinical Programs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SERENITY Program: Acute Treatment of Agitation Associated with Bipolar I or II Disorder or Schizophrenia</w:t>
      </w:r>
    </w:p>
    <w:p>
      <w:pPr>
        <w:spacing w:after="0" w:line="200"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Under our SERENITY program, we are focused on the continued development of BXCL501 (currently marketed and commercialized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a potential treatment option for agitation associated with bipolar I or II disorder or schizophrenia in the outpatient or at-home setting. The Company has completed its SERENITY At-Home pivotal Phase 3 trial, which is designed as a double-blind, placebo-controlled study to evaluate the safety of a 120 mcg dose of BXCL501 in over 200 patients for acute treatment of agitation associated with bipolar disorders or schizophrenia in the outpatient or at-home setting.</w:t>
      </w:r>
    </w:p>
    <w:p>
      <w:pPr>
        <w:spacing w:after="0" w:line="160"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On August 18, 2025 we announced that the Company had received positive pre-sNDA meeting responses from the U.S. Food and Drug Administration (FDA). Based on the FDA’s feedback, the Company believes that the planned sNDA regulatory package will be sufficient to support the sNDA submission, which remains on track for early first quarter of 2026.</w:t>
      </w:r>
    </w:p>
    <w:p>
      <w:pPr>
        <w:spacing w:after="0" w:line="153"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primary purpose of the planned meeting was to gain alignment with the FDA regarding the content and format of the Company’s planned sNDA submission for the at-home (outpatient) use of BXCL501, including the clinical, nonclinical, and chemistry and manufacturing and controls (CMC) requirements. The Company concludes that the objectives of the pre-sNDA meeting have been accomplished based on the FDA’s written responses and has determined that the meeting, originally scheduled for August 20, 2025, was no longer required. The pre-sNDA preliminary meeting comments received from FDA on August 14, 2025, will serve as the official record. Acceptance of the sNDA will be subject to the FDA’s review of the complete filing.</w:t>
      </w:r>
    </w:p>
    <w:p>
      <w:pPr>
        <w:spacing w:after="0" w:line="148" w:lineRule="exact"/>
        <w:rPr>
          <w:sz w:val="20"/>
          <w:szCs w:val="20"/>
          <w:color w:val="auto"/>
        </w:rPr>
      </w:pPr>
    </w:p>
    <w:p>
      <w:pPr>
        <w:ind w:left="60" w:right="379" w:firstLine="324"/>
        <w:spacing w:after="0" w:line="233" w:lineRule="auto"/>
        <w:rPr>
          <w:sz w:val="20"/>
          <w:szCs w:val="20"/>
          <w:color w:val="auto"/>
        </w:rPr>
      </w:pPr>
      <w:r>
        <w:rPr>
          <w:rFonts w:ascii="Times New Roman" w:cs="Times New Roman" w:eastAsia="Times New Roman" w:hAnsi="Times New Roman"/>
          <w:sz w:val="18"/>
          <w:szCs w:val="18"/>
          <w:color w:val="auto"/>
        </w:rPr>
        <w:t>On August 27, 2025 we announced that the SERENITY At-Home Pivotal Phase 3 trial evaluating the safety of BXCL501, the Company’s proprietary, sublingual film formulation of dexmedetomidine, as an acute treatment for agitation associated with bipolar disorders or schizophrenia in the at-home setting, met its primary endpoint. The data from this successful study will form the basis of the sNDA submission for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SERENITY At-Home Topline Summary</w:t>
      </w:r>
    </w:p>
    <w:p>
      <w:pPr>
        <w:spacing w:after="0" w:line="202"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agitation episodes: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246 patients randomized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2,628 agitation episodes in 215 patients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Treated 2,437 episodes in 208 patients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 patients (81%) completed the full 12-week trial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of 11.7 agitation episodes recorded per treated patient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were able to successfully self-administer the film</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enrolled patients was 45% bipolar disorders and 55% schizophrenia</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SERENITY AT-Home Primary Endpoint Data</w:t>
      </w:r>
    </w:p>
    <w:p>
      <w:pPr>
        <w:spacing w:after="0" w:line="18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120 mcg dose of BXCL501 was well-tolerated in patients with episodes of agitation in the outpatient setting and met the primary objective. This tolerability outcome was observed across repeat dosing and through the duration of the trial.</w:t>
      </w:r>
    </w:p>
    <w:p>
      <w:pPr>
        <w:spacing w:after="0" w:line="135"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discontinuations due to tolerability in the BXCL501 arm</w:t>
      </w:r>
    </w:p>
    <w:p>
      <w:pPr>
        <w:spacing w:after="0" w:line="27" w:lineRule="exact"/>
        <w:rPr>
          <w:rFonts w:ascii="Times New Roman" w:cs="Times New Roman" w:eastAsia="Times New Roman" w:hAnsi="Times New Roman"/>
          <w:sz w:val="18"/>
          <w:szCs w:val="18"/>
          <w:color w:val="auto"/>
        </w:rPr>
      </w:pPr>
    </w:p>
    <w:p>
      <w:pPr>
        <w:ind w:left="720" w:right="419" w:hanging="319"/>
        <w:spacing w:after="0" w:line="204"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 profile consistent with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label and multiple clinical trials in the institutional setting</w:t>
      </w:r>
    </w:p>
    <w:p>
      <w:pPr>
        <w:spacing w:after="0" w:line="1" w:lineRule="exact"/>
        <w:rPr>
          <w:rFonts w:ascii="Times New Roman" w:cs="Times New Roman" w:eastAsia="Times New Roman" w:hAnsi="Times New Roman"/>
          <w:sz w:val="18"/>
          <w:szCs w:val="18"/>
          <w:color w:val="auto"/>
        </w:rPr>
      </w:pPr>
    </w:p>
    <w:p>
      <w:pPr>
        <w:ind w:left="2020" w:hanging="323"/>
        <w:spacing w:after="0"/>
        <w:tabs>
          <w:tab w:leader="none" w:pos="2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drug-related serious adverse events (SAEs), syncopes or falls reported</w:t>
      </w:r>
    </w:p>
    <w:p>
      <w:pPr>
        <w:spacing w:after="0" w:line="9" w:lineRule="exact"/>
        <w:rPr>
          <w:rFonts w:ascii="Times New Roman" w:cs="Times New Roman" w:eastAsia="Times New Roman" w:hAnsi="Times New Roman"/>
          <w:sz w:val="18"/>
          <w:szCs w:val="18"/>
          <w:color w:val="auto"/>
        </w:rPr>
      </w:pPr>
    </w:p>
    <w:p>
      <w:pPr>
        <w:ind w:left="2020" w:hanging="323"/>
        <w:spacing w:after="0"/>
        <w:tabs>
          <w:tab w:leader="none" w:pos="2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or unexpected treatment emergent adverse events (TEAEs)</w:t>
      </w:r>
    </w:p>
    <w:p>
      <w:pPr>
        <w:spacing w:after="0" w:line="9" w:lineRule="exact"/>
        <w:rPr>
          <w:rFonts w:ascii="Times New Roman" w:cs="Times New Roman" w:eastAsia="Times New Roman" w:hAnsi="Times New Roman"/>
          <w:sz w:val="18"/>
          <w:szCs w:val="18"/>
          <w:color w:val="auto"/>
        </w:rPr>
      </w:pPr>
    </w:p>
    <w:p>
      <w:pPr>
        <w:ind w:left="2020" w:hanging="323"/>
        <w:spacing w:after="0"/>
        <w:tabs>
          <w:tab w:leader="none" w:pos="2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severe TEAEs associated with BXCL501 treatment and most TEAEs were mild</w:t>
      </w:r>
    </w:p>
    <w:p>
      <w:pPr>
        <w:spacing w:after="0" w:line="9" w:lineRule="exact"/>
        <w:rPr>
          <w:rFonts w:ascii="Times New Roman" w:cs="Times New Roman" w:eastAsia="Times New Roman" w:hAnsi="Times New Roman"/>
          <w:sz w:val="18"/>
          <w:szCs w:val="18"/>
          <w:color w:val="auto"/>
        </w:rPr>
      </w:pPr>
    </w:p>
    <w:p>
      <w:pPr>
        <w:ind w:left="2020" w:hanging="323"/>
        <w:spacing w:after="0"/>
        <w:tabs>
          <w:tab w:leader="none" w:pos="2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trend of more frequent AEs over time or with repeat dosing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Tolerability remained consistent throughout the repeat dosing in the trial</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BXCL501 120 mcg Tolerability Profile Consistent with IGALMI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Label</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Treatment-Emergent</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Serenity I &amp; II</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Serenity At-Home</w:t>
            </w:r>
          </w:p>
        </w:tc>
        <w:tc>
          <w:tcPr>
            <w:tcW w:w="1120" w:type="dxa"/>
            <w:vAlign w:val="bottom"/>
          </w:tcPr>
          <w:p>
            <w:pPr>
              <w:spacing w:after="0"/>
              <w:rPr>
                <w:sz w:val="18"/>
                <w:szCs w:val="18"/>
                <w:color w:val="auto"/>
              </w:rPr>
            </w:pPr>
          </w:p>
        </w:tc>
      </w:tr>
      <w:tr>
        <w:trPr>
          <w:trHeight w:val="337"/>
        </w:trPr>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Adverse Events </w:t>
            </w:r>
            <w:r>
              <w:rPr>
                <w:rFonts w:ascii="Times New Roman" w:cs="Times New Roman" w:eastAsia="Times New Roman" w:hAnsi="Times New Roman"/>
                <w:sz w:val="26"/>
                <w:szCs w:val="26"/>
                <w:color w:val="auto"/>
                <w:vertAlign w:val="superscript"/>
              </w:rPr>
              <w:t>2</w:t>
            </w: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(IGALMI® Label</w:t>
            </w: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18"/>
                <w:szCs w:val="18"/>
                <w:color w:val="auto"/>
                <w:w w:val="98"/>
              </w:rPr>
              <w:t>)</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Adverse Event by Dose (Episode)</w:t>
            </w:r>
            <w:r>
              <w:rPr>
                <w:rFonts w:ascii="Times New Roman" w:cs="Times New Roman" w:eastAsia="Times New Roman" w:hAnsi="Times New Roman"/>
                <w:sz w:val="26"/>
                <w:szCs w:val="26"/>
                <w:color w:val="auto"/>
                <w:w w:val="98"/>
                <w:vertAlign w:val="superscript"/>
              </w:rPr>
              <w:t>1</w:t>
            </w:r>
          </w:p>
        </w:tc>
        <w:tc>
          <w:tcPr>
            <w:tcW w:w="1120" w:type="dxa"/>
            <w:vAlign w:val="bottom"/>
            <w:tcBorders>
              <w:bottom w:val="single" w:sz="8" w:color="auto"/>
            </w:tcBorders>
          </w:tcPr>
          <w:p>
            <w:pPr>
              <w:spacing w:after="0"/>
              <w:rPr>
                <w:sz w:val="24"/>
                <w:szCs w:val="24"/>
                <w:color w:val="auto"/>
              </w:rPr>
            </w:pPr>
          </w:p>
        </w:tc>
      </w:tr>
      <w:tr>
        <w:trPr>
          <w:trHeight w:val="209"/>
        </w:trPr>
        <w:tc>
          <w:tcPr>
            <w:tcW w:w="2180" w:type="dxa"/>
            <w:vAlign w:val="bottom"/>
          </w:tcPr>
          <w:p>
            <w:pPr>
              <w:spacing w:after="0"/>
              <w:rPr>
                <w:sz w:val="18"/>
                <w:szCs w:val="18"/>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Single Dose</w:t>
            </w: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First Dose</w:t>
            </w:r>
          </w:p>
        </w:tc>
        <w:tc>
          <w:tcPr>
            <w:tcW w:w="26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All Doses (2437 episodes)</w:t>
            </w:r>
          </w:p>
        </w:tc>
      </w:tr>
      <w:tr>
        <w:trPr>
          <w:trHeight w:val="191"/>
        </w:trPr>
        <w:tc>
          <w:tcPr>
            <w:tcW w:w="218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IGALMI®</w:t>
            </w:r>
          </w:p>
        </w:tc>
        <w:tc>
          <w:tcPr>
            <w:tcW w:w="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Placebo</w:t>
            </w:r>
          </w:p>
        </w:tc>
        <w:tc>
          <w:tcPr>
            <w:tcW w:w="10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BXCL501</w:t>
            </w: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Placebo</w:t>
            </w:r>
          </w:p>
        </w:tc>
        <w:tc>
          <w:tcPr>
            <w:tcW w:w="1500" w:type="dxa"/>
            <w:vAlign w:val="bottom"/>
            <w:gridSpan w:val="2"/>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BXCL501</w:t>
            </w:r>
          </w:p>
        </w:tc>
        <w:tc>
          <w:tcPr>
            <w:tcW w:w="112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8"/>
              </w:rPr>
              <w:t>Placebo</w:t>
            </w:r>
          </w:p>
        </w:tc>
      </w:tr>
      <w:tr>
        <w:trPr>
          <w:trHeight w:val="216"/>
        </w:trPr>
        <w:tc>
          <w:tcPr>
            <w:tcW w:w="2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N=255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N=252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N=106</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N=1277</w:t>
            </w:r>
          </w:p>
        </w:tc>
      </w:tr>
      <w:tr>
        <w:trPr>
          <w:trHeight w:val="216"/>
        </w:trPr>
        <w:tc>
          <w:tcPr>
            <w:tcW w:w="2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w:t>
            </w:r>
          </w:p>
        </w:tc>
        <w:tc>
          <w:tcPr>
            <w:tcW w:w="3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 (%)</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 (%)</w:t>
            </w:r>
          </w:p>
        </w:tc>
        <w:tc>
          <w:tcPr>
            <w:tcW w:w="15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N=1160</w:t>
            </w: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n (%)</w:t>
            </w:r>
          </w:p>
        </w:tc>
      </w:tr>
      <w:tr>
        <w:trPr>
          <w:trHeight w:val="234"/>
        </w:trPr>
        <w:tc>
          <w:tcPr>
            <w:tcW w:w="2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8"/>
              </w:rPr>
              <w:t>n (%)</w:t>
            </w:r>
          </w:p>
        </w:tc>
        <w:tc>
          <w:tcPr>
            <w:tcW w:w="1120" w:type="dxa"/>
            <w:vAlign w:val="bottom"/>
            <w:tcBorders>
              <w:bottom w:val="single" w:sz="8" w:color="auto"/>
            </w:tcBorders>
          </w:tcPr>
          <w:p>
            <w:pPr>
              <w:spacing w:after="0"/>
              <w:rPr>
                <w:sz w:val="20"/>
                <w:szCs w:val="20"/>
                <w:color w:val="auto"/>
              </w:rPr>
            </w:pPr>
          </w:p>
        </w:tc>
      </w:tr>
      <w:tr>
        <w:trPr>
          <w:trHeight w:val="209"/>
        </w:trPr>
        <w:tc>
          <w:tcPr>
            <w:tcW w:w="2180" w:type="dxa"/>
            <w:vAlign w:val="bottom"/>
            <w:tcBorders>
              <w:bottom w:val="single" w:sz="8" w:color="auto"/>
            </w:tcBorders>
          </w:tcPr>
          <w:p>
            <w:pPr>
              <w:ind w:left="120"/>
              <w:spacing w:after="0" w:line="210" w:lineRule="exact"/>
              <w:rPr>
                <w:sz w:val="20"/>
                <w:szCs w:val="20"/>
                <w:color w:val="auto"/>
              </w:rPr>
            </w:pPr>
            <w:r>
              <w:rPr>
                <w:rFonts w:ascii="Times New Roman" w:cs="Times New Roman" w:eastAsia="Times New Roman" w:hAnsi="Times New Roman"/>
                <w:sz w:val="17"/>
                <w:szCs w:val="17"/>
                <w:color w:val="auto"/>
              </w:rPr>
              <w:t xml:space="preserve">Somnolence </w:t>
            </w:r>
            <w:r>
              <w:rPr>
                <w:rFonts w:ascii="Times New Roman" w:cs="Times New Roman" w:eastAsia="Times New Roman" w:hAnsi="Times New Roman"/>
                <w:sz w:val="24"/>
                <w:szCs w:val="24"/>
                <w:color w:val="auto"/>
                <w:vertAlign w:val="superscript"/>
              </w:rPr>
              <w:t>3</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 (22%)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 (6%)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(22.5%)</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 (17%)</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(13.9%)</w:t>
            </w: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103 (8.1%)</w:t>
            </w:r>
          </w:p>
        </w:tc>
      </w:tr>
      <w:tr>
        <w:trPr>
          <w:trHeight w:val="191"/>
        </w:trPr>
        <w:tc>
          <w:tcPr>
            <w:tcW w:w="21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Oral</w:t>
            </w: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14 (6%)</w:t>
            </w:r>
          </w:p>
        </w:tc>
        <w:tc>
          <w:tcPr>
            <w:tcW w:w="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 (1%)</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 (0.9%)</w:t>
            </w:r>
          </w:p>
        </w:tc>
        <w:tc>
          <w:tcPr>
            <w:tcW w:w="1500" w:type="dxa"/>
            <w:vAlign w:val="bottom"/>
            <w:gridSpan w:val="2"/>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6 (0.5%)</w:t>
            </w:r>
          </w:p>
        </w:tc>
        <w:tc>
          <w:tcPr>
            <w:tcW w:w="112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1 (0.1%)</w:t>
            </w:r>
          </w:p>
        </w:tc>
      </w:tr>
      <w:tr>
        <w:trPr>
          <w:trHeight w:val="234"/>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Paresthesia/Hypoesthesia</w:t>
            </w: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9"/>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Dizziness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 (4 %)</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 (1%)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 (0.9%)</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2 (0.2%)</w:t>
            </w:r>
          </w:p>
        </w:tc>
      </w:tr>
      <w:tr>
        <w:trPr>
          <w:trHeight w:val="209"/>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Dry mouth</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 (7%)</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 (1%)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(6.9%)</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 (0.9%)</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24 (1.9%)</w:t>
            </w:r>
          </w:p>
        </w:tc>
      </w:tr>
      <w:tr>
        <w:trPr>
          <w:trHeight w:val="209"/>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Nausea</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 (2%)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 (2%)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50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6 (0.5%)</w:t>
            </w: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 (0.1%)</w:t>
            </w:r>
          </w:p>
        </w:tc>
      </w:tr>
      <w:tr>
        <w:trPr>
          <w:trHeight w:val="209"/>
        </w:trPr>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Headache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 (5%)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 (5%)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(1.9%)</w:t>
            </w:r>
          </w:p>
        </w:tc>
        <w:tc>
          <w:tcPr>
            <w:tcW w:w="15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4 (0.3%)</w:t>
            </w: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4 (0.3%)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-2056765</wp:posOffset>
            </wp:positionV>
            <wp:extent cx="5606415" cy="2065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065655"/>
                    </a:xfrm>
                    <a:prstGeom prst="rect">
                      <a:avLst/>
                    </a:prstGeom>
                    <a:noFill/>
                  </pic:spPr>
                </pic:pic>
              </a:graphicData>
            </a:graphic>
          </wp:anchor>
        </w:drawing>
      </w:r>
    </w:p>
    <w:p>
      <w:pPr>
        <w:ind w:left="60" w:right="139" w:hanging="10"/>
        <w:spacing w:after="0" w:line="229" w:lineRule="auto"/>
        <w:tabs>
          <w:tab w:leader="none" w:pos="161"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SERENITY I and II evaluated a single agitation episode in patient in clinic. SERENITY AT-Home evaluated 2437 episodes in 208 patients. Adverse events are presented on an episode basis as each episode was evaluated as an independent event. </w:t>
      </w:r>
      <w:r>
        <w:rPr>
          <w:rFonts w:ascii="Arial" w:cs="Arial" w:eastAsia="Arial" w:hAnsi="Arial"/>
          <w:sz w:val="17"/>
          <w:szCs w:val="17"/>
          <w:color w:val="auto"/>
        </w:rPr>
        <w:t>O</w:t>
      </w:r>
      <w:r>
        <w:rPr>
          <w:rFonts w:ascii="Times New Roman" w:cs="Times New Roman" w:eastAsia="Times New Roman" w:hAnsi="Times New Roman"/>
          <w:sz w:val="16"/>
          <w:szCs w:val="16"/>
          <w:color w:val="auto"/>
        </w:rPr>
        <w:t>nly AEs observed in Serenity At-Home Pivotal Phase 3 trial are listed</w:t>
      </w:r>
    </w:p>
    <w:p>
      <w:pPr>
        <w:spacing w:after="0" w:line="2" w:lineRule="exact"/>
        <w:rPr>
          <w:rFonts w:ascii="Times New Roman" w:cs="Times New Roman" w:eastAsia="Times New Roman" w:hAnsi="Times New Roman"/>
          <w:sz w:val="24"/>
          <w:szCs w:val="24"/>
          <w:color w:val="auto"/>
          <w:vertAlign w:val="superscript"/>
        </w:rPr>
      </w:pPr>
    </w:p>
    <w:p>
      <w:pPr>
        <w:ind w:left="60"/>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6"/>
          <w:szCs w:val="16"/>
          <w:color w:val="auto"/>
        </w:rPr>
        <w:t xml:space="preserve"> AEs within 24 hours following dosing</w:t>
      </w:r>
    </w:p>
    <w:p>
      <w:pPr>
        <w:spacing w:after="0" w:line="1" w:lineRule="exact"/>
        <w:rPr>
          <w:rFonts w:ascii="Times New Roman" w:cs="Times New Roman" w:eastAsia="Times New Roman" w:hAnsi="Times New Roman"/>
          <w:sz w:val="24"/>
          <w:szCs w:val="24"/>
          <w:color w:val="auto"/>
          <w:vertAlign w:val="superscript"/>
        </w:rPr>
      </w:pPr>
    </w:p>
    <w:p>
      <w:pPr>
        <w:ind w:left="6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6"/>
          <w:szCs w:val="16"/>
          <w:color w:val="auto"/>
        </w:rPr>
        <w:t xml:space="preserve"> Includes fatigue</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Tolerability Profile Consistent with Repeat Dosing</w:t>
      </w:r>
      <w:r>
        <w:rPr>
          <w:rFonts w:ascii="Times New Roman" w:cs="Times New Roman" w:eastAsia="Times New Roman" w:hAnsi="Times New Roman"/>
          <w:sz w:val="26"/>
          <w:szCs w:val="26"/>
          <w:b w:val="1"/>
          <w:bCs w:val="1"/>
          <w:color w:val="auto"/>
          <w:vertAlign w:val="superscript"/>
        </w:rPr>
        <w:t>1</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Doses 1-3</w:t>
            </w:r>
          </w:p>
        </w:tc>
        <w:tc>
          <w:tcPr>
            <w:tcW w:w="300" w:type="dxa"/>
            <w:vAlign w:val="bottom"/>
          </w:tcPr>
          <w:p>
            <w:pPr>
              <w:spacing w:after="0"/>
              <w:rPr>
                <w:sz w:val="18"/>
                <w:szCs w:val="18"/>
                <w:color w:val="auto"/>
              </w:rPr>
            </w:pPr>
          </w:p>
        </w:tc>
        <w:tc>
          <w:tcPr>
            <w:tcW w:w="18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Doses 4 to 12</w:t>
            </w:r>
          </w:p>
        </w:tc>
        <w:tc>
          <w:tcPr>
            <w:tcW w:w="38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Doses 13 and beyond</w:t>
            </w: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100" w:type="dxa"/>
            <w:vAlign w:val="bottom"/>
          </w:tcPr>
          <w:p>
            <w:pPr>
              <w:spacing w:after="0"/>
              <w:rPr>
                <w:sz w:val="19"/>
                <w:szCs w:val="19"/>
                <w:color w:val="auto"/>
              </w:rPr>
            </w:pPr>
          </w:p>
        </w:tc>
        <w:tc>
          <w:tcPr>
            <w:tcW w:w="11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BXCL501</w:t>
            </w:r>
          </w:p>
        </w:tc>
        <w:tc>
          <w:tcPr>
            <w:tcW w:w="10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PLACEBO</w:t>
            </w:r>
          </w:p>
        </w:tc>
        <w:tc>
          <w:tcPr>
            <w:tcW w:w="10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BXCL501</w:t>
            </w:r>
          </w:p>
        </w:tc>
        <w:tc>
          <w:tcPr>
            <w:tcW w:w="10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PLACEBO</w:t>
            </w:r>
          </w:p>
        </w:tc>
        <w:tc>
          <w:tcPr>
            <w:tcW w:w="11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BXCL501</w:t>
            </w:r>
          </w:p>
        </w:tc>
        <w:tc>
          <w:tcPr>
            <w:tcW w:w="12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PLACEBO</w:t>
            </w: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Treatment-Emergent</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w:t>
            </w: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1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N=265</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N=274</w:t>
            </w:r>
          </w:p>
        </w:tc>
        <w:tc>
          <w:tcPr>
            <w:tcW w:w="300" w:type="dxa"/>
            <w:vAlign w:val="bottom"/>
          </w:tcPr>
          <w:p>
            <w:pPr>
              <w:spacing w:after="0"/>
              <w:rPr>
                <w:sz w:val="16"/>
                <w:szCs w:val="16"/>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N=398</w:t>
            </w:r>
          </w:p>
        </w:tc>
        <w:tc>
          <w:tcPr>
            <w:tcW w:w="300" w:type="dxa"/>
            <w:vAlign w:val="bottom"/>
          </w:tcPr>
          <w:p>
            <w:pPr>
              <w:spacing w:after="0"/>
              <w:rPr>
                <w:sz w:val="16"/>
                <w:szCs w:val="16"/>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N=483</w:t>
            </w:r>
          </w:p>
        </w:tc>
        <w:tc>
          <w:tcPr>
            <w:tcW w:w="3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00" w:type="dxa"/>
            <w:vAlign w:val="bottom"/>
            <w:vMerge w:val="restart"/>
          </w:tcPr>
          <w:p>
            <w:pPr>
              <w:ind w:left="120"/>
              <w:spacing w:after="0" w:line="223" w:lineRule="exact"/>
              <w:rPr>
                <w:sz w:val="20"/>
                <w:szCs w:val="20"/>
                <w:color w:val="auto"/>
              </w:rPr>
            </w:pPr>
            <w:r>
              <w:rPr>
                <w:rFonts w:ascii="Times New Roman" w:cs="Times New Roman" w:eastAsia="Times New Roman" w:hAnsi="Times New Roman"/>
                <w:sz w:val="17"/>
                <w:szCs w:val="17"/>
                <w:color w:val="auto"/>
              </w:rPr>
              <w:t xml:space="preserve">Adverse Event </w:t>
            </w:r>
            <w:r>
              <w:rPr>
                <w:rFonts w:ascii="Times New Roman" w:cs="Times New Roman" w:eastAsia="Times New Roman" w:hAnsi="Times New Roman"/>
                <w:sz w:val="25"/>
                <w:szCs w:val="25"/>
                <w:color w:val="auto"/>
                <w:vertAlign w:val="superscript"/>
              </w:rPr>
              <w:t>2</w:t>
            </w:r>
          </w:p>
        </w:tc>
        <w:tc>
          <w:tcPr>
            <w:tcW w:w="3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2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6"/>
              </w:rPr>
              <w:t>496</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N=517</w:t>
            </w:r>
          </w:p>
        </w:tc>
        <w:tc>
          <w:tcPr>
            <w:tcW w:w="0" w:type="dxa"/>
            <w:vAlign w:val="bottom"/>
          </w:tcPr>
          <w:p>
            <w:pPr>
              <w:spacing w:after="0"/>
              <w:rPr>
                <w:sz w:val="1"/>
                <w:szCs w:val="1"/>
                <w:color w:val="auto"/>
              </w:rPr>
            </w:pPr>
          </w:p>
        </w:tc>
      </w:tr>
      <w:tr>
        <w:trPr>
          <w:trHeight w:val="90"/>
        </w:trPr>
        <w:tc>
          <w:tcPr>
            <w:tcW w:w="21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 (%)</w:t>
            </w:r>
          </w:p>
        </w:tc>
        <w:tc>
          <w:tcPr>
            <w:tcW w:w="320" w:type="dxa"/>
            <w:vAlign w:val="bottom"/>
          </w:tcPr>
          <w:p>
            <w:pPr>
              <w:spacing w:after="0"/>
              <w:rPr>
                <w:sz w:val="20"/>
                <w:szCs w:val="2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 (%)</w:t>
            </w:r>
          </w:p>
        </w:tc>
        <w:tc>
          <w:tcPr>
            <w:tcW w:w="300" w:type="dxa"/>
            <w:vAlign w:val="bottom"/>
          </w:tcPr>
          <w:p>
            <w:pPr>
              <w:spacing w:after="0"/>
              <w:rPr>
                <w:sz w:val="20"/>
                <w:szCs w:val="2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 (%)</w:t>
            </w:r>
          </w:p>
        </w:tc>
        <w:tc>
          <w:tcPr>
            <w:tcW w:w="300" w:type="dxa"/>
            <w:vAlign w:val="bottom"/>
          </w:tcPr>
          <w:p>
            <w:pPr>
              <w:spacing w:after="0"/>
              <w:rPr>
                <w:sz w:val="20"/>
                <w:szCs w:val="20"/>
                <w:color w:val="auto"/>
              </w:rPr>
            </w:pPr>
          </w:p>
        </w:tc>
        <w:tc>
          <w:tcPr>
            <w:tcW w:w="7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8"/>
              </w:rPr>
              <w:t>n (%)</w:t>
            </w: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n (%)</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 (%)</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vMerge w:val="continue"/>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auto"/>
            </w:tcBorders>
          </w:tcPr>
          <w:p>
            <w:pPr>
              <w:ind w:left="120"/>
              <w:spacing w:after="0" w:line="210" w:lineRule="exact"/>
              <w:rPr>
                <w:sz w:val="20"/>
                <w:szCs w:val="20"/>
                <w:color w:val="auto"/>
              </w:rPr>
            </w:pPr>
            <w:r>
              <w:rPr>
                <w:rFonts w:ascii="Times New Roman" w:cs="Times New Roman" w:eastAsia="Times New Roman" w:hAnsi="Times New Roman"/>
                <w:sz w:val="17"/>
                <w:szCs w:val="17"/>
                <w:color w:val="auto"/>
              </w:rPr>
              <w:t xml:space="preserve">Somnolence </w:t>
            </w:r>
            <w:r>
              <w:rPr>
                <w:rFonts w:ascii="Times New Roman" w:cs="Times New Roman" w:eastAsia="Times New Roman" w:hAnsi="Times New Roman"/>
                <w:sz w:val="24"/>
                <w:szCs w:val="24"/>
                <w:color w:val="auto"/>
                <w:vertAlign w:val="superscript"/>
              </w:rPr>
              <w:t>3</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42 (8.5%)</w:t>
            </w:r>
          </w:p>
        </w:tc>
        <w:tc>
          <w:tcPr>
            <w:tcW w:w="12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8 (1.5%)</w:t>
            </w:r>
          </w:p>
        </w:tc>
        <w:tc>
          <w:tcPr>
            <w:tcW w:w="0" w:type="dxa"/>
            <w:vAlign w:val="bottom"/>
          </w:tcPr>
          <w:p>
            <w:pPr>
              <w:spacing w:after="0"/>
              <w:rPr>
                <w:sz w:val="1"/>
                <w:szCs w:val="1"/>
                <w:color w:val="auto"/>
              </w:rPr>
            </w:pPr>
          </w:p>
        </w:tc>
      </w:tr>
      <w:tr>
        <w:trPr>
          <w:trHeight w:val="191"/>
        </w:trPr>
        <w:tc>
          <w:tcPr>
            <w:tcW w:w="21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Oral</w:t>
            </w: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w:t>
            </w:r>
          </w:p>
        </w:tc>
        <w:tc>
          <w:tcPr>
            <w:tcW w:w="74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(0.5%)</w:t>
            </w:r>
          </w:p>
        </w:tc>
        <w:tc>
          <w:tcPr>
            <w:tcW w:w="1080" w:type="dxa"/>
            <w:vAlign w:val="bottom"/>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0 (0%)</w:t>
            </w:r>
          </w:p>
        </w:tc>
        <w:tc>
          <w:tcPr>
            <w:tcW w:w="1120" w:type="dxa"/>
            <w:vAlign w:val="bottom"/>
            <w:gridSpan w:val="2"/>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0 (0%)</w:t>
            </w:r>
          </w:p>
        </w:tc>
        <w:tc>
          <w:tcPr>
            <w:tcW w:w="880" w:type="dxa"/>
            <w:vAlign w:val="bottom"/>
          </w:tcPr>
          <w:p>
            <w:pPr>
              <w:jc w:val="center"/>
              <w:ind w:left="230"/>
              <w:spacing w:after="0" w:line="191" w:lineRule="exact"/>
              <w:rPr>
                <w:sz w:val="20"/>
                <w:szCs w:val="20"/>
                <w:color w:val="auto"/>
              </w:rPr>
            </w:pPr>
            <w:r>
              <w:rPr>
                <w:rFonts w:ascii="Times New Roman" w:cs="Times New Roman" w:eastAsia="Times New Roman" w:hAnsi="Times New Roman"/>
                <w:sz w:val="18"/>
                <w:szCs w:val="18"/>
                <w:color w:val="auto"/>
                <w:w w:val="96"/>
              </w:rPr>
              <w:t>0 (0%)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Paresthesia/Hypoesthesia</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Dizziness</w:t>
            </w: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 (3.8%)</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2 (0.4%)</w:t>
            </w:r>
          </w:p>
        </w:tc>
        <w:tc>
          <w:tcPr>
            <w:tcW w:w="8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6"/>
              </w:rPr>
              <w:t>0 (0%)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Dry mouth</w:t>
            </w: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14 (5.3%)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(0.7%)</w:t>
            </w:r>
          </w:p>
        </w:tc>
        <w:tc>
          <w:tcPr>
            <w:tcW w:w="10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29 (7.3%)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13 (2.6%)</w:t>
            </w:r>
          </w:p>
        </w:tc>
        <w:tc>
          <w:tcPr>
            <w:tcW w:w="12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 (3.9%)</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Nausea</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(0.8%)</w:t>
            </w:r>
          </w:p>
        </w:tc>
        <w:tc>
          <w:tcPr>
            <w:tcW w:w="1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0 (0%)</w:t>
            </w:r>
          </w:p>
        </w:tc>
        <w:tc>
          <w:tcPr>
            <w:tcW w:w="11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2 (0.4%)</w:t>
            </w:r>
          </w:p>
        </w:tc>
        <w:tc>
          <w:tcPr>
            <w:tcW w:w="8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6"/>
              </w:rPr>
              <w:t>0 (0%)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Headache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(0.7%)</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0 (0%)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1 (0.2%)</w:t>
            </w:r>
          </w:p>
        </w:tc>
        <w:tc>
          <w:tcPr>
            <w:tcW w:w="8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0 (0%)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-1988185</wp:posOffset>
            </wp:positionV>
            <wp:extent cx="5597525" cy="1997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97525" cy="1997075"/>
                    </a:xfrm>
                    <a:prstGeom prst="rect">
                      <a:avLst/>
                    </a:prstGeom>
                    <a:noFill/>
                  </pic:spPr>
                </pic:pic>
              </a:graphicData>
            </a:graphic>
          </wp:anchor>
        </w:drawing>
      </w:r>
    </w:p>
    <w:p>
      <w:pPr>
        <w:ind w:left="60"/>
        <w:spacing w:after="0" w:line="183"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Adverse events are presented on an episode basis</w:t>
      </w:r>
    </w:p>
    <w:p>
      <w:pPr>
        <w:ind w:left="60"/>
        <w:spacing w:after="0" w:line="184"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AEs within 24 hours following dosing</w:t>
      </w:r>
    </w:p>
    <w:p>
      <w:pPr>
        <w:ind w:left="140" w:hanging="90"/>
        <w:spacing w:after="0" w:line="183" w:lineRule="auto"/>
        <w:tabs>
          <w:tab w:leader="none" w:pos="14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fatigue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Tolerability Profile Consistent over the Trial Duration</w:t>
      </w:r>
    </w:p>
    <w:p>
      <w:pPr>
        <w:spacing w:after="0" w:line="241"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23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Weeks 1 to 4</w:t>
            </w:r>
          </w:p>
        </w:tc>
        <w:tc>
          <w:tcPr>
            <w:tcW w:w="28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Weeks 5 to 8</w:t>
            </w:r>
          </w:p>
        </w:tc>
        <w:tc>
          <w:tcPr>
            <w:tcW w:w="28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Weeks 9 to 12</w:t>
            </w: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Treatment-Emergent</w:t>
            </w:r>
          </w:p>
        </w:tc>
        <w:tc>
          <w:tcPr>
            <w:tcW w:w="1020" w:type="dxa"/>
            <w:vAlign w:val="bottom"/>
            <w:tcBorders>
              <w:right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BXCL501</w:t>
            </w:r>
          </w:p>
        </w:tc>
        <w:tc>
          <w:tcPr>
            <w:tcW w:w="1080" w:type="dxa"/>
            <w:vAlign w:val="bottom"/>
            <w:tcBorders>
              <w:right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PLACEBO</w:t>
            </w:r>
          </w:p>
        </w:tc>
        <w:tc>
          <w:tcPr>
            <w:tcW w:w="1020" w:type="dxa"/>
            <w:vAlign w:val="bottom"/>
            <w:tcBorders>
              <w:right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BXCL501</w:t>
            </w:r>
          </w:p>
        </w:tc>
        <w:tc>
          <w:tcPr>
            <w:tcW w:w="11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PLACEBO</w:t>
            </w:r>
          </w:p>
        </w:tc>
        <w:tc>
          <w:tcPr>
            <w:tcW w:w="1020" w:type="dxa"/>
            <w:vAlign w:val="bottom"/>
            <w:tcBorders>
              <w:right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BXCL501</w:t>
            </w:r>
          </w:p>
        </w:tc>
        <w:tc>
          <w:tcPr>
            <w:tcW w:w="11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PLACEBO</w:t>
            </w:r>
          </w:p>
        </w:tc>
        <w:tc>
          <w:tcPr>
            <w:tcW w:w="0" w:type="dxa"/>
            <w:vAlign w:val="bottom"/>
          </w:tcPr>
          <w:p>
            <w:pPr>
              <w:spacing w:after="0"/>
              <w:rPr>
                <w:sz w:val="1"/>
                <w:szCs w:val="1"/>
                <w:color w:val="auto"/>
              </w:rPr>
            </w:pPr>
          </w:p>
        </w:tc>
      </w:tr>
      <w:tr>
        <w:trPr>
          <w:trHeight w:val="100"/>
        </w:trPr>
        <w:tc>
          <w:tcPr>
            <w:tcW w:w="2360" w:type="dxa"/>
            <w:vAlign w:val="bottom"/>
            <w:tcBorders>
              <w:left w:val="single" w:sz="8" w:color="auto"/>
              <w:right w:val="single" w:sz="8" w:color="auto"/>
            </w:tcBorders>
            <w:vMerge w:val="continue"/>
          </w:tcPr>
          <w:p>
            <w:pPr>
              <w:spacing w:after="0"/>
              <w:rPr>
                <w:sz w:val="8"/>
                <w:szCs w:val="8"/>
                <w:color w:val="auto"/>
              </w:rPr>
            </w:pPr>
          </w:p>
        </w:tc>
        <w:tc>
          <w:tcPr>
            <w:tcW w:w="1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N=452</w:t>
            </w:r>
          </w:p>
        </w:tc>
        <w:tc>
          <w:tcPr>
            <w:tcW w:w="10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N=473</w:t>
            </w:r>
          </w:p>
        </w:tc>
        <w:tc>
          <w:tcPr>
            <w:tcW w:w="1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N=369</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N=432</w:t>
            </w:r>
          </w:p>
        </w:tc>
        <w:tc>
          <w:tcPr>
            <w:tcW w:w="1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N=337</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N=368</w:t>
            </w:r>
          </w:p>
        </w:tc>
        <w:tc>
          <w:tcPr>
            <w:tcW w:w="0" w:type="dxa"/>
            <w:vAlign w:val="bottom"/>
          </w:tcPr>
          <w:p>
            <w:pPr>
              <w:spacing w:after="0"/>
              <w:rPr>
                <w:sz w:val="1"/>
                <w:szCs w:val="1"/>
                <w:color w:val="auto"/>
              </w:rPr>
            </w:pPr>
          </w:p>
        </w:tc>
      </w:tr>
      <w:tr>
        <w:trPr>
          <w:trHeight w:val="116"/>
        </w:trPr>
        <w:tc>
          <w:tcPr>
            <w:tcW w:w="23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Adverse Event</w:t>
            </w:r>
            <w:r>
              <w:rPr>
                <w:rFonts w:ascii="Times New Roman" w:cs="Times New Roman" w:eastAsia="Times New Roman" w:hAnsi="Times New Roman"/>
                <w:sz w:val="26"/>
                <w:szCs w:val="26"/>
                <w:b w:val="1"/>
                <w:bCs w:val="1"/>
                <w:color w:val="auto"/>
                <w:vertAlign w:val="superscript"/>
              </w:rPr>
              <w:t>2</w:t>
            </w:r>
          </w:p>
        </w:tc>
        <w:tc>
          <w:tcPr>
            <w:tcW w:w="1020" w:type="dxa"/>
            <w:vAlign w:val="bottom"/>
            <w:tcBorders>
              <w:right w:val="single" w:sz="8" w:color="auto"/>
            </w:tcBorders>
            <w:gridSpan w:val="2"/>
            <w:vMerge w:val="continue"/>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360" w:type="dxa"/>
            <w:vAlign w:val="bottom"/>
            <w:tcBorders>
              <w:left w:val="single" w:sz="8" w:color="auto"/>
              <w:right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 (%)</w:t>
            </w:r>
          </w:p>
        </w:tc>
        <w:tc>
          <w:tcPr>
            <w:tcW w:w="300" w:type="dxa"/>
            <w:vAlign w:val="bottom"/>
          </w:tcPr>
          <w:p>
            <w:pPr>
              <w:spacing w:after="0"/>
              <w:rPr>
                <w:sz w:val="16"/>
                <w:szCs w:val="16"/>
                <w:color w:val="auto"/>
              </w:rPr>
            </w:pPr>
          </w:p>
        </w:tc>
        <w:tc>
          <w:tcPr>
            <w:tcW w:w="78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n (%)</w:t>
            </w:r>
          </w:p>
        </w:tc>
        <w:tc>
          <w:tcPr>
            <w:tcW w:w="280" w:type="dxa"/>
            <w:vAlign w:val="bottom"/>
          </w:tcPr>
          <w:p>
            <w:pPr>
              <w:spacing w:after="0"/>
              <w:rPr>
                <w:sz w:val="16"/>
                <w:szCs w:val="16"/>
                <w:color w:val="auto"/>
              </w:rPr>
            </w:pPr>
          </w:p>
        </w:tc>
        <w:tc>
          <w:tcPr>
            <w:tcW w:w="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 (%)</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 (%)</w:t>
            </w:r>
          </w:p>
        </w:tc>
        <w:tc>
          <w:tcPr>
            <w:tcW w:w="280" w:type="dxa"/>
            <w:vAlign w:val="bottom"/>
          </w:tcPr>
          <w:p>
            <w:pPr>
              <w:spacing w:after="0"/>
              <w:rPr>
                <w:sz w:val="16"/>
                <w:szCs w:val="16"/>
                <w:color w:val="auto"/>
              </w:rPr>
            </w:pPr>
          </w:p>
        </w:tc>
        <w:tc>
          <w:tcPr>
            <w:tcW w:w="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 (%)</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 (%)</w:t>
            </w:r>
          </w:p>
        </w:tc>
        <w:tc>
          <w:tcPr>
            <w:tcW w:w="0" w:type="dxa"/>
            <w:vAlign w:val="bottom"/>
          </w:tcPr>
          <w:p>
            <w:pPr>
              <w:spacing w:after="0"/>
              <w:rPr>
                <w:sz w:val="1"/>
                <w:szCs w:val="1"/>
                <w:color w:val="auto"/>
              </w:rPr>
            </w:pPr>
          </w:p>
        </w:tc>
      </w:tr>
      <w:tr>
        <w:trPr>
          <w:trHeight w:val="54"/>
        </w:trPr>
        <w:tc>
          <w:tcPr>
            <w:tcW w:w="2360" w:type="dxa"/>
            <w:vAlign w:val="bottom"/>
            <w:tcBorders>
              <w:left w:val="single" w:sz="8" w:color="auto"/>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1100" w:type="dxa"/>
            <w:vAlign w:val="bottom"/>
            <w:tcBorders>
              <w:bottom w:val="single" w:sz="8" w:color="auto"/>
              <w:right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11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7"/>
                <w:szCs w:val="17"/>
                <w:color w:val="auto"/>
              </w:rPr>
              <w:t>Somnolence</w:t>
            </w:r>
            <w:r>
              <w:rPr>
                <w:rFonts w:ascii="Times New Roman" w:cs="Times New Roman" w:eastAsia="Times New Roman" w:hAnsi="Times New Roman"/>
                <w:sz w:val="24"/>
                <w:szCs w:val="24"/>
                <w:color w:val="auto"/>
                <w:vertAlign w:val="superscript"/>
              </w:rPr>
              <w:t>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(12.7%)</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 (6.7%)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 (5.2%)</w:t>
            </w:r>
          </w:p>
        </w:tc>
        <w:tc>
          <w:tcPr>
            <w:tcW w:w="0" w:type="dxa"/>
            <w:vAlign w:val="bottom"/>
          </w:tcPr>
          <w:p>
            <w:pPr>
              <w:spacing w:after="0"/>
              <w:rPr>
                <w:sz w:val="1"/>
                <w:szCs w:val="1"/>
                <w:color w:val="auto"/>
              </w:rPr>
            </w:pPr>
          </w:p>
        </w:tc>
      </w:tr>
      <w:tr>
        <w:trPr>
          <w:trHeight w:val="191"/>
        </w:trPr>
        <w:tc>
          <w:tcPr>
            <w:tcW w:w="23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Oral</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1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126"/>
        </w:trPr>
        <w:tc>
          <w:tcPr>
            <w:tcW w:w="23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Paresthesia/Hypoesthesia</w:t>
            </w:r>
          </w:p>
        </w:tc>
        <w:tc>
          <w:tcPr>
            <w:tcW w:w="260" w:type="dxa"/>
            <w:vAlign w:val="bottom"/>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Dizziness</w:t>
            </w:r>
          </w:p>
        </w:tc>
        <w:tc>
          <w:tcPr>
            <w:tcW w:w="10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13 (2.9)</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(0.8%)</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Dry mouth</w:t>
            </w:r>
          </w:p>
        </w:tc>
        <w:tc>
          <w:tcPr>
            <w:tcW w:w="10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 (5.5%)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 (5.4%)</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 (2.3%)</w:t>
            </w:r>
          </w:p>
        </w:tc>
        <w:tc>
          <w:tcPr>
            <w:tcW w:w="10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 (3.3%)</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 (3.3%)</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Nausea</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(0.3%)</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Adverse events are presented for agitation episodes in the weeks indicated</w:t>
      </w:r>
    </w:p>
    <w:p>
      <w:pPr>
        <w:ind w:left="60"/>
        <w:spacing w:after="0" w:line="183"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AEs within 24 hours following dosing</w:t>
      </w:r>
    </w:p>
    <w:p>
      <w:pPr>
        <w:ind w:left="140" w:hanging="90"/>
        <w:spacing w:after="0" w:line="183" w:lineRule="auto"/>
        <w:tabs>
          <w:tab w:leader="none" w:pos="14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fatigue</w:t>
      </w:r>
    </w:p>
    <w:p>
      <w:pPr>
        <w:spacing w:after="0" w:line="204"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On September 10, 2025, we announced positive topline exploratory efficacy data from the SERENITY At-Home Pivotal Phase 3 safety trial, which demonstrated BXCL501 had continued effects and consistent benefit with repeat dosing. The trial in the home setting evaluated 120 mcg dose of BXCL501, the Company’s proprietary, sublingual film formulation of dexmedetomidine,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treatment of agitation associated with bipolar disorders or schizophrenia. While this trial was not powered for efficacy assessments, continued effects and consistent benefits with repeat dosing seen in the trial further support the potential of BXCL501 for use in the outpatient setting.</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Effect Across Total Number of Agitation Episodes</w:t>
      </w:r>
    </w:p>
    <w:p>
      <w:pPr>
        <w:spacing w:after="0" w:line="227" w:lineRule="exact"/>
        <w:rPr>
          <w:sz w:val="20"/>
          <w:szCs w:val="20"/>
          <w:color w:val="auto"/>
        </w:rPr>
      </w:pPr>
    </w:p>
    <w:p>
      <w:pPr>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Across 2,433 treated episodes in the trial, BXCL501 demonstrated a significant mean reduction in the modified Clinical Global Impression–Severity (mCGI-S) score from baseline compared to placebo at 2 hours (p&lt;.05).</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Effect Across Severity of Agitation Episodes</w:t>
      </w:r>
    </w:p>
    <w:p>
      <w:pPr>
        <w:spacing w:after="0" w:line="22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Patients experienced a complete resolution of agitation symptoms measured by mCGI-S at significantly higher rates with BXCL501 compared to placebo across severity of agitation episodes, with an overall resolution of 50% in the BXCL501 arm, compared to 33% on placebo (p &lt;.0001). Severe agitation episodes fully resolved (no agitation) in 61% of episodes in the BXCL501 arm, compared to 18% on placebo (p &lt;.0001). Moderate agitation episodes fully resolved in 43% of cases for patients in the BXCL501 arm, compared to 34% on placebo (p &lt;.0005). Mild agitation episodes fully resolved in 60% of cases for patients in the BXCL501, compared to 40% on placebo (p &lt;.0001). In sum, complete resolution of agitation was significantly higher with BXCL501 compared to placebo regardless of agitation episode severity.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Effect Across Number of Treated Agitation Episodes</w:t>
      </w:r>
    </w:p>
    <w:p>
      <w:pPr>
        <w:spacing w:after="0" w:line="22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mean reduction in agitation symptoms experienced by patients following administration of BXCL501 was maintained throughout repeated dosing in the trial. There was a mean reduction in mCGI-S score of 1.2 following the first 12 doses and a mean reduction of 1.4 following 13 or more doses of BXCL501. This underscores the potential of BXCL501 to continue to provide benefit across repeated dosing.</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Efficacy Across Duration of the Trial</w:t>
      </w:r>
    </w:p>
    <w:p>
      <w:pPr>
        <w:spacing w:after="0" w:line="2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reduction in agitation symptoms experienced by patients following administration of BXCL501 was also maintained throughout the trial’s duration. Evaluating the 12-week trial period on a time-based scale, agitation episodes treated with BXCL501 during weeks 1-4, 5-8 and 9-12 all had a mean reduction in mCGI-S score of 1.3. This underscores the potential of BXCL501 to maintain a sustained benefit across longer treatment durations.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On October 14, 2025 We announced positive results from the correlation study related to exploratory efficacy outcomes from the SERENITY At-Home trial. The results, along with the data from the SERENITY At-Home trial, are expected to be included in the planned sNDA submission.</w:t>
      </w:r>
    </w:p>
    <w:p>
      <w:pPr>
        <w:spacing w:after="0" w:line="1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standard method for measuring acute agitation associated with schizophrenia and bipolar disorder is the Positive and Negative Syndrome Scale – Excited Component (PEC) administered by a trained clinician, which was used in the Serenity I &amp; II Pivotal Trials. In order to evaluate BXCL501 for continued clinical effect with repeat dosing in the at-home setting using an exploratory efficacy measurement, the Company, in consultation with FDA, developed the modified CGI-S (mCGI-S) scale, which can be scored by patients and/or caregivers. The study assessed the correlation between PEC and mCGI-S in this prospective, open label, in-clinic trial in 33 patients.</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results demonstrated a strong correlation between the clinician assessments and the patient or caregiver (informant) rated outcomes, providing support for using mCGI-S to assess efficacy in the outpatient setting. A statistically significant and strong correlation between the PEC and mCGI-S with a correlation of ρ=0.89; p&lt;0.0001 for patients and ρ=0.88; p&lt;0.0001 for informants was observed.</w:t>
      </w:r>
    </w:p>
    <w:p>
      <w:pPr>
        <w:spacing w:after="0" w:line="176" w:lineRule="exact"/>
        <w:rPr>
          <w:sz w:val="20"/>
          <w:szCs w:val="20"/>
          <w:color w:val="auto"/>
        </w:rPr>
      </w:pPr>
    </w:p>
    <w:p>
      <w:pPr>
        <w:ind w:left="60" w:right="9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Treatment of Agitation Associated with Dementia due to Probable Alzheimer’s Disease (“AAD”)</w:t>
      </w:r>
    </w:p>
    <w:p>
      <w:pPr>
        <w:spacing w:after="0" w:line="132"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Under our TRANQUILITY program, we are evaluating BXCL501 as a potential treatment option for the acute treatment of agitation associated with Alzheimer’s dementia (“AAD”). On June 29, 2023, we announced positive topline results from our TRANQUILITY II Phase 3 trial. The randomized, double-blind, placebo-controlled, parallel group trial evaluated the safety and efficacy of BXCL501 for the acute treatment of AAD in adults 65 years and older with mild to moderate dementia in assisted living facilities and residential care settings who required minimal assistance with activities of daily living.</w:t>
      </w:r>
    </w:p>
    <w:p>
      <w:pPr>
        <w:spacing w:after="0" w:line="147"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the TRANQUILITY II study engaged in misconduct. Since that time, we have taken steps to further investigate and evaluate the conduct of the trial at the investigator’s clinical site. On October 25, 2023, we announced that an independent third-party audit of data integrity at the trial site did not identify any findings that they believed impacted the data reliability or integrity, nor did they find any evidence of additional misconduct or fraud. On March 3, 2025, we announced that the FDA concluded that the inspection of the single site in the trial was closed under 21 C.F.R.20.64(d)(3) and released the Establishment Inspection Report, designating “Voluntary Action Indicated” for the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4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Based on subsequent meetings with and feedback from the FDA, we plan to generate additional Phase 3 efficacy and safety data, in relevant care-facility settings and across severity of dementia, in our TRANQUILITY In-Care trial. On September 5, 2024, we submitted to the FDA the proposed protocol for the trial, a double-blind, placebo-controlled study to evaluate the efficacy and safety of a 60 mcg dose of BXCL501 for acute treatment of AAD in the care setting. On November 12, 2024, we announced that we had received FDA feedback on the proposed protocol. The Company is advancing plans for initiation of the trial upon funding and has received proposals from CROs to prepare for trial initiation. At a future meeting with the FDA, we plan to further discuss our trial design and the details of the requirement for long-term safety data.</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June 2021, we initiated a clinical trial designed to evaluate the safety and efficacy of BXCL501 in the acute</w:t>
      </w:r>
    </w:p>
    <w:p>
      <w:pPr>
        <w:spacing w:after="0" w:line="27" w:lineRule="exact"/>
        <w:rPr>
          <w:sz w:val="20"/>
          <w:szCs w:val="20"/>
          <w:color w:val="auto"/>
        </w:rPr>
      </w:pPr>
    </w:p>
    <w:p>
      <w:pPr>
        <w:ind w:left="60" w:right="219"/>
        <w:spacing w:after="0" w:line="235" w:lineRule="auto"/>
        <w:rPr>
          <w:sz w:val="20"/>
          <w:szCs w:val="20"/>
          <w:color w:val="auto"/>
        </w:rPr>
      </w:pPr>
      <w:r>
        <w:rPr>
          <w:rFonts w:ascii="Times New Roman" w:cs="Times New Roman" w:eastAsia="Times New Roman" w:hAnsi="Times New Roman"/>
          <w:sz w:val="18"/>
          <w:szCs w:val="18"/>
          <w:color w:val="auto"/>
        </w:rPr>
        <w:t>treatment of agitation associated with pediatric schizophrenia or bipolar disorders to fulfill pediatric study requirements agreed to with the FDA in connection with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trial protocol has been reviewed and agreed to by the FDA, to fulfill the commitment to study BXCL501 in pediatric patients ages 13 to 17 with schizophrenia and ages 10 to 17 with bipolar disorders. This double-blind, placebo-controlled study is ongoing. Approximately 63% of the 150 total subjects have been enrolled in the U.S. and 95 of such subjects have completed the clinical trial. Similar to our registration trials in schizophrenia and bipolar disorder (SERENITY I and II), the primary endpoint is the change from baseline PEC total score at two hours.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October 2024, we submitted a request to the FDA for a deferral extension to complete enrollment requirements for pediatric patients with schizophrenia or schizoaffective disorder. The FDA granted a 3-year extension to complete the study.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Post-Marketing Requirement Study</w:t>
      </w:r>
    </w:p>
    <w:p>
      <w:pPr>
        <w:spacing w:after="0" w:line="118" w:lineRule="exact"/>
        <w:rPr>
          <w:sz w:val="20"/>
          <w:szCs w:val="20"/>
          <w:color w:val="auto"/>
        </w:rPr>
      </w:pPr>
    </w:p>
    <w:p>
      <w:pPr>
        <w:ind w:left="60" w:right="399" w:firstLine="324"/>
        <w:spacing w:after="0" w:line="221" w:lineRule="auto"/>
        <w:rPr>
          <w:sz w:val="20"/>
          <w:szCs w:val="20"/>
          <w:color w:val="auto"/>
        </w:rPr>
      </w:pPr>
      <w:r>
        <w:rPr>
          <w:rFonts w:ascii="Times New Roman" w:cs="Times New Roman" w:eastAsia="Times New Roman" w:hAnsi="Times New Roman"/>
          <w:sz w:val="18"/>
          <w:szCs w:val="18"/>
          <w:color w:val="auto"/>
        </w:rPr>
        <w:t>On June 25, 2024, we announced topline results from our post-marketing requirement study evaluating whether tolerance, tachyphylaxis, or withdrawal occur following repeat dosing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During the single-arm, open-label study, 28 inpatient adults with frequent episodes of agitation associated with bipolar disorders or schizophrenia self-administered 180 mcg dose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needed over seven days. A total of 83 episodes were treated. There was no evidence of tachyphylaxis, tolerance, or withdrawal, and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generally well tolerated.</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189"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Based on its potential mechanism of action, we believe BXCL501 has the potential for broad applicability across several indications where agitation is a symptom of a condition or underlying disease. Research published in the journal Frontiers in Pharmacology showed that BXCL501 caused a significant reduction in behaviors induced by stress in translatable behavioral models related to psychiatric disorders, providing further support for the drug’s mechanism of action and potential suitability for broadly addressing stress-related disorders in addition to agitation.</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Investigator-Sponsored Trials (“ISTs”)</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Our research partners have been awarded grants for the development of BXCL501 in alcohol use disorder (“AUD”) with comorbid post-traumatic stress disorder (“PTSD”), opioid use disorder (“OUD”), and acute stress disorder (“ASD”). The Company is providing, or has provided, regulatory and operational support and investigational product for these development opportunities, which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University of North Carolina at Chapel Hill.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(“OUD”)</w:t>
      </w:r>
    </w:p>
    <w:p>
      <w:pPr>
        <w:spacing w:after="0" w:line="229" w:lineRule="exact"/>
        <w:rPr>
          <w:sz w:val="20"/>
          <w:szCs w:val="20"/>
          <w:color w:val="auto"/>
        </w:rPr>
      </w:pPr>
    </w:p>
    <w:p>
      <w:pPr>
        <w:ind w:left="60" w:right="159" w:firstLine="405"/>
        <w:spacing w:after="0" w:line="270" w:lineRule="auto"/>
        <w:rPr>
          <w:sz w:val="20"/>
          <w:szCs w:val="20"/>
          <w:color w:val="auto"/>
        </w:rPr>
      </w:pPr>
      <w:r>
        <w:rPr>
          <w:rFonts w:ascii="Times New Roman" w:cs="Times New Roman" w:eastAsia="Times New Roman" w:hAnsi="Times New Roman"/>
          <w:sz w:val="17"/>
          <w:szCs w:val="17"/>
          <w:color w:val="auto"/>
        </w:rPr>
        <w:t xml:space="preserve">As the Company previously announced, NIDA awarded a grant to Columbia University to fund clinical testing of BXCL501 as a potential treatment for mitigation of opioid withdrawal symptoms in patients diagnosed with OUD. The original 160-patient, three-site, four-arm </w:t>
      </w:r>
      <w:r>
        <w:rPr>
          <w:rFonts w:ascii="Times New Roman" w:cs="Times New Roman" w:eastAsia="Times New Roman" w:hAnsi="Times New Roman"/>
          <w:sz w:val="17"/>
          <w:szCs w:val="17"/>
          <w:color w:val="212121"/>
        </w:rPr>
        <w:t>study is a randomized, double-blind, double-dummy inpatient study comparing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 xml:space="preserve">BXCL501 (180 mcg and 240 mcg BID), lofexidine (as a positive control), and placebo. The study’s goal is to evaluate the safety and efficacy of BXCL501 relative to lofexidine and placebo in subjects with OUD. A majority of OUD patients participating in the study are anticipated to be exposed to </w:t>
      </w:r>
      <w:r>
        <w:rPr>
          <w:rFonts w:ascii="Times New Roman" w:cs="Times New Roman" w:eastAsia="Times New Roman" w:hAnsi="Times New Roman"/>
          <w:sz w:val="17"/>
          <w:szCs w:val="17"/>
          <w:color w:val="000000"/>
        </w:rPr>
        <w:t>fentanyl adulterated or associated with xylazine</w:t>
      </w:r>
      <w:r>
        <w:rPr>
          <w:rFonts w:ascii="Times New Roman" w:cs="Times New Roman" w:eastAsia="Times New Roman" w:hAnsi="Times New Roman"/>
          <w:sz w:val="17"/>
          <w:szCs w:val="17"/>
          <w:color w:val="212121"/>
        </w:rPr>
        <w:t xml:space="preserve">. To date, four different </w:t>
      </w:r>
      <w:r>
        <w:rPr>
          <w:rFonts w:ascii="Times New Roman" w:cs="Times New Roman" w:eastAsia="Times New Roman" w:hAnsi="Times New Roman"/>
          <w:sz w:val="17"/>
          <w:szCs w:val="17"/>
          <w:color w:val="000000"/>
        </w:rPr>
        <w:t>sites have recruited, enrolled, and dosed patients diagnosed with OUD who are physically dependent on opioids,</w:t>
      </w:r>
      <w:r>
        <w:rPr>
          <w:rFonts w:ascii="Times New Roman" w:cs="Times New Roman" w:eastAsia="Times New Roman" w:hAnsi="Times New Roman"/>
          <w:sz w:val="17"/>
          <w:szCs w:val="17"/>
          <w:color w:val="212121"/>
        </w:rPr>
        <w:t xml:space="preserve"> </w:t>
      </w:r>
      <w:r>
        <w:rPr>
          <w:rFonts w:ascii="Times New Roman" w:cs="Times New Roman" w:eastAsia="Times New Roman" w:hAnsi="Times New Roman"/>
          <w:sz w:val="17"/>
          <w:szCs w:val="17"/>
          <w:color w:val="000000"/>
        </w:rPr>
        <w:t>including prescription opioids. The Company is supplying BXCL501 for the study, which is sponsored by Columbia University</w:t>
      </w:r>
      <w:r>
        <w:rPr>
          <w:rFonts w:ascii="Times New Roman" w:cs="Times New Roman" w:eastAsia="Times New Roman" w:hAnsi="Times New Roman"/>
          <w:sz w:val="17"/>
          <w:szCs w:val="17"/>
          <w:color w:val="212121"/>
        </w:rPr>
        <w:t>. The study was subsequently stopped at 80 patients, or approximately one-half the original total, and the results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12121"/>
        </w:rPr>
        <w:t>are currently being analyzed. We expect that the results from the current study will read out in the fourth quarter of 2025</w:t>
      </w:r>
      <w:r>
        <w:rPr>
          <w:rFonts w:ascii="Times New Roman" w:cs="Times New Roman" w:eastAsia="Times New Roman" w:hAnsi="Times New Roman"/>
          <w:sz w:val="17"/>
          <w:szCs w:val="17"/>
          <w:color w:val="000000"/>
        </w:rPr>
        <w:t>.</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(“AUD”) with Comorbid Post-traumatic Stress Disorder (“PTSD”)</w:t>
      </w:r>
    </w:p>
    <w:p>
      <w:pPr>
        <w:spacing w:after="0" w:line="229" w:lineRule="exact"/>
        <w:rPr>
          <w:sz w:val="20"/>
          <w:szCs w:val="20"/>
          <w:color w:val="auto"/>
        </w:rPr>
      </w:pPr>
    </w:p>
    <w:p>
      <w:pPr>
        <w:ind w:left="60" w:right="319" w:firstLine="324"/>
        <w:spacing w:after="0" w:line="277" w:lineRule="auto"/>
        <w:rPr>
          <w:sz w:val="20"/>
          <w:szCs w:val="20"/>
          <w:color w:val="auto"/>
        </w:rPr>
      </w:pPr>
      <w:r>
        <w:rPr>
          <w:rFonts w:ascii="Times New Roman" w:cs="Times New Roman" w:eastAsia="Times New Roman" w:hAnsi="Times New Roman"/>
          <w:sz w:val="17"/>
          <w:szCs w:val="17"/>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Yale has received approval from the Institutional Review Board (“IRB”) and allowance from the FDA to proceed with a trial to evaluate the effects of up to</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80 mcg BID of BXCL501 per day for 28 days on alcohol consumption, PTSD symptoms, cognitive function, memory, sleep, and mood in patients diagnosed with mild, moderate, or severe AUD and who meet Criterion A for comorbid PTSD. The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is expected to begin in 2025, with the study expected to begin before the end of 2025. Study results may be used to inform a Phase 3 study in patients diagnosed with PTSD intended to commence with support by the Department of Defense Congresionally Directed Medical Research Program.</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Acute Stress Disorder (“ASD”)</w:t>
      </w:r>
    </w:p>
    <w:p>
      <w:pPr>
        <w:spacing w:after="0" w:line="229"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On October 15, 2024, we announced a U.S. Department of Defense grant to the University of North Carolina at Chapel Hill (“UNC”) through award contract HT94252411108 to fund a study of BXCL501 for treating ASD. The award provides approximately $2,827 to the UNC Institute for Trauma Recovery from September 15, 2024 through September 14, 2026 to evaluate the potential efficacy of BXCL501 to reduce ASD symptom severity and/or posttraumatic neuropsychiatric symptoms. The double-blind, placebo-controlled trial is expected to enroll 100 patients experiencing ASD resulting from motor vehicle collisions beginning in the second half of 2025, with BXCL501 supplied by the Company.</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had planned to evaluate BXCL502 initially as a monotherapy and possibly in combination with BXCL501 for the chronic treatment of agitation in patients with dementia and acute stress disorder. The active pharmaceutical ingredient (“API”) underlying BXCL502 affects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for BXCL502 was paused as part of the Reprioritization.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Product Candidates Identified Leveraging our AI Platform</w:t>
      </w:r>
    </w:p>
    <w:p>
      <w:pPr>
        <w:spacing w:after="0" w:line="20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AI platform is comprised of a series of customized and specific AI applications aimed at identifying, predicting efficacy and testing of late-stage assets with known mechanisms of action and associated pharmacology and safety data. We target neuropsychiatric and neurological rare disorders, where the compounds are either disease-modifying or symptom-mitigating. Compounds are tested in relevant models of disease and rank-ordered based on the potential to enter the clinic and ease of development. Disease areas of interest are stress-related such as agitation, or neuropsychiatric symptoms associated with dementia and responsible for increased levels of healthcare burden. For example, our pipeline concepts BXCL503 and BXCL504 putatively have the potential to address apathy and aggression in dementia, respectively. Further development of these concepts is currently paused and investment in our AI capabilities have been reduced.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89"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have multiple patent families filed to protect our neuroscience program, including BXCL501. As of November 1, 2025, our neuroscience patent portfolio included three Patent Cooperation Treaty (“PCT”) applications not yet in national phase, 11 U.S. utility applications, 17 issued U.S. utility patents, 46 pending non-U.S. utility applications, 26</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4" w:lineRule="auto"/>
        <w:rPr>
          <w:sz w:val="20"/>
          <w:szCs w:val="20"/>
          <w:color w:val="auto"/>
        </w:rPr>
      </w:pPr>
      <w:r>
        <w:rPr>
          <w:rFonts w:ascii="Times New Roman" w:cs="Times New Roman" w:eastAsia="Times New Roman" w:hAnsi="Times New Roman"/>
          <w:sz w:val="18"/>
          <w:szCs w:val="18"/>
          <w:color w:val="auto"/>
        </w:rPr>
        <w:t>allowed or granted non-U.S. patents (including four in Japan), one pending U.S. design patent application, and two registered design patents in Japan. Fourteen U.S. utility patents, directed to our proprietary sublingual film formulation of dexmedetomidine and methods of treating agitation, are listed in the FDA’s Approved Drug Products with Therapeutic Equivalence Evaluations (commonly known as the “Orange Book”)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expiration dates between 2037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dexmedetomidine. We expect that patents issued from these applications will expire no earlier than 2035. We also have granted patents and pending applications filed in major markets, including the U.S., Europe, Japan, and China, directed to methods of treating agitation. We expect that patents issued from these applications will expire between 2039 and 2043. We also have three PCT applications directed to treating mania, depression, stress, and agitation. If patents are issued from those cases, we expect them to expire no earlier than 2044.</w:t>
      </w:r>
    </w:p>
    <w:p>
      <w:pPr>
        <w:spacing w:after="0" w:line="195"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9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pacing w:after="0" w:line="18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 For additional information regarding intellectual property regulations and risks, see below under “Immuno-Oncology Intellectual Property” and Part II, Item 1A, “Risk Factors - Risks Related to Our Intellectual Property” elsewhere in this Quarterly Report on Form 10-Q.</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202" w:lineRule="exact"/>
        <w:rPr>
          <w:sz w:val="20"/>
          <w:szCs w:val="20"/>
          <w:color w:val="auto"/>
        </w:rPr>
      </w:pPr>
    </w:p>
    <w:p>
      <w:pPr>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On April 19, 2022, we announced the formation of a wholly owned subsidiary, OnkosXcel Therapeutics (“OnkosXcel”) to develop potentially transformative medicines in oncology. OnkosXcel uses proprietary AI capabilities to drive the capital-efficient development of innovative anti-cancer therapeutics. The Company is continuing to evaluate strategic options for OnkosXcel and further work on the immuno-oncology programs described below has been paused.</w:t>
      </w:r>
    </w:p>
    <w:p>
      <w:pPr>
        <w:spacing w:after="0" w:line="124"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Our approach to drug discovery leverages the application and methodology of our proprietary AI-based research and development platform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carcinoma (“SCNC”) phenotype metastatic castration-resistant prostate cancer (“mCRPC”). On February 12, 2024, the Company announced that the FDA designated as a Fast Track development program the investigation of BXCL701 in combination with a checkpoint inhibitor for the treatment of patients with metastatic SCNC with progression on chemotherapy and no evidence of microsatellite instability. We have finalized a potential registrational trial design in mCRPC patients with SCNC phenotype. However due to our Clinical Prioritization, further planning on the trial has been paused.</w:t>
      </w:r>
    </w:p>
    <w:p>
      <w:pPr>
        <w:spacing w:after="0" w:line="154"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mCRPC is often characterized as a “cold” tumor, which is a tumor with an immunosuppressive tumor microenvironment (“TME”) and poor immune cell infiltration. Currently approved checkpoint inhibitors (“CPIs”) that target programmed cell death 1 (“PD-1”) or cytotoxic T-lymphocyte-associated protein 4 (“CTLA-4")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 therapeutic utility. We believe BXCL701 can potentially provide significant benefits for the approximately 20% of the estimated 299,010 men diagnosed with prostate cancer in the U.S. in 2024 and who we are expected to progress to the more aggressive mCRPC form of the disease, including approximately 20%, or 11,960, of those patients expected to develop the SCNC phenotype, for which there are currently limited treatment options. While CPIs have proven to be a significant advancement in cancer therapy, those currently approved by the FDA do not produce meaningful results in a majority of patients, as the clinical benefit is generally viewed to be limited to between 13% and 30% of cancer patients, and the duration of response is relatively short.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 component of the immune response. In contrast, we have developed BXCL701 to simultaneously address multiple components of the immune response, including:</w:t>
      </w:r>
    </w:p>
    <w:p>
      <w:pPr>
        <w:spacing w:after="0" w:line="158" w:lineRule="exact"/>
        <w:rPr>
          <w:sz w:val="20"/>
          <w:szCs w:val="20"/>
          <w:color w:val="auto"/>
        </w:rPr>
      </w:pPr>
    </w:p>
    <w:p>
      <w:pPr>
        <w:ind w:left="720" w:right="259" w:hanging="319"/>
        <w:spacing w:after="0" w:line="284"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cytotoxic T lymphocytes (“CTLs”).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pacing w:after="0" w:line="131" w:lineRule="exact"/>
        <w:rPr>
          <w:rFonts w:ascii="Times New Roman" w:cs="Times New Roman" w:eastAsia="Times New Roman" w:hAnsi="Times New Roman"/>
          <w:sz w:val="18"/>
          <w:szCs w:val="18"/>
          <w:color w:val="auto"/>
        </w:rPr>
      </w:pPr>
    </w:p>
    <w:p>
      <w:pPr>
        <w:ind w:left="720" w:right="579" w:hanging="319"/>
        <w:spacing w:after="0" w:line="284"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2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solid tumors and hematological malignancies, to potentially:</w:t>
      </w:r>
    </w:p>
    <w:p>
      <w:pPr>
        <w:spacing w:after="0" w:line="133"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 immunological cold tumors into ones sensitive to CPIs;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 CPI sensitivity to tumors that were previously responsive.</w:t>
      </w:r>
    </w:p>
    <w:p>
      <w:pPr>
        <w:spacing w:after="0" w:line="18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Central to our drug discovery initiatives are proprietary, AI-driven platform technologies we employ to identify novel therapeutic uses for approved therapeutics and candidates in clinical evaluation. The first and most advanced of 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 and Investigator-Sponsored Trials</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Quarterly Report on Form 10-Q. We believe our product candidates, if successfully developed and approved, have the potential to become compelling treatment options for their respective indications. However, further work on our immuno-oncology programs has been paused, other than as noted below.</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03545" cy="267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035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Clinical Trials</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Leveraging the insights enabled by the application and methodology of our proprietary AI-based platform which was used to identify novel therapeutic uses for our approved therapeutics and product candidates in clinical evaluation, and our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as a potential treatment for mCRPC with either SCNC or adenocarcinoma phenotype. Fundamental to the innate immune modulation program is BXCL701’s potential to:</w:t>
      </w:r>
    </w:p>
    <w:p>
      <w:pPr>
        <w:spacing w:after="0" w:line="151"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hot tumors’ response rate and depth of response to CPIs;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CPI sensitivity to tumors which had previously been responsive.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mCRPC</w:t>
      </w:r>
    </w:p>
    <w:p>
      <w:pPr>
        <w:spacing w:after="0" w:line="189"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53" w:lineRule="exact"/>
        <w:rPr>
          <w:sz w:val="20"/>
          <w:szCs w:val="20"/>
          <w:color w:val="auto"/>
        </w:rPr>
      </w:pPr>
    </w:p>
    <w:p>
      <w:pPr>
        <w:jc w:val="both"/>
        <w:ind w:left="60" w:right="759" w:firstLine="324"/>
        <w:spacing w:after="0" w:line="266" w:lineRule="auto"/>
        <w:rPr>
          <w:sz w:val="20"/>
          <w:szCs w:val="20"/>
          <w:color w:val="auto"/>
        </w:rPr>
      </w:pPr>
      <w:r>
        <w:rPr>
          <w:rFonts w:ascii="Times New Roman" w:cs="Times New Roman" w:eastAsia="Times New Roman" w:hAnsi="Times New Roman"/>
          <w:sz w:val="18"/>
          <w:szCs w:val="18"/>
          <w:color w:val="auto"/>
        </w:rPr>
        <w:t>We received initial comments from the FDA on our proposed clinical development plan and received positive feedback regarding dose-optimization around the recommended Phase 2 dose (“RP2D”) for use in future studies. However, the start of any such additional trial is paused following the Company’s Reprioritization</w:t>
      </w:r>
    </w:p>
    <w:p>
      <w:pPr>
        <w:spacing w:after="0" w:line="135" w:lineRule="exact"/>
        <w:rPr>
          <w:sz w:val="20"/>
          <w:szCs w:val="20"/>
          <w:color w:val="auto"/>
        </w:rPr>
      </w:pPr>
    </w:p>
    <w:p>
      <w:pPr>
        <w:ind w:left="60" w:right="399" w:firstLine="324"/>
        <w:spacing w:after="0" w:line="274" w:lineRule="auto"/>
        <w:rPr>
          <w:sz w:val="20"/>
          <w:szCs w:val="20"/>
          <w:color w:val="auto"/>
        </w:rPr>
      </w:pPr>
      <w:r>
        <w:rPr>
          <w:rFonts w:ascii="Times New Roman" w:cs="Times New Roman" w:eastAsia="Times New Roman" w:hAnsi="Times New Roman"/>
          <w:sz w:val="17"/>
          <w:szCs w:val="17"/>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overall survival, changes in circulating cytokines, and certain disease-specific biomarkers.</w:t>
      </w:r>
    </w:p>
    <w:p>
      <w:pPr>
        <w:spacing w:after="0" w:line="16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believe the results observed in the Phase 2a trial of BXCL701 administered in combination with pembrolizumab support further development.</w:t>
      </w:r>
    </w:p>
    <w:p>
      <w:pPr>
        <w:spacing w:after="0" w:line="121"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We were particularly encouraged by the results observed in the cohort consisting of mCRPC patients with SCNC phenotype. Updated Phase 2a results for the SCNC cohort were presented at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Prostate Cancer Foundation Scientific Retreat (PCF 2023). BXCL701 in combination with pembrolizumab demonstrated a 25% (seven out of 28 evaluable patients) composite response rate in mCRPC patients with SCNC phenotype, for whom there is no standard of care. As of a data cutoff of September 6, 2023, five of these responders were RECIST 1.1 responders (four confirmed responses and one unconfirmed response) with decreases in tumor size ranging from -45% to -67% and a median duration of response of 7.6 months. Overall survival (OS) results from the Phase 2a portion of the trial in SCNC patients. BXCL701 in combination with pembrolizumab demonstrated a compelling median OS and 12-month survival rate.</w:t>
      </w:r>
    </w:p>
    <w:p>
      <w:pPr>
        <w:spacing w:after="0" w:line="203"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The most frequently observed TEAEs (≥15% of patients) that appear to be related to talabostat included Fatigue, Hypotension, Dizziness, Nausea, and Pruritus. The events have generally been manageable and reversible. When combined with the immune checkpoint inhibitor pembrolizumab, the most frequently reported talabostat-related TEAEs (≥15% of patients) have been Fatigue, Hypotension, Pruritus, Dizziness, Nausea and Diarrhoea.</w:t>
      </w:r>
    </w:p>
    <w:p>
      <w:pPr>
        <w:spacing w:after="0" w:line="180" w:lineRule="exact"/>
        <w:rPr>
          <w:sz w:val="20"/>
          <w:szCs w:val="20"/>
          <w:color w:val="auto"/>
        </w:rPr>
      </w:pPr>
    </w:p>
    <w:p>
      <w:pPr>
        <w:ind w:left="60" w:right="239" w:firstLine="324"/>
        <w:spacing w:after="0" w:line="237" w:lineRule="auto"/>
        <w:rPr>
          <w:sz w:val="20"/>
          <w:szCs w:val="20"/>
          <w:color w:val="auto"/>
        </w:rPr>
      </w:pPr>
      <w:r>
        <w:rPr>
          <w:rFonts w:ascii="Times New Roman" w:cs="Times New Roman" w:eastAsia="Times New Roman" w:hAnsi="Times New Roman"/>
          <w:sz w:val="18"/>
          <w:szCs w:val="18"/>
          <w:color w:val="auto"/>
        </w:rPr>
        <w:t>The Phase 2a trial has also been completed for the adenocarcinoma cohort. The CRR was 18.2% (n = 6). In 29 patients with disease evaluable for response, the confirmed ORR per RECIST 1.1 per investigator assessment was 13.8% (n = 4). Decreases in tumor size ranged from -67% to -90%. Two patients had an unconfirmed RECIST 1.1 response, 5 patients had a PSA</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response, and 2 patients had a CTC response.</w:t>
      </w:r>
    </w:p>
    <w:p>
      <w:pPr>
        <w:spacing w:after="0" w:line="145"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median OS of evaluable patients was 12.1 months (95% CI 5.5 – 16.4) and the 12-month survival rate was 53.4%. Median rPFS was 1.9 months and the 6-month rPFS rate was 16.8%.</w:t>
      </w:r>
    </w:p>
    <w:p>
      <w:pPr>
        <w:spacing w:after="0" w:line="16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The most frequently observed TEAEs &gt;15% of patients that appear to be related to talabostat included Fatigue, Nausea, Hypotension, Platelet count decreased, Vomiting, Dizziness, White blood cell count decreased and decreased appetite. The events have generally been manageable and reversible. When combined with the immune checkpoint inhibitor pembrolizumab, the most frequently reported talabostat-related AEs have been Fatigue, Nausea, Vomiting, Hypotension, Platelet count decreased, Pruritus, Dizziness, White blood cell count decreased, Diarrhoea and Decreased appetite.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Small Cell Lung Cancer (“SCLC”)</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are encouraged by the therapeutic potential of BXCL701 for SCLC given the activity it has demonstrated in the SCNC clinical trial. We have prepared a robust synopsis for a Phase 1b/2 trial design to be a dose-escalation safety lead-in to establish a RP2D in combination with atezolizumab, a CPI approved for SCLC. However, the start of any such trial has been paused.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18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Based on the preclinical observation that BXCL701 showed direct cytotoxic activity against certain leukemic cells, an investigator sponsored trial was pursued at the Dana Farber Cancer Institute.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8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 American Cancer Society estimated that in 2024, approximately 66,000 cases of pancreatic cancer were expected to be diagnosed in the U.S. We are supporting a Phase 2 investigator-sponsored trial (“IST”) sponsored by Georgetown Lombardi Comprehensive Cancer Center (“Georgetown Lombardi”), designed to evaluate the use of BXCL701 along with pembrolizumab to treat pancreatic cancer. Few therapeutic options are available for patients with this disease,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has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This trial started in the third quarter of 2023. On February 6, 2024, we announced the completion of patient enrollment in the safety lead-in portion of the trial. As part of the trial’s safety lead-in, the first six patients have been enrolled and will be observed for a six-week safety window period. The trial is then expected to enroll approximately 39 patients in its efficacy phase in a Simon 2-stage single-arm, open-label design (19 patients in stage 1 and 20 patients in stage 2). Patients will be monitored radiographically and by tumor markers for response assessment. Tumor biopsies and blood samples will also be collected over the course of treatment to better understand the potential mechanism of action for the combination. As 6 or fewer patients achieved progression free responses out of 19 at 18 weeks, the study is now closed and will be amended for futility.</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American Cancer Society estimated that in 2024, approximately 21,000 new cases of AML were expected to be diagnosed in the U.S. We are supporting a Phase 1b IST sponsored by the Dana-Farber Cancer Institute (“Dana-Farber”) designed to evaluate the use of BXCL701, along with the current standard of care to treat relapsed or refractory AML. We believe 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assess the safety of BXCL701 and to determine the maximum tolerated dose or the RP2D of BXCL701 as a single agent in AML. This trial started in the first quarter of 2023. The study was closed on August 31, 2025. At the time of study closure, the final cohort (BXCL701 0.4 mg BID;0.8 mg total daily dose) had been open since January 2025 and had enrolled two-thirds of patients. PK/PD analysis of samples is being pursued to see if the higher doses were delivered using this new dosing schedule.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Anti-cancer Programs</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49" w:lineRule="exact"/>
        <w:rPr>
          <w:sz w:val="20"/>
          <w:szCs w:val="20"/>
          <w:color w:val="auto"/>
        </w:rPr>
      </w:pPr>
    </w:p>
    <w:p>
      <w:pPr>
        <w:ind w:left="60" w:right="339" w:firstLine="324"/>
        <w:spacing w:after="0" w:line="289" w:lineRule="auto"/>
        <w:rPr>
          <w:sz w:val="20"/>
          <w:szCs w:val="20"/>
          <w:color w:val="auto"/>
        </w:rPr>
      </w:pPr>
      <w:r>
        <w:rPr>
          <w:rFonts w:ascii="Times New Roman" w:cs="Times New Roman" w:eastAsia="Times New Roman" w:hAnsi="Times New Roman"/>
          <w:sz w:val="17"/>
          <w:szCs w:val="17"/>
          <w:color w:val="auto"/>
        </w:rPr>
        <w:t>The FDA has granted BXCL701 orphan drug designation for the treatment of AML, stage IIb to IV melanoma, pancreatic cancer, and soft tissue sarcoma. As we consider BXCL701’s mechanistic potential to be combined with other CPIs for additional indications that represent unmet medical needs we may be able to apply for additional orphan drug</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designations for BXCL701 plus CPI combinations. However, all BXCL701 ongoing development activity has been paused.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18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8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As of July 28, 2025, we have multiple patent families filed to protect our immuno-oncology program, including our core patent family directed to methods of using BXCL701 with immune checkpoint inhibitors, which is granted in the U.S., Japan, Canada, China, India, Taiwan, Mexico, Europe, and United Arab Emirates.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2039. A corresponding European Patent case directed to selecting patients is issued and is expected to expire no earlier than 2038.</w:t>
      </w:r>
    </w:p>
    <w:p>
      <w:pPr>
        <w:spacing w:after="0" w:line="189" w:lineRule="exact"/>
        <w:rPr>
          <w:sz w:val="20"/>
          <w:szCs w:val="20"/>
          <w:color w:val="auto"/>
        </w:rPr>
      </w:pPr>
    </w:p>
    <w:p>
      <w:pPr>
        <w:ind w:left="60" w:right="439" w:firstLine="324"/>
        <w:spacing w:after="0" w:line="281" w:lineRule="auto"/>
        <w:rPr>
          <w:sz w:val="20"/>
          <w:szCs w:val="20"/>
          <w:color w:val="auto"/>
        </w:rPr>
      </w:pPr>
      <w:r>
        <w:rPr>
          <w:rFonts w:ascii="Times New Roman" w:cs="Times New Roman" w:eastAsia="Times New Roman" w:hAnsi="Times New Roman"/>
          <w:sz w:val="17"/>
          <w:szCs w:val="17"/>
          <w:color w:val="auto"/>
        </w:rPr>
        <w:t>Additional applications are directed to administering BXCL701 in combination with various other molecules, biomarkers, and dosing regimens. We also have three PCT applications directed to novel formulations of BXCL701, various dosing regimens, methods of use, combination therapies, and to methods of treating small cell lung cancer. We expect that any patents issuing from the PCT and provisional applications will expire no earlier than 2043 to 2044.</w:t>
      </w:r>
    </w:p>
    <w:p>
      <w:pPr>
        <w:spacing w:after="0" w:line="164"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immuno-oncology clinical candidates as well as new platform and core technologies. For additional information regarding intellectual property regulations and risks, see above under “Neuroscience Intellectual Property” and Part II, Item 1A, “Risk Factors - Risks Related to Our Intellectual Property” elsewhere in this Quarterly Report on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81" w:lineRule="exact"/>
        <w:rPr>
          <w:sz w:val="20"/>
          <w:szCs w:val="20"/>
          <w:color w:val="auto"/>
        </w:rPr>
      </w:pPr>
    </w:p>
    <w:p>
      <w:pPr>
        <w:jc w:val="both"/>
        <w:ind w:left="60" w:right="359" w:firstLine="324"/>
        <w:spacing w:after="0" w:line="226" w:lineRule="auto"/>
        <w:rPr>
          <w:sz w:val="20"/>
          <w:szCs w:val="20"/>
          <w:color w:val="auto"/>
        </w:rPr>
      </w:pPr>
      <w:r>
        <w:rPr>
          <w:rFonts w:ascii="Times New Roman" w:cs="Times New Roman" w:eastAsia="Times New Roman" w:hAnsi="Times New Roman"/>
          <w:sz w:val="18"/>
          <w:szCs w:val="18"/>
          <w:color w:val="auto"/>
        </w:rPr>
        <w:t>Revenue relates to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three and nine months ended September 30, 2025 and 2024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78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4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78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external costs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0" w:type="dxa"/>
            <w:vAlign w:val="bottom"/>
          </w:tcPr>
          <w:p>
            <w:pPr>
              <w:spacing w:after="0"/>
              <w:rPr>
                <w:sz w:val="1"/>
                <w:szCs w:val="1"/>
                <w:color w:val="auto"/>
              </w:rPr>
            </w:pPr>
          </w:p>
        </w:tc>
      </w:tr>
      <w:tr>
        <w:trPr>
          <w:trHeight w:val="20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22,357</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ind w:left="60" w:right="239" w:firstLine="324"/>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and other corporate matters, professional fees for audit and tax services and insurance charges. We may also incur increased costs to comply with corporate governance, internal controls, investor relations and disclosures and similar requirements applicable to public companies.</w:t>
      </w:r>
    </w:p>
    <w:p>
      <w:pPr>
        <w:spacing w:after="0" w:line="127" w:lineRule="exact"/>
        <w:rPr>
          <w:sz w:val="20"/>
          <w:szCs w:val="20"/>
          <w:color w:val="auto"/>
        </w:rPr>
      </w:pPr>
    </w:p>
    <w:p>
      <w:pPr>
        <w:ind w:left="60" w:right="199" w:firstLine="324"/>
        <w:spacing w:after="0" w:line="230" w:lineRule="auto"/>
        <w:rPr>
          <w:sz w:val="20"/>
          <w:szCs w:val="20"/>
          <w:color w:val="auto"/>
        </w:rPr>
      </w:pPr>
      <w:r>
        <w:rPr>
          <w:rFonts w:ascii="Times New Roman" w:cs="Times New Roman" w:eastAsia="Times New Roman" w:hAnsi="Times New Roman"/>
          <w:sz w:val="18"/>
          <w:szCs w:val="18"/>
          <w:color w:val="auto"/>
        </w:rPr>
        <w:t>As a result of our restructuring activities completed during 2024, we expect that our selling, general and administrative expenses will decline due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restructured commercialization plan and reduced personnel costs. However, we may also experience increased selling, general and administrative expenses due to higher fees for outside consultants, attorneys, and accountants.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2023 Strategic Reprioritization</w:t>
      </w:r>
    </w:p>
    <w:p>
      <w:pPr>
        <w:spacing w:after="0" w:line="189"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On August 8, 2023, our Board of Directors approved a broad-based strategic reprioritization (the “Reprioritization”). We took actions to reduce certain operational and workforce expenses that were no longer deemed core to ongoing operations in order to extend our cash runway and drive innovation and growth in high potential clinical development and value creating opportunities. These actions included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of at-home treatment setting opportunities for BXCL501.</w:t>
      </w:r>
    </w:p>
    <w:p>
      <w:pPr>
        <w:spacing w:after="0" w:line="160" w:lineRule="exact"/>
        <w:rPr>
          <w:sz w:val="20"/>
          <w:szCs w:val="20"/>
          <w:color w:val="auto"/>
        </w:rPr>
      </w:pPr>
    </w:p>
    <w:p>
      <w:pPr>
        <w:ind w:left="60" w:right="779" w:firstLine="324"/>
        <w:spacing w:after="0" w:line="312" w:lineRule="auto"/>
        <w:rPr>
          <w:sz w:val="20"/>
          <w:szCs w:val="20"/>
          <w:color w:val="auto"/>
        </w:rPr>
      </w:pPr>
      <w:r>
        <w:rPr>
          <w:rFonts w:ascii="Times New Roman" w:cs="Times New Roman" w:eastAsia="Times New Roman" w:hAnsi="Times New Roman"/>
          <w:sz w:val="17"/>
          <w:szCs w:val="17"/>
          <w:color w:val="auto"/>
        </w:rPr>
        <w:t>As part of this strategy, the Company’s Board of Directors approved a reduction of approximately 60% of the Company’s workforce. The Company notified impacted employees on August 14, 2023. The Reprioritization was</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substantially complete as of December 31, 2023, and the remaining restructuring costs were paid during the first quarter of 2024.</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 Clinical Prioritization</w:t>
      </w:r>
    </w:p>
    <w:p>
      <w:pPr>
        <w:spacing w:after="0" w:line="18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September 17, 2024, the Company reduced its workforce by an additional 28% to extend its cash runway and prioritize clinical development of BXCL501. The Company completed the Clinical Prioritization in October 2024, paid $475 of the related costs during the first quarter of 2025, and paid the remaining $128 during the second quarter of 2025.</w:t>
      </w:r>
    </w:p>
    <w:p>
      <w:pPr>
        <w:spacing w:after="0" w:line="15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Management believes that, after giving effect to the Reprioritization and additional restructuring activities completed, the Company’s cash, cash equivalents and restricted cash of $37,320 as of September 30, 2025 and proceeds subsequently raised pursuant to the ATM Program, will allow the Company to fund its operations and meet its liquidity requirements into the first quarter of 2026.</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if we meet required milestones, and we are able to draw down additional funds under the Credit Agreement.</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to the condensed consolidated financial statements included elsewhere in this Quarterly Report on Form 10-Q.</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380" w:right="3239"/>
        <w:spacing w:after="0" w:line="451" w:lineRule="auto"/>
        <w:rPr>
          <w:sz w:val="20"/>
          <w:szCs w:val="20"/>
          <w:color w:val="auto"/>
        </w:rPr>
      </w:pPr>
      <w:r>
        <w:rPr>
          <w:rFonts w:ascii="Times New Roman" w:cs="Times New Roman" w:eastAsia="Times New Roman" w:hAnsi="Times New Roman"/>
          <w:sz w:val="18"/>
          <w:szCs w:val="18"/>
          <w:b w:val="1"/>
          <w:bCs w:val="1"/>
          <w:color w:val="auto"/>
        </w:rPr>
        <w:t xml:space="preserve">Comparison of the Three Months Ended September 30, 2025 and 2024 </w:t>
      </w:r>
      <w:r>
        <w:rPr>
          <w:rFonts w:ascii="Times New Roman" w:cs="Times New Roman" w:eastAsia="Times New Roman" w:hAnsi="Times New Roman"/>
          <w:sz w:val="18"/>
          <w:szCs w:val="18"/>
          <w:b w:val="1"/>
          <w:bCs w:val="1"/>
          <w:i w:val="1"/>
          <w:iCs w:val="1"/>
          <w:color w:val="auto"/>
        </w:rPr>
        <w:t>Product Revenue, Net</w:t>
      </w:r>
    </w:p>
    <w:p>
      <w:pPr>
        <w:spacing w:after="0" w:line="1" w:lineRule="exact"/>
        <w:rPr>
          <w:sz w:val="20"/>
          <w:szCs w:val="20"/>
          <w:color w:val="auto"/>
        </w:rPr>
      </w:pPr>
    </w:p>
    <w:p>
      <w:pPr>
        <w:ind w:left="60" w:right="259" w:firstLine="324"/>
        <w:spacing w:after="0" w:line="228"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launched in July 2022. As part of the Company’s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hospital/contracting strategy with a Corporate Account Director (“CAD”) team. The goal of the realigned CAD team is to work with large hospital/Integrated Delivery Network (“IDN”) and drive sales utilizing a top-down approach, allowing the Company to continue to make inroads into the institutional market in a more cost-efficient manner.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revenue, net was $98 and $214 in the three months ended September 30, 2025 and 2024, respectively. The decrease in sales was primarily due to a reduction in bulk sales to existing customers, an increase in GPO discounts, and a reduction in commercial activities due to the Clinical Prioritization in May 2024 and September 2024.</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159" w:firstLine="324"/>
        <w:spacing w:after="0" w:line="224" w:lineRule="auto"/>
        <w:rPr>
          <w:sz w:val="20"/>
          <w:szCs w:val="20"/>
          <w:color w:val="auto"/>
        </w:rPr>
      </w:pPr>
      <w:r>
        <w:rPr>
          <w:rFonts w:ascii="Times New Roman" w:cs="Times New Roman" w:eastAsia="Times New Roman" w:hAnsi="Times New Roman"/>
          <w:sz w:val="18"/>
          <w:szCs w:val="18"/>
          <w:color w:val="auto"/>
        </w:rPr>
        <w:t>Cost of goods sold for the three months ended September 30, 2025 and 2024, were $11 and $1,170, respectively. Cost of goods sold is related to the costs to produce, package and deliver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The decrease in Cost of goods sold for the three months ended September 30, 2025 is the result of lower charges for reserves for excess or obsolete inventory compared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to the same period in 2024. Charges for reserves for excess or obsolete inventory were $0 and $1,157 in the three months ended September 30, 2025 and 2024,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2025 and 2024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overall increase of $3,639 for the three months ended September 30, 2025 relative to the same period in 2024 was primarily attributable to:</w:t>
      </w:r>
    </w:p>
    <w:p>
      <w:pPr>
        <w:spacing w:after="0" w:line="135" w:lineRule="exact"/>
        <w:rPr>
          <w:sz w:val="20"/>
          <w:szCs w:val="20"/>
          <w:color w:val="auto"/>
        </w:rPr>
      </w:pPr>
    </w:p>
    <w:p>
      <w:pPr>
        <w:ind w:left="720" w:right="179" w:hanging="319"/>
        <w:spacing w:after="0" w:line="27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trials expense due to the ongoing SERENITY At-Home pivotal Phase 3 safety trial in the third quarter of 2025 intended to support a supplemental new drug application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outpatient or at-home setting.</w:t>
      </w:r>
    </w:p>
    <w:p>
      <w:pPr>
        <w:spacing w:after="0" w:line="18"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personnel and related costs as a result of the issuance of the retention bonus to existing employees in 2025.</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compensation costs as a result of lower headcount.</w:t>
      </w:r>
    </w:p>
    <w:p>
      <w:pPr>
        <w:spacing w:after="0" w:line="198"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chemistry, manufacturing and controls (“CMC”) costs.</w:t>
      </w:r>
    </w:p>
    <w:p>
      <w:pPr>
        <w:spacing w:after="0" w:line="177" w:lineRule="exact"/>
        <w:rPr>
          <w:sz w:val="20"/>
          <w:szCs w:val="20"/>
          <w:color w:val="auto"/>
        </w:rPr>
      </w:pPr>
    </w:p>
    <w:p>
      <w:pPr>
        <w:ind w:left="60" w:right="3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2025 and 2024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$2,302 for the three months ended September 30, 2025, relative to the same period in 2024 was primarily attributable to:</w:t>
      </w:r>
    </w:p>
    <w:p>
      <w:pPr>
        <w:spacing w:after="0" w:line="135" w:lineRule="exact"/>
        <w:rPr>
          <w:sz w:val="20"/>
          <w:szCs w:val="20"/>
          <w:color w:val="auto"/>
        </w:rPr>
      </w:pPr>
    </w:p>
    <w:p>
      <w:pPr>
        <w:ind w:left="720" w:right="33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primarily related to lower legal costs in 2025 compared to 2024 and reductions in consulting for the three months ended September 30, 2025.</w:t>
      </w:r>
    </w:p>
    <w:p>
      <w:pPr>
        <w:spacing w:after="0" w:line="12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Clinical Prioritization in May 2024 and September 2024, partially offset by the expenses associated with the accrual of retention bonuses.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other expenses, primarily travel expenses, as a result of lower headcount.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compensation costs as a result of lower headcount.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02"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$4,373 for the three months ended September 30, 2025 from $3,790 in the same period in 2024 primarily due to higher debt balances and interest rates under the Credit Agreement. The expense was partially offset by lower interest income earned on lower levels of cash and cash equivalents that were held primarily in short-term money market funds. Interest income decreased to $236 for the three months ended September 30, 2025 compared to $616 for three months ended September 30, 2024, due to lower average cash balances during the year. Other (income) expense, net is primarily associated with changes in fair value of derivative financial instruments for the period, which relate to instruments associated with the Credit Agreement and the Company’s registered direct equity offerings.</w:t>
      </w:r>
    </w:p>
    <w:p>
      <w:pPr>
        <w:spacing w:after="0" w:line="144" w:lineRule="exact"/>
        <w:rPr>
          <w:sz w:val="20"/>
          <w:szCs w:val="20"/>
          <w:color w:val="auto"/>
        </w:rPr>
      </w:pPr>
    </w:p>
    <w:p>
      <w:pPr>
        <w:ind w:left="380" w:right="3339"/>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Comparison of the Nine Months Ended September 30, 2025 and 2024 </w:t>
      </w:r>
      <w:r>
        <w:rPr>
          <w:rFonts w:ascii="Times New Roman" w:cs="Times New Roman" w:eastAsia="Times New Roman" w:hAnsi="Times New Roman"/>
          <w:sz w:val="18"/>
          <w:szCs w:val="18"/>
          <w:b w:val="1"/>
          <w:bCs w:val="1"/>
          <w:i w:val="1"/>
          <w:iCs w:val="1"/>
          <w:color w:val="auto"/>
        </w:rPr>
        <w:t>Product Revenue, Net</w:t>
      </w:r>
    </w:p>
    <w:p>
      <w:pPr>
        <w:spacing w:after="0" w:line="1" w:lineRule="exact"/>
        <w:rPr>
          <w:sz w:val="20"/>
          <w:szCs w:val="20"/>
          <w:color w:val="auto"/>
        </w:rPr>
      </w:pPr>
    </w:p>
    <w:p>
      <w:pPr>
        <w:ind w:left="60" w:right="459" w:firstLine="324"/>
        <w:spacing w:after="0" w:line="232"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revenue, net was $386 and $1,900 in the nine months ended September 30, 2025 and 2024, respectively. The decrease in sales was primarily due to a reduction in bulk sales to existing customers, an increase in GPO discounts, and a reduction in commercial activities due to the Clinical Prioritization in May 2024 and September 2024.</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Cost of goods sold for the nine months ended September 30, 2025 and 2024, were $132 and $1,311, respectively. Cost of goods sold is primarily related to the costs to produce, package and deliver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customers, as well as costs related to excess or obsolete inventory. The decrease in Cost of goods sold for the nine months ended September 30, 2025 is the result of lower charges for reserves for excess or obsolete inventory compared to the same period in 2024. Charges for reserves for excess or obsolete inventory were $95 and $1,202 in the nine months ended September 30, 2025 and 2024, respectively.</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2025 and 2024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$984 for the nine months ended September 30, 2025 relative to the same period in 2024 was primarily attributable to:</w:t>
      </w:r>
    </w:p>
    <w:p>
      <w:pPr>
        <w:spacing w:after="0" w:line="121" w:lineRule="exact"/>
        <w:rPr>
          <w:sz w:val="20"/>
          <w:szCs w:val="20"/>
          <w:color w:val="auto"/>
        </w:rPr>
      </w:pPr>
    </w:p>
    <w:p>
      <w:pPr>
        <w:ind w:left="720" w:right="239" w:hanging="319"/>
        <w:spacing w:after="0" w:line="27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trials expense due to the execution of the SERENITY At-Home pivotal Phase 3 safety trial into September 2025 intended to support a supplemental new drug application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outpatient or at-home setting.</w:t>
      </w:r>
    </w:p>
    <w:p>
      <w:pPr>
        <w:spacing w:after="0" w:line="3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Clinical Prioritization in May 2024 and September 2024.</w:t>
      </w:r>
    </w:p>
    <w:p>
      <w:pPr>
        <w:spacing w:after="0" w:line="184"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compensation costs as a result of lower headcount coupled with reversals in accelerated stock compensation expense for employees terminated in the first quarter of 2025 resulting in a net $514 decrease.</w:t>
      </w:r>
    </w:p>
    <w:p>
      <w:pPr>
        <w:spacing w:after="0" w:line="13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w:t>
      </w:r>
    </w:p>
    <w:p>
      <w:pPr>
        <w:spacing w:after="0" w:line="177" w:lineRule="exact"/>
        <w:rPr>
          <w:sz w:val="20"/>
          <w:szCs w:val="20"/>
          <w:color w:val="auto"/>
        </w:rPr>
      </w:pPr>
    </w:p>
    <w:p>
      <w:pPr>
        <w:ind w:left="60" w:right="3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2025 and 2024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2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$13,709 for the nine months ended September 30, 2025, relative to the same period in 2024 was primarily attributable to:</w:t>
      </w:r>
    </w:p>
    <w:p>
      <w:pPr>
        <w:spacing w:after="0" w:line="135"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Clinical Prioritization in May 2024 and September 2024.</w:t>
      </w:r>
    </w:p>
    <w:p>
      <w:pPr>
        <w:spacing w:after="0" w:line="184"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primarily related to lower legal costs in 2025 compared to 2024 and reductions in consulting for the nine months ended September 30, 2025.</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lower headcount.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other expenses, primarily travel expenses, as a result of lower headcount.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Interest expense increased to $12,588 for the nine months ended September 30, 2025 from $11,097 in the same period</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2024 primarily due to higher debt balances and interest rates under the Credit Agreement. The expense was partially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offset by lower interest income earned on lower levels of cash and cash equivalents that were held primarily in short-term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money market funds. Interest income decreased to $745 for the nine months ended September 30, 2025 compared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$2,234 for nine months ended September 30, 2024, due to lower average cash balances during the year. Other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 net is primarily associated with changes in fair value of derivative financial instruments for the period,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relate to instruments associated with the Credit Agreement and the Company’s registered direct equity offerings.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8"/>
          <w:szCs w:val="18"/>
          <w:i w:val="1"/>
          <w:iCs w:val="1"/>
          <w:color w:val="auto"/>
        </w:rPr>
        <w:t>Health care reform measures could hinder or prevent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candidates’ commercial success.</w:t>
      </w:r>
      <w:r>
        <w:rPr>
          <w:rFonts w:ascii="Times New Roman" w:cs="Times New Roman" w:eastAsia="Times New Roman" w:hAnsi="Times New Roman"/>
          <w:sz w:val="18"/>
          <w:szCs w:val="18"/>
          <w:color w:val="auto"/>
        </w:rPr>
        <w:t>” in Part II, Item 1A, “Risk Factors” elsewhere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89" w:lineRule="exact"/>
        <w:rPr>
          <w:sz w:val="20"/>
          <w:szCs w:val="20"/>
          <w:color w:val="auto"/>
        </w:rPr>
      </w:pPr>
    </w:p>
    <w:p>
      <w:pPr>
        <w:jc w:val="both"/>
        <w:ind w:left="60" w:right="499" w:firstLine="324"/>
        <w:spacing w:after="0" w:line="272" w:lineRule="auto"/>
        <w:rPr>
          <w:sz w:val="20"/>
          <w:szCs w:val="20"/>
          <w:color w:val="auto"/>
        </w:rPr>
      </w:pPr>
      <w:r>
        <w:rPr>
          <w:rFonts w:ascii="Times New Roman" w:cs="Times New Roman" w:eastAsia="Times New Roman" w:hAnsi="Times New Roman"/>
          <w:sz w:val="17"/>
          <w:szCs w:val="17"/>
          <w:color w:val="auto"/>
        </w:rPr>
        <w:t>On February 10, 2025, the Company effected a 1-for-16 reverse stock split of its issued and outstanding common stock (the “Reverse Stock Split”). As a result of the Reverse Stock Split, each 16 shares of common stock issued and outstanding immediately prior to February 10, 2025 were automatically converted into 1 share of common stock.</w:t>
      </w:r>
    </w:p>
    <w:p>
      <w:pPr>
        <w:spacing w:after="0" w:line="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stock split.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2025, we had cash, cash equivalents and restricted cash of $37,320, working capital of $6,599 and stockholders’ deficit of $88,919. Net cash used in operating activities was $43,405 and $57,218 for the nine months ended September 30, 2025 and 2024, respectively. We incurred losses of approximately $57,352 and $48,740 for the nine months ended September 30, 2025 and 2024,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management’s assessment that there is substantial doubt about our ability to continue as a going concern for a period of at least 12 months from the issuance date of the financial statements included in this Quarterly Report on Form 10-Q.</w:t>
      </w:r>
    </w:p>
    <w:p>
      <w:pPr>
        <w:spacing w:after="0" w:line="135"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43" w:lineRule="exact"/>
        <w:rPr>
          <w:sz w:val="20"/>
          <w:szCs w:val="20"/>
          <w:color w:val="auto"/>
        </w:rPr>
      </w:pPr>
    </w:p>
    <w:p>
      <w:pPr>
        <w:ind w:left="1340" w:hanging="642"/>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0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To date, we have continued research and development activities while managing our cash position. However, 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See “Risks Related to Financial Position and Need for Additional Capital — </w:t>
      </w:r>
      <w:r>
        <w:rPr>
          <w:rFonts w:ascii="Times New Roman" w:cs="Times New Roman" w:eastAsia="Times New Roman" w:hAnsi="Times New Roman"/>
          <w:sz w:val="18"/>
          <w:szCs w:val="18"/>
          <w:i w:val="1"/>
          <w:iCs w:val="1"/>
          <w:color w:val="auto"/>
        </w:rPr>
        <w:t>We will need substantial additional funding, and if we are unable to raise capital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needed, we could be forced to delay, reduce or eliminate our product development programs or commercialization efforts or otherwise seek strategic alternatives.</w:t>
      </w:r>
      <w:r>
        <w:rPr>
          <w:rFonts w:ascii="Times New Roman" w:cs="Times New Roman" w:eastAsia="Times New Roman" w:hAnsi="Times New Roman"/>
          <w:sz w:val="18"/>
          <w:szCs w:val="18"/>
          <w:color w:val="auto"/>
        </w:rPr>
        <w:t>” in Part II. Item 1A., “Risk Factors” elsewhere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02" w:lineRule="exact"/>
        <w:rPr>
          <w:sz w:val="20"/>
          <w:szCs w:val="20"/>
          <w:color w:val="auto"/>
        </w:rPr>
      </w:pPr>
    </w:p>
    <w:p>
      <w:pPr>
        <w:ind w:left="60" w:right="279" w:firstLine="324"/>
        <w:spacing w:after="0" w:line="239" w:lineRule="auto"/>
        <w:rPr>
          <w:sz w:val="20"/>
          <w:szCs w:val="20"/>
          <w:color w:val="auto"/>
        </w:rPr>
      </w:pPr>
      <w:r>
        <w:rPr>
          <w:rFonts w:ascii="Times New Roman" w:cs="Times New Roman" w:eastAsia="Times New Roman" w:hAnsi="Times New Roman"/>
          <w:sz w:val="18"/>
          <w:szCs w:val="18"/>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(as amended, supplemented and/or restated from time to time, the “Sale Agreement”) with Jefferies LLC (“Jefferies”), an Equity Distribution Agreement with Canaccord Genuity LLC (“Canaccord”), and borrowings under our Credit Agreement (as described below). We have not yet established an ongoing source of revenue sufficient to cover our operating costs and will need to do so in future periods.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189" w:lineRule="exact"/>
        <w:rPr>
          <w:sz w:val="20"/>
          <w:szCs w:val="20"/>
          <w:color w:val="auto"/>
        </w:rPr>
      </w:pPr>
    </w:p>
    <w:p>
      <w:pPr>
        <w:ind w:left="60" w:right="279" w:firstLine="324"/>
        <w:spacing w:after="0" w:line="238" w:lineRule="auto"/>
        <w:rPr>
          <w:sz w:val="20"/>
          <w:szCs w:val="20"/>
          <w:color w:val="auto"/>
        </w:rPr>
      </w:pPr>
      <w:r>
        <w:rPr>
          <w:rFonts w:ascii="Times New Roman" w:cs="Times New Roman" w:eastAsia="Times New Roman" w:hAnsi="Times New Roman"/>
          <w:sz w:val="18"/>
          <w:szCs w:val="18"/>
          <w:color w:val="auto"/>
        </w:rPr>
        <w:t>On April 19, 2022, we entered into two financing agreements: the Credit Agreement and the RIFA. Pursuant to the Credit Agreement, the Lenders originally agreed to provide up to $135,000 in senior secured term loans to us. On April 28, 2022, we borrowed the first $70,000 tranche of loans under the Credit Agreement. Pursuant to the RIFA, the 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development and commercialization of BXCL501 and other general corporate purposes. On July 8, 2022, we drew down the first tranche of $30,000 under the RIFA. In connection with the Credit Agreement, we granted to the Lenders (i) warrants to purchase up to 17 shares of our common stock (the “Closing Date Warrants”), (ii) rights to purchase up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to $5,000 of our common stock and (iii) warrants to purchase up to 175 individual ownership units (i.e., not in thousands) in OnkosXcel (the “OnkosXcel Warrants”).</w:t>
      </w:r>
    </w:p>
    <w:p>
      <w:pPr>
        <w:spacing w:after="0" w:line="13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were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51"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On December 5,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 In addition, the Second Amendment replaced the Credit Agreement’s existing “Tranche B” and “Tranche C” term loan opportunities with three new tranches aggregating up to $100,000 in potential funding:</w:t>
      </w:r>
    </w:p>
    <w:p>
      <w:pPr>
        <w:spacing w:after="0" w:line="147" w:lineRule="exact"/>
        <w:rPr>
          <w:sz w:val="20"/>
          <w:szCs w:val="20"/>
          <w:color w:val="auto"/>
        </w:rPr>
      </w:pPr>
    </w:p>
    <w:p>
      <w:pPr>
        <w:ind w:left="1040" w:right="459" w:hanging="315"/>
        <w:spacing w:after="0" w:line="255"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54"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$30,000 “Tranche C” term loan available upon satisfaction of the following conditions on or before December 31, 2025: (i) either (a) receipt of approval from the FDA of an sNDA in respect of the use of 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p>
      <w:pPr>
        <w:spacing w:after="0" w:line="151" w:lineRule="exact"/>
        <w:rPr>
          <w:rFonts w:ascii="Times New Roman" w:cs="Times New Roman" w:eastAsia="Times New Roman" w:hAnsi="Times New Roman"/>
          <w:sz w:val="18"/>
          <w:szCs w:val="18"/>
          <w:color w:val="auto"/>
        </w:rPr>
      </w:pPr>
    </w:p>
    <w:p>
      <w:pPr>
        <w:ind w:left="1040" w:right="259" w:hanging="315"/>
        <w:spacing w:after="0" w:line="258"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BXCL501 for opioid withdrawal) for the trailing twelve consecutive month period exceeding a specified amount.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2025, $80,000 remains available for borrowing if the milestones above are met.</w:t>
      </w:r>
    </w:p>
    <w:p>
      <w:pPr>
        <w:spacing w:after="0" w:line="198"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 Second Amendment also modified the interest rate of the loans provided under the Credit Agreement to be a floating rate per annum equal to the secured overnight financing rate (“SOFR”) (subject to a SOFR floor of 2.5% and a cap of 5.5%) plus 7.5%.</w:t>
      </w:r>
    </w:p>
    <w:p>
      <w:pPr>
        <w:spacing w:after="0" w:line="135"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Following the Second Amendment, we were required to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“Revenue Covenant”), subject to cure payments of not less than $1,000 if we failed to meet the minimum revenue requirement.</w:t>
      </w:r>
    </w:p>
    <w:p>
      <w:pPr>
        <w:spacing w:after="0" w:line="13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Second Amendment, we amended and restated the Closing Date Warrants granted to the Lenders on April 19, 2022 to purchase up to 17 shares of the Company’s common stock at an exercise price of $320.64 per share. Pursuant to the amendment and restatement of the Closing Date Warrants, dated December 5, 2023 (the “Amended and Restated Closing Date Warrants”), the exercise price of the Closing Date Warrants was reduced to $58.3232 per share, which represented the arithmetic average of the volume-weighted average price of the Company’s common stock on the Nasdaq Capital Market during the 30 trading days preceding the Second Amendment Effective Date. In addition, the Company granted new warrants to the Lenders to purchase up to 4 shares of the Company’s common stock (the “2023 Warrant Shares”) at an exercise price of $58.3232 per share (the “2023 Warrants”). The Amended and Restated Closing Date Warrants and the 2023 Warrants will expire on April 19, 2029 and may be net exercised at the holder’s election.</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“Third Amendment Effective Date”), we entered into the Third Amendment to Credit Agreement and Guaranty (the “Third Amendment”), pursuant to which the Lenders agreed to waive the covenant that we shall not receive a report and opinion from our independent auditors that contains a “going concern” or like qualification or exception or emphasis of matter of going concern footnote with respect to our financial statements for the fiscal year ended December 31, 2023 and, as a result, such event shall not be an event of default. As a condition to the effectiveness of the Third Amendment, among other things, we shall have received at least $40,000 in gross proceeds from a registered public sale of the Company’s common stock, warrants and/or pre-funded warrants on or before February 20, 2024. We did not meet this condition and therefore the Third Amendment did not become effective.</w:t>
      </w:r>
    </w:p>
    <w:p>
      <w:pPr>
        <w:spacing w:after="0" w:line="151"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On March 20, 2024, we entered into the Fourth Amendment to the Credit Agreement (“the Fourth Amendment”), pursuant to which the Lenders waived the Credit Agreement’s covenant that the report and opinion the Company received from its independent registered public accounting firm with respect to the financial statements for the year ending December 31, 2023 not contain a “going concern” or similar qualification.</w:t>
      </w:r>
    </w:p>
    <w:p>
      <w:pPr>
        <w:spacing w:after="0" w:line="15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Fourth Amendment included covenants that we receive, (i) after the effective date of the Fourth Amendment and on or before April 15, 2024, at least $25,000 in gross proceeds from the issuance of our common stock, warrants and/or pre-funded warrants, and/or in non-refundable cash consideration from partnering transactions entered into after the effective date of the Fourth Amendment (so long as such partnering transactions would not require us or any of our subsidiaries to make any cash investments in connection with the partnering transactions and no such cash investments are made), and (ii) after the effective date of the Fourth Amendment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of the Fourth Amendment.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5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addition, the Fourth Amendment provided that if we had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of the Fourth Amendment, the “Minimum Liquidity Amount” (as defined in the Credit Agreement) that we are required to maintain at all times will increase to $25,000 from $15,000, unless and until we had received, after the effective date of the Fourth Amendment and on or before November 30, 2024, at least $50,000 in gross proceeds from the issuance of our common stock, warrants and/or pre-funded warrants, and/or in cash and/or non-cash consideration (measured at fair</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market value, as determined by the Administrative Agent in its sole discretion) from partnering transactions entered into after the effective date of the Fourth Amendment.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Fourth Amendment, on the effective date of the Fourth Amendment, we granted new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Lenders to purchase up to 6 shares of our common stock (the “2024 Warrant Shares”) at an exercise price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$49.1568 per share (the “2024 Warrants”), which represents a 10% premium over the arithmetic average of the volume-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price of our common stock on the Nasdaq Capital Market during the 30 trading days preceding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Effective Date. The 2024 Warrants will expire on April 19, 2029 and may be net exercised at the holder’s election.</w:t>
      </w:r>
    </w:p>
    <w:p>
      <w:pPr>
        <w:spacing w:after="0" w:line="166"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w:t>
      </w:r>
    </w:p>
    <w:p>
      <w:pPr>
        <w:spacing w:after="0" w:line="162"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89" w:lineRule="exact"/>
        <w:rPr>
          <w:sz w:val="20"/>
          <w:szCs w:val="20"/>
          <w:color w:val="auto"/>
        </w:rPr>
      </w:pPr>
    </w:p>
    <w:p>
      <w:pPr>
        <w:jc w:val="both"/>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 Fifth Amendment included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 (“Raise 3”).</w:t>
      </w:r>
    </w:p>
    <w:p>
      <w:pPr>
        <w:spacing w:after="0" w:line="196"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$7,500 (instead of $25,000) from and after the closing of Raise 1 until March 30, 2025. On March 31, 2025, the minimum liquidity amount increased to $10,000 and on September 30, 2025, the minimum liquidity amount increased to $15,000.</w:t>
      </w:r>
    </w:p>
    <w:p>
      <w:pPr>
        <w:spacing w:after="0" w:line="180"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made the required one-time amortization payment of $2,500 principal amount, together with accrued and unpaid interest and a portion of the prepayment fee and other fees payable by December 31, 2024.</w:t>
      </w:r>
    </w:p>
    <w:p>
      <w:pPr>
        <w:spacing w:after="0" w:line="176"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Fifth Amendment also modified the interest rate of the loans provided under the Credit Agreement from a floating rate of Term SOFR plus 7.50% per annum, to a fixed rate of 13% per annum, retroactive to and effective as of September 30, 2024. For the quarterly payment dates </w:t>
      </w:r>
      <w:r>
        <w:rPr>
          <w:rFonts w:ascii="Times New Roman" w:cs="Times New Roman" w:eastAsia="Times New Roman" w:hAnsi="Times New Roman"/>
          <w:sz w:val="18"/>
          <w:szCs w:val="18"/>
          <w:color w:val="202020"/>
        </w:rPr>
        <w:t>ending December 31, 2024, March 31, 2025, and June 30, 2025, t</w:t>
      </w:r>
      <w:r>
        <w:rPr>
          <w:rFonts w:ascii="Times New Roman" w:cs="Times New Roman" w:eastAsia="Times New Roman" w:hAnsi="Times New Roman"/>
          <w:sz w:val="18"/>
          <w:szCs w:val="18"/>
          <w:color w:val="auto"/>
        </w:rPr>
        <w:t>he Company had the ability to make interest payments of up to 10% per annum “in-kind” by capitalizing and adding such interest to the outstanding principal amount of the loans under the Credit Agreement</w:t>
      </w:r>
      <w:r>
        <w:rPr>
          <w:rFonts w:ascii="Times New Roman" w:cs="Times New Roman" w:eastAsia="Times New Roman" w:hAnsi="Times New Roman"/>
          <w:sz w:val="18"/>
          <w:szCs w:val="18"/>
          <w:color w:val="202020"/>
        </w:rPr>
        <w:t>.</w:t>
      </w:r>
      <w:r>
        <w:rPr>
          <w:rFonts w:ascii="Times New Roman" w:cs="Times New Roman" w:eastAsia="Times New Roman" w:hAnsi="Times New Roman"/>
          <w:sz w:val="18"/>
          <w:szCs w:val="18"/>
          <w:color w:val="auto"/>
        </w:rPr>
        <w:t xml:space="preserve"> In addition, pursuant to the</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82" w:lineRule="auto"/>
        <w:rPr>
          <w:sz w:val="20"/>
          <w:szCs w:val="20"/>
          <w:color w:val="auto"/>
        </w:rPr>
      </w:pPr>
      <w:r>
        <w:rPr>
          <w:rFonts w:ascii="Times New Roman" w:cs="Times New Roman" w:eastAsia="Times New Roman" w:hAnsi="Times New Roman"/>
          <w:sz w:val="18"/>
          <w:szCs w:val="18"/>
          <w:color w:val="auto"/>
        </w:rPr>
        <w:t>Fifth Amendment, the Company will be required to make quarterly amortization payments equal to 5.0% of the principal amount of funded loans, together with applicable prepayment fees, beginning on March 31, 2026.</w:t>
      </w:r>
    </w:p>
    <w:p>
      <w:pPr>
        <w:spacing w:after="0" w:line="162"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202020"/>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80"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202020"/>
        </w:rPr>
        <w:t>The Fifth Amendment amended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76" w:lineRule="exact"/>
        <w:rPr>
          <w:sz w:val="20"/>
          <w:szCs w:val="20"/>
          <w:color w:val="auto"/>
        </w:rPr>
      </w:pPr>
    </w:p>
    <w:p>
      <w:pPr>
        <w:jc w:val="both"/>
        <w:ind w:left="60" w:right="139" w:firstLine="324"/>
        <w:spacing w:after="0" w:line="256" w:lineRule="auto"/>
        <w:rPr>
          <w:sz w:val="20"/>
          <w:szCs w:val="20"/>
          <w:color w:val="auto"/>
        </w:rPr>
      </w:pPr>
      <w:r>
        <w:rPr>
          <w:rFonts w:ascii="Times New Roman" w:cs="Times New Roman" w:eastAsia="Times New Roman" w:hAnsi="Times New Roman"/>
          <w:sz w:val="18"/>
          <w:szCs w:val="18"/>
          <w:color w:val="202020"/>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87"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202020"/>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its employees or executives during the fiscal years 2024 and 2025 without OFA’s consent or increasing the cash compensation for fiscal year 2025 for certain senior officers of the Company from their compensation for fiscal year 2024.</w:t>
      </w:r>
    </w:p>
    <w:p>
      <w:pPr>
        <w:spacing w:after="0" w:line="18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On March 4, 2025, the Company entered into the Sixth Amendment to our Credit Agreement (the “Sixth Amendment”), pursuant to which the Lenders agreed to, among other things, delay the date on which we are required to engage an investment banker (which date has been subsequently extended to July 31, 2025). The Company retained an investment broker on July 29, 2025.</w:t>
      </w:r>
    </w:p>
    <w:p>
      <w:pPr>
        <w:spacing w:after="0" w:line="180"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202020"/>
        </w:rPr>
        <w:t>As of September 30, 2025, we had aggregate principal indebtedness of $112,156 outstanding under the Credit Agreement.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02020"/>
        </w:rPr>
        <w:t>Company Warrants and Registration Rights Agreement</w:t>
      </w:r>
    </w:p>
    <w:p>
      <w:pPr>
        <w:spacing w:after="0" w:line="22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Also, in connection with the closing of the Fifth Amendment, the Company agreed to, substantially concurrently with the closing of Raise 1, grant new warrants to the Lenders to purchase an aggregate of 313 shares of common stock, at an exercise price of $0.16 per share (the “New Warrants”). During the the nine months ended September 30, 2025, the Company issued 284 shares of Common Stock in connection with the cashless exercises of the 313 New Warrants.</w:t>
      </w:r>
    </w:p>
    <w:p>
      <w:pPr>
        <w:spacing w:after="0" w:line="161" w:lineRule="exact"/>
        <w:rPr>
          <w:sz w:val="20"/>
          <w:szCs w:val="20"/>
          <w:color w:val="auto"/>
        </w:rPr>
      </w:pPr>
    </w:p>
    <w:p>
      <w:pPr>
        <w:jc w:val="both"/>
        <w:ind w:left="60" w:right="139" w:firstLine="648"/>
        <w:spacing w:after="0" w:line="255" w:lineRule="auto"/>
        <w:rPr>
          <w:sz w:val="20"/>
          <w:szCs w:val="20"/>
          <w:color w:val="auto"/>
        </w:rPr>
      </w:pPr>
      <w:r>
        <w:rPr>
          <w:rFonts w:ascii="Times New Roman" w:cs="Times New Roman" w:eastAsia="Times New Roman" w:hAnsi="Times New Roman"/>
          <w:sz w:val="18"/>
          <w:szCs w:val="18"/>
          <w:color w:val="202020"/>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entered into a registration rights agreement with the Lenders in connection with the original closing of the Credit Agreement, which has been amended and restated since in connection with each issuance of additional warrants to the Lenders, including most recently, in connection with the Fifth Amendment (as so amended and restated the “Amended and Restated Registration Rights Agreement”). Pursuant to the Amended and Restated Registration Rights Agreement, we have filed registration statements on Form S-3 to register the shares issuable upon exercise of the Original Warrants and the New Warrants for resale. The maximum shares of our common stock issuable under the Original Warrants and the New Warrants is 366.</w:t>
      </w:r>
    </w:p>
    <w:p>
      <w:pPr>
        <w:spacing w:after="0" w:line="189" w:lineRule="exact"/>
        <w:rPr>
          <w:sz w:val="20"/>
          <w:szCs w:val="20"/>
          <w:color w:val="auto"/>
        </w:rPr>
      </w:pPr>
    </w:p>
    <w:p>
      <w:pPr>
        <w:jc w:val="both"/>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85"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included elsewhere in this Quarterly Report on Form 10-Q for additional information relating to the Credit Agreement and RIFA, including applicable interest rates, payment obligations and certain restrictive and financial covenants thereunder. As of September 30, 2025, we were in compliance with all restrictive and financial covenants under the Credit Agreement.</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 - Jeffries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May 2021, we entered into the Sale Agreement with Jefferies pursuant to which we could offer and sell shares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having an aggregate offering price of up to $100,000, from time to time, through an “at the market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offering” program under which Jefferies will act as sale agent. On November 1, 2023, we entered into an amendment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Sale Agreement with Jefferies to increase the size of the “at the market offering” program; pursuant to the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as amended, we can offer and sell shares of our common stock having an aggregate offering price of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$150,000 (excluding any shares of common stock already sold in the “at the market offering” program prior to the date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amendment), from time to time, through an “at the market offering” program under which Jefferies will act as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agent. We terminated the Sales Agreement with Jefferies on March 26, 2025. There were no sales of the Company’s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 under the Sale Agreement for the three and nine months ended September 30, 2025. For the three months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ended September 30, 2024, the Company sold 22 shares under the Sale Agreement for gross proceeds of $467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received proceeds of $453, net of issuance costs of $14. For the nine months ended September 30, 2024,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sold 240 shares under the Sale Agreement for gross proceeds of $7,682 and received proceeds of $7,451, net of issuance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of $231.</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 - Canaccord</w:t>
      </w:r>
    </w:p>
    <w:p>
      <w:pPr>
        <w:spacing w:after="0" w:line="202"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In April 2025, we entered into an Equity Distribution Agreement with Canaccord to sell shares of the Company’s common stock, with aggregate gross sales proceeds of up to $8,135, from time to time, through an “at the market” equity offering program under which Canaccord will act as sales agent. For the three months ended September 30, 2025, the Company sold 4,627 shares of its common stock for a gross amount of $7,991, incurred issuance costs of $240, and received net proceeds of $7,751. For the nine months ended September 30, 2025, the Company sold 4,724 shares of its common stock for a gross amount of $8,130, incurred issuance costs of $244, and received net proceeds of $7,886.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August 2025, the Company increased the maximum amount of shares that are eligible to be sold pursuant to the Equity Distribution Agreement to allow for the offer and sale of up to $3,500 of its common stock. For the three and nine months ended September 30, 2025, the Company sold 1,050 shares for gross proceeds of $3,500 and received proceeds of $3,395, net of issuance costs of $105. Following the sale of common stock, the Company raised sufficient net proceeds to satisfy the Raise 3 requirement under the Fifth Amendment to the Credit Agreement.</w:t>
      </w:r>
    </w:p>
    <w:p>
      <w:pPr>
        <w:spacing w:after="0" w:line="156"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August, 2025, the Company filed a prospectus supplement with the Securities and Exchange Commission for the offer and sale of up to $80,000 shares of common stock pursuant to the Equity Distribution Agreement. For the three and nine months ended September 30, 2025, the Company sold 3,984 shares for gross proceeds of $17,082 and received proceeds of $16,740, net of issuance costs of $342.</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(43,405)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(57,218)</w:t>
            </w: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50,871</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2025 was $43,405 and was primarily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attributable to our net loss of $57,352, in part offset by $5,434 in payable in kind interest on our credit agreement,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$5,319 decrease in the change in the fair value of our derivative liability, $2,317 in non-cash stock-based compensation,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$1,183 in accretion of debt discount and amortization of financing costs.</w:t>
      </w:r>
    </w:p>
    <w:p>
      <w:pPr>
        <w:spacing w:after="0" w:line="16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$57,218 and was primarily attributable to our net loss of $48,740, a $736 decrease in accrued interest, a $997 decrease in accounts payable, accrued expenses, due to related parties and other current liabilities a $1,017 increase in prepaid expenses, other current assets and other assets, and a $16,884 change in the fair value of derivative liabilities, partially offset by a $466 decrease in inventory, a $68 decrease in accounts receivable, $6,355 of non-cash stock-based compensation, and $3,821 of payable-in-kind interest.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2"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and 2024 was $0 and $0, respectively.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2025, was $50,871 and was primarily attributable to net proceeds of $12,957 received from the March 2025 registered direct offering, net proceeds from the sale of common stock under the Equity Distribution Agreement with Canaccord of $27,886, and net proceeds from the exercise of warrants of $9,660.</w:t>
      </w:r>
    </w:p>
    <w:p>
      <w:pPr>
        <w:spacing w:after="0" w:line="153"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$32,384 and was attributable to $25,000 in proceeds received from the March 2024 registered direct offering and net proceeds received from the sale of common stock under the Sale Agreement with Jefferies of $7,451.</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02" w:lineRule="exact"/>
        <w:rPr>
          <w:sz w:val="20"/>
          <w:szCs w:val="20"/>
          <w:color w:val="auto"/>
        </w:rPr>
      </w:pPr>
    </w:p>
    <w:p>
      <w:pPr>
        <w:ind w:left="60" w:right="139" w:firstLine="324"/>
        <w:spacing w:after="0" w:line="247" w:lineRule="auto"/>
        <w:rPr>
          <w:sz w:val="20"/>
          <w:szCs w:val="20"/>
          <w:color w:val="auto"/>
        </w:rPr>
      </w:pPr>
      <w:r>
        <w:rPr>
          <w:rFonts w:ascii="Times New Roman" w:cs="Times New Roman" w:eastAsia="Times New Roman" w:hAnsi="Times New Roman"/>
          <w:sz w:val="17"/>
          <w:szCs w:val="17"/>
          <w:color w:val="auto"/>
        </w:rPr>
        <w:t>We expect to continue to incur significant and increasing operating losses at least for the next several years as we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55"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24"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our clinical development of our product candidates;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ind w:left="720" w:right="33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20" w:right="299" w:hanging="319"/>
        <w:spacing w:after="0" w:line="215"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develop a sales, marketing and distribution infrastructure and scale up external manufacturing capabilities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any product candidates for which we may obtain regulatory approval; and</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5"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2025 will not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In particular, we believe that our cash, cash equivalents and restricted cash of $37,320 as of September 30, 2025 plus the additional capital raised subsequent to September 30, 2025 will allow us to fund our operations and meet our liquidity requirements into the first quarter of 2026, assuming we are able to comply with the covenants under our Credit Agreement. 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To date, we have continued research and development activities while managing our cash position. However,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2" w:lineRule="exact"/>
        <w:rPr>
          <w:sz w:val="20"/>
          <w:szCs w:val="20"/>
          <w:color w:val="auto"/>
        </w:rPr>
      </w:pPr>
    </w:p>
    <w:p>
      <w:pPr>
        <w:jc w:val="both"/>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July 2024, the Company signed an amendment to its commercial supply agreement that requires minimum annual payments for the first five years of the agreement ending in 2026 that in aggregate total $10,000. The Company has met the minimum requirements for the first 3 years ending in 2024. The remaining minimum commitments for years 4 and 5 (2025 and 2026) is $2,000 each year.</w:t>
      </w:r>
    </w:p>
    <w:p>
      <w:pPr>
        <w:spacing w:after="0" w:line="13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39"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$163 of payments remaining under the HQ Lease. For additional details, see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 the Notes to Condensed Consolidated Financial Statements included in this Quarterly Report on Form 10-Q for additional information relating to the Company’s leases.</w:t>
      </w:r>
    </w:p>
    <w:p>
      <w:pPr>
        <w:spacing w:after="0" w:line="14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For additional details,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the Notes to Condensed Consolidated Financial Statements included in this Quarterly Report on Form 10-Q for additional information relating to the Company’s debt payment obligations.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2024. We have reviewed and determined that those critical accounting policies and estimates remain our critical accounting policies and estimates as of and for the nine months ended September 30, 2025. No material changes were made to our existing critical accounting policies and estimates during the period presented.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elsewhere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our unaudited condensed consolidated financial statements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 for information regarding material legal proceedings.</w:t>
      </w:r>
    </w:p>
    <w:p>
      <w:pPr>
        <w:spacing w:after="0" w:line="13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the Company’s technology platform—and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as well as general economic and business risks and the other information in this Quarterly Report on Form 10-Q and our Annual Report on Form 10-K for the fiscal year ended December 31, 2024.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9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1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419" w:firstLine="324"/>
        <w:spacing w:after="0" w:line="230"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focused primarily on research and development while continuing to support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activities. We may encounter unforeseen expenses, difficulties, complications and delays, and may not be successful in such a transition.</w:t>
      </w:r>
    </w:p>
    <w:p>
      <w:pPr>
        <w:spacing w:after="0" w:line="167"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18" w:lineRule="exact"/>
        <w:rPr>
          <w:sz w:val="20"/>
          <w:szCs w:val="20"/>
          <w:color w:val="auto"/>
        </w:rPr>
      </w:pPr>
    </w:p>
    <w:p>
      <w:pPr>
        <w:ind w:left="60" w:right="139" w:firstLine="324"/>
        <w:spacing w:after="0" w:line="23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$57.4 million and $48.7 million for the nine months ended September 30, 2025 and 2024, respectively. As of September 30, 2025, we had a stockholders’ deficit of approximately $88.9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As a result, we are uncertain when or if we will achieve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profitability and, if so, whether we will be able to sustain it. The net losses we incur may fluctuate significantly from quarter to quarter and year to year. We anticipate that our expenses may increase in the long term as we:</w:t>
      </w:r>
    </w:p>
    <w:p>
      <w:pPr>
        <w:spacing w:after="0" w:line="135"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9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13" w:lineRule="exact"/>
        <w:rPr>
          <w:rFonts w:ascii="Times New Roman" w:cs="Times New Roman" w:eastAsia="Times New Roman" w:hAnsi="Times New Roman"/>
          <w:sz w:val="18"/>
          <w:szCs w:val="18"/>
          <w:color w:val="auto"/>
        </w:rPr>
      </w:pPr>
    </w:p>
    <w:p>
      <w:pPr>
        <w:ind w:left="720" w:right="499" w:hanging="319"/>
        <w:spacing w:after="0" w:line="217"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85"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52"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Although we have obtained U.S.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 w:cs="Times New Roman" w:eastAsia="Times New Roman" w:hAnsi="Times New Roman"/>
          <w:sz w:val="18"/>
          <w:szCs w:val="18"/>
          <w:i w:val="1"/>
          <w:iCs w:val="1"/>
          <w:color w:val="auto"/>
        </w:rPr>
        <w:t>Developments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2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31"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minimum liquidity covenant in our Credit Agreement (as defined herein) increased on September 30, 2025.</w:t>
      </w:r>
    </w:p>
    <w:p>
      <w:pPr>
        <w:spacing w:after="0" w:line="15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54" w:lineRule="exact"/>
        <w:rPr>
          <w:sz w:val="20"/>
          <w:szCs w:val="20"/>
          <w:color w:val="auto"/>
        </w:rPr>
      </w:pPr>
    </w:p>
    <w:p>
      <w:pPr>
        <w:ind w:left="60" w:right="139" w:firstLine="324"/>
        <w:spacing w:after="0" w:line="260" w:lineRule="auto"/>
        <w:rPr>
          <w:sz w:val="20"/>
          <w:szCs w:val="20"/>
          <w:color w:val="auto"/>
        </w:rPr>
      </w:pPr>
      <w:r>
        <w:rPr>
          <w:rFonts w:ascii="Times New Roman" w:cs="Times New Roman" w:eastAsia="Times New Roman" w:hAnsi="Times New Roman"/>
          <w:sz w:val="17"/>
          <w:szCs w:val="17"/>
          <w:color w:val="auto"/>
        </w:rPr>
        <w:t>We have been and may continue to be required to expend significant funds to continue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spacing w:after="0" w:line="151" w:lineRule="exact"/>
        <w:rPr>
          <w:sz w:val="20"/>
          <w:szCs w:val="20"/>
          <w:color w:val="auto"/>
        </w:rPr>
      </w:pPr>
    </w:p>
    <w:p>
      <w:pPr>
        <w:jc w:val="both"/>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Management believes that the Company’s cash, cash equivalents and restricted cash of $37.3 million as of September 30, 2025, plus the $4.9 million of gross proceeds from sales pursuant to the Company ATM Program after September 30, 2025, will allow the Company to fund its operations and meet its liquidity requirements into the first quarter of 2026.</w:t>
      </w:r>
    </w:p>
    <w:p>
      <w:pPr>
        <w:spacing w:after="0" w:line="2"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color w:val="auto"/>
        </w:rPr>
        <w:t>There can be no assurance that we will be able to extend our cash runway, despite meeting the conditions for additional funding under the terms of our Credit Agreement (defined above). The Fifth Amendment to our Credit Agreement included a new capital raising covenant requiring, among other things, that the Company receive on or prior to the earlier of (x) August 15, 2025 and (y) the date that is 30 days after the final data readout of the SERENITY At-Home Phase 3 trial, an aggregate of at least $29.0 million in net cash proceeds (“Raise 3”) (including net proceeds raised in the interim). The Company has raised sufficient net proceeds to date to satisfy this requirement.</w:t>
      </w:r>
    </w:p>
    <w:p>
      <w:pPr>
        <w:spacing w:after="0" w:line="14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 million (instead of $25.0 million) from and after the closing of Raise 1 until March 30, 2025. On March 31, 2025, the minimum liquidity increased to $10.0 million, and on September 30, 2025, the minimum liquidity amount further increased to $15.0 million. On March 4, 2025, the Company entered into the Sixth Amendment to our Credit Agreement, pursuant to which the Lenders agreed to, among other things, delay the date on which we are required to engage an investment banker, which date was subsequently extended to July 31, 2025. The Company retained an investment banker prior to such deadline in satisfaction of this requirement. Additionally, pursuant to the Fifth Amendment, the Company is required to make quarterly amortization payments equal to 5.0% of the principal amount of funded loans, together with applicable prepayment fees, beginning on March 31, 2026.</w:t>
      </w:r>
    </w:p>
    <w:p>
      <w:pPr>
        <w:spacing w:after="0" w:line="16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43" w:lineRule="exact"/>
        <w:rPr>
          <w:sz w:val="20"/>
          <w:szCs w:val="20"/>
          <w:color w:val="auto"/>
        </w:rPr>
      </w:pPr>
    </w:p>
    <w:p>
      <w:pPr>
        <w:ind w:left="720" w:right="4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0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76"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98"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spacing w:after="0" w:line="143"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we had aggregate principal indebtedness of $112.2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certain minimum cash liquidity amounts. In addition, certain events, including certain regulatory events and any “going concern” or similar qualification in a report of the Company’s independent registered public accountants relating to the Company’s annual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(except for the years ended December 31, 2024 and 2023, respectively), constitute an event of default under the Credit Agreement. The Credit Agreement also includes other covenants relating to certain change of control events can also trigger an event of default under the Credit Agreement, including control by any entity or group of entities, other than BioXcel LLC and its affiliates, that acquires 35% or more of our voting capital stock.</w:t>
      </w:r>
    </w:p>
    <w:p>
      <w:pPr>
        <w:spacing w:after="0" w:line="180" w:lineRule="exact"/>
        <w:rPr>
          <w:sz w:val="20"/>
          <w:szCs w:val="20"/>
          <w:color w:val="auto"/>
        </w:rPr>
      </w:pPr>
    </w:p>
    <w:p>
      <w:pPr>
        <w:ind w:left="60" w:right="319" w:firstLine="324"/>
        <w:spacing w:after="0" w:line="241" w:lineRule="auto"/>
        <w:rPr>
          <w:sz w:val="20"/>
          <w:szCs w:val="20"/>
          <w:color w:val="auto"/>
        </w:rPr>
      </w:pPr>
      <w:r>
        <w:rPr>
          <w:rFonts w:ascii="Times New Roman" w:cs="Times New Roman" w:eastAsia="Times New Roman" w:hAnsi="Times New Roman"/>
          <w:sz w:val="18"/>
          <w:szCs w:val="18"/>
          <w:color w:val="auto"/>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9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88"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32"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September 30, 2025, we had $37.3 million in cash, cash equivalents and restricted cash.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Quarterly Report on Form 10-Q. This condition raises substantial doubt about our ability to continue as a going concern for at least one year from the date that our financial statements for the nine months ended September 30, 2025 are issued. In order to mitigate liquidity issues, we have undertaken the Reprioritization and other restructuring actions,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Moreover, our Credit Agreement contains covenants that we may be unable to comply with and which could result in the acceleration of our debt service obligations, further reducing our capital resources and ability to fund our operations. As such, there can be no assurance that we will be able to continue as a going concern and we may be forced to delay, reduce or discontinue our product development programs or commercialization efforts in order to preserve cash.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“We will need substantial additional funding, and if we are unable to raise capital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needed, we could be forced to delay, reduce or eliminate our product development programs or commercialization efforts or otherwise seek strategic alternatives.”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reprioritization and other workforce reductions may not achieve our intended outcome.</w:t>
      </w:r>
    </w:p>
    <w:p>
      <w:pPr>
        <w:spacing w:after="0" w:line="229"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In August 2023, we announced a broad-based strategic reprioritization (the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prioritization on at-home treatment setting opportunities for BXCL501. As part of this strategy, we reduced our workforce in 2023 by approximately 60%.</w:t>
      </w:r>
    </w:p>
    <w:p>
      <w:pPr>
        <w:spacing w:after="0" w:line="16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May and September 2024, we initiated further workforce reductions,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 We completed these additional restructuring actions to further reduce the workforce by 50%, ending the year ended December 31, 2024 with 37 full-time employees.</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92" w:lineRule="exact"/>
        <w:rPr>
          <w:sz w:val="20"/>
          <w:szCs w:val="20"/>
          <w:color w:val="auto"/>
        </w:rPr>
      </w:pPr>
    </w:p>
    <w:p>
      <w:pPr>
        <w:ind w:left="60" w:right="139" w:firstLine="324"/>
        <w:spacing w:after="0" w:line="224" w:lineRule="auto"/>
        <w:rPr>
          <w:sz w:val="20"/>
          <w:szCs w:val="20"/>
          <w:color w:val="auto"/>
        </w:rPr>
      </w:pPr>
      <w:r>
        <w:rPr>
          <w:rFonts w:ascii="Times New Roman" w:cs="Times New Roman" w:eastAsia="Times New Roman" w:hAnsi="Times New Roman"/>
          <w:sz w:val="18"/>
          <w:szCs w:val="18"/>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because our commercial force will be significantly reduced.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18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adversely affect our prospects for marketing approval of, and receiving any future revenue from, these product candidates.</w:t>
      </w:r>
    </w:p>
    <w:p>
      <w:pPr>
        <w:spacing w:after="0" w:line="19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concluded that the inspection of a single site in its TRANQUILITY II Phase 3 trial is closed under 21 C.F.R.20.64(d)(3) and released the Establishment Inspection Report. The FDA has designated “Voluntary Action Indicated” for the site.</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pacing w:after="0" w:line="161"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39" w:lineRule="exact"/>
        <w:rPr>
          <w:sz w:val="20"/>
          <w:szCs w:val="20"/>
          <w:color w:val="auto"/>
        </w:rPr>
      </w:pPr>
    </w:p>
    <w:p>
      <w:pPr>
        <w:ind w:left="60" w:right="159" w:firstLine="324"/>
        <w:spacing w:after="0" w:line="246" w:lineRule="auto"/>
        <w:rPr>
          <w:sz w:val="20"/>
          <w:szCs w:val="20"/>
          <w:color w:val="auto"/>
        </w:rPr>
      </w:pPr>
      <w:r>
        <w:rPr>
          <w:rFonts w:ascii="Times New Roman" w:cs="Times New Roman" w:eastAsia="Times New Roman" w:hAnsi="Times New Roman"/>
          <w:sz w:val="18"/>
          <w:szCs w:val="18"/>
          <w:color w:val="auto"/>
        </w:rPr>
        <w:t>The primary efficacy endpoint in TRANQUILITY II was the change in PEC score, which is a measurement of agitation severity captured by trained raters during an agitation episode. While change in PEC score has been used to support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in adults, it has not been used as a primary endpoint to support the approval of a drug candidate for the 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reliability in the measurement of PEC scores and/or may require that we generate additional data to support the reliability of PEC score measurements in our TRANQUILITY II trial. There can be no assurances that any information or data we provide to FDA will sufficiently demonstrate the consistency and reliability of the PEC-score data from our TRANQUILITY II trial, or that our PEC-score data will not represent a potential review issue in connection with any application we may submit to FDA.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70"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 in the acute treatment of agitation in patients with dementia due to probable Alzheimer’s disease and patients with schizophrenia and bipolar patients.</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the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and we have conducted the SERENITY At-Home Phase 3 trial evaluating the safety of BXCL501 for the acute treatment of agitation associated with bipolar disorders or schizophrenia in the at-home setting, we have not conducted a clinical trial evaluating the at-home use of BXCL501 in the acute treatment of agitation in patients with dementia due to probable Alzheimer’s disease.</w:t>
      </w:r>
    </w:p>
    <w:p>
      <w:pPr>
        <w:spacing w:after="0" w:line="151"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Although we intend to seek additional feedback from the FDA regarding the potential of our ongoing or completed clinical trials to support submission of one or more sNDAs and to support a label for use in the home setting for in patients with dementia due to probable Alzheimer’s disease, it is possible that the FDA may not consider our available data adequate to support such submissions. Similarly, we intend to submit an sNDA for label expansion of IGALMI® for the acute treatment of agitation associated with schizophrenia and bipolar disorders in the at-home setting early in the first quarter of 2026. Although we announced on August 18, 2025 that we had received positive pre-sNDA meeting responses from the FDA and believe that the planned sNDA regulatory package will be sufficient to support the sNDA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submission, there are no assurance that the FDA will accept the sumbussion and it is possible that the FDA may not consider our available data adequate to support the submission.</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example, on October 11, 2023, we received feedback from the FDA that TRANQUILITY I and TRANQUILITY</w:t>
      </w:r>
    </w:p>
    <w:p>
      <w:pPr>
        <w:spacing w:after="0" w:line="27" w:lineRule="exact"/>
        <w:rPr>
          <w:sz w:val="20"/>
          <w:szCs w:val="20"/>
          <w:color w:val="auto"/>
        </w:rPr>
      </w:pPr>
    </w:p>
    <w:p>
      <w:pPr>
        <w:ind w:left="60" w:right="219" w:hanging="10"/>
        <w:spacing w:after="0" w:line="253" w:lineRule="auto"/>
        <w:tabs>
          <w:tab w:leader="none" w:pos="2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spacing w:after="0" w:line="148"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seek or obtain approval of BXCL501 for treatment of agitation in patients with dementia due to probable Alzheimer’s disease in the at-home setting based on this updated development plan.</w:t>
      </w:r>
    </w:p>
    <w:p>
      <w:pPr>
        <w:spacing w:after="0" w:line="147"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but even if our planned clinical efforts are successful and even if we are able to obtain approval of BXCL501 for use in patients with dementia due to probable Alzheimer's disease, we cannot provide assurance that we will be able to seek or obtain approval of BXCL501 for the treatment of agitation in patients with dementia due to probable Alzheimer’s disease in the at-home setting based on this data and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w:t>
      </w:r>
      <w:r>
        <w:rPr>
          <w:rFonts w:ascii="Times New Roman" w:cs="Times New Roman" w:eastAsia="Times New Roman" w:hAnsi="Times New Roman"/>
          <w:sz w:val="18"/>
          <w:szCs w:val="18"/>
          <w:i w:val="1"/>
          <w:iCs w:val="1"/>
          <w:color w:val="auto"/>
        </w:rPr>
        <w:t>Developments relating to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 accept the data from our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TRANQUILITY II 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spacing w:after="0" w:line="17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39" w:lineRule="exact"/>
        <w:rPr>
          <w:sz w:val="20"/>
          <w:szCs w:val="20"/>
          <w:color w:val="auto"/>
        </w:rPr>
      </w:pPr>
    </w:p>
    <w:p>
      <w:pPr>
        <w:ind w:left="60" w:right="159" w:firstLine="324"/>
        <w:spacing w:after="0" w:line="225"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currently</w:t>
      </w:r>
    </w:p>
    <w:p>
      <w:pPr>
        <w:sectPr>
          <w:pgSz w:w="11900" w:h="16838" w:orient="portrait"/>
          <w:cols w:equalWidth="0" w:num="1">
            <w:col w:w="9019"/>
          </w:cols>
          <w:pgMar w:left="1440" w:top="513" w:right="1440" w:bottom="1440" w:gutter="0" w:footer="0" w:header="0"/>
        </w:sect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3" w:lineRule="auto"/>
        <w:rPr>
          <w:sz w:val="20"/>
          <w:szCs w:val="20"/>
          <w:color w:val="auto"/>
        </w:rPr>
      </w:pPr>
      <w:r>
        <w:rPr>
          <w:rFonts w:ascii="Times New Roman" w:cs="Times New Roman" w:eastAsia="Times New Roman" w:hAnsi="Times New Roman"/>
          <w:sz w:val="18"/>
          <w:szCs w:val="18"/>
          <w:color w:val="auto"/>
        </w:rPr>
        <w:t>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to allow at-home use and labeling without the current LOU. Based on current FDA feedback, we amended the Part 2 of the SERENITY III protocol to evaluate the safety and efficacy of the 120 mg dose in the at-home setting, and now refer to this revised trial as the SERENITY At-Home trial. On August 27, 2025, we announced that the SERENITY At-Home trial evaluating the safety of BXCL501, met its primary endpoint. Additionally, on October 14, 2025, we announced positive results from the correlation study related to exploratory efficacy outcomes from the SERENITY At-Home trial. The results from the correlation study along with that data from this successful study is expected to form the basis of the supplemental New Drug Application (sNDA) submission for label expansion of IGALMI® in the at-home setting planned for early in the first quarter of 2026.</w:t>
      </w:r>
    </w:p>
    <w:p>
      <w:pPr>
        <w:spacing w:after="0" w:line="173" w:lineRule="exact"/>
        <w:rPr>
          <w:sz w:val="20"/>
          <w:szCs w:val="20"/>
          <w:color w:val="auto"/>
        </w:rPr>
      </w:pPr>
    </w:p>
    <w:p>
      <w:pPr>
        <w:ind w:left="60" w:right="199" w:firstLine="324"/>
        <w:spacing w:after="0" w:line="265" w:lineRule="auto"/>
        <w:rPr>
          <w:sz w:val="20"/>
          <w:szCs w:val="20"/>
          <w:color w:val="auto"/>
        </w:rPr>
      </w:pPr>
      <w:r>
        <w:rPr>
          <w:rFonts w:ascii="Times New Roman" w:cs="Times New Roman" w:eastAsia="Times New Roman" w:hAnsi="Times New Roman"/>
          <w:sz w:val="18"/>
          <w:szCs w:val="18"/>
          <w:color w:val="auto"/>
        </w:rPr>
        <w:t>While we believe that the data from the SERENITY At-home trial supports our planned submission and that we have observed a sufficient number of agitation episodes during the study period to seek labeling without the current LOU and for approval in the at-home setting, there is no guarantee that the FDA will approve our submission and agree to expand of the current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to allow at-home use and labeling without the current LOU.</w:t>
      </w:r>
    </w:p>
    <w:p>
      <w:pPr>
        <w:spacing w:after="0" w:line="24"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planned sNDAs seeking approvals for BXCL501 for our targeted patient populations in at-home settings would increase our costs, and in either case, such modifications or requirements could have a material adverse effect on our prospects and results of operations.</w:t>
      </w:r>
    </w:p>
    <w:p>
      <w:pPr>
        <w:spacing w:after="0" w:line="135" w:lineRule="exact"/>
        <w:rPr>
          <w:sz w:val="20"/>
          <w:szCs w:val="20"/>
          <w:color w:val="auto"/>
        </w:rPr>
      </w:pPr>
    </w:p>
    <w:p>
      <w:pPr>
        <w:ind w:left="60" w:right="13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74" w:lineRule="exact"/>
        <w:rPr>
          <w:sz w:val="20"/>
          <w:szCs w:val="20"/>
          <w:color w:val="auto"/>
        </w:rPr>
      </w:pPr>
    </w:p>
    <w:p>
      <w:pPr>
        <w:ind w:left="60" w:right="199" w:firstLine="324"/>
        <w:spacing w:after="0" w:line="221" w:lineRule="auto"/>
        <w:rPr>
          <w:sz w:val="20"/>
          <w:szCs w:val="20"/>
          <w:color w:val="auto"/>
        </w:rPr>
      </w:pPr>
      <w:r>
        <w:rPr>
          <w:rFonts w:ascii="Times New Roman" w:cs="Times New Roman" w:eastAsia="Times New Roman" w:hAnsi="Times New Roman"/>
          <w:sz w:val="18"/>
          <w:szCs w:val="18"/>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development of our four product candidates, BXCL501, BXCL502, BXCL701 and BXCL702, as well as other product candidates. In connection with the Reprioritization, we have significantly reduced the resources devoted to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As part of the Company’s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spacing w:after="0" w:line="159" w:lineRule="exact"/>
        <w:rPr>
          <w:sz w:val="20"/>
          <w:szCs w:val="20"/>
          <w:color w:val="auto"/>
        </w:rPr>
      </w:pPr>
    </w:p>
    <w:p>
      <w:pPr>
        <w:ind w:left="60" w:right="2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58" w:lineRule="exact"/>
        <w:rPr>
          <w:sz w:val="20"/>
          <w:szCs w:val="20"/>
          <w:color w:val="auto"/>
        </w:rPr>
      </w:pPr>
    </w:p>
    <w:p>
      <w:pPr>
        <w:ind w:left="720" w:right="31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48"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spacing w:after="0" w:line="282" w:lineRule="auto"/>
        <w:rPr>
          <w:sz w:val="20"/>
          <w:szCs w:val="20"/>
          <w:color w:val="auto"/>
        </w:rPr>
      </w:pPr>
      <w:r>
        <w:rPr>
          <w:rFonts w:ascii="Times New Roman" w:cs="Times New Roman" w:eastAsia="Times New Roman" w:hAnsi="Times New Roman"/>
          <w:sz w:val="18"/>
          <w:szCs w:val="18"/>
          <w:color w:val="auto"/>
        </w:rPr>
        <w:t>any additional trials we may need to conduct prior to seeking approvals for BXCL501 in at-home and/or care facilities;</w:t>
      </w:r>
    </w:p>
    <w:p>
      <w:pPr>
        <w:spacing w:after="0" w:line="135" w:lineRule="exact"/>
        <w:rPr>
          <w:sz w:val="20"/>
          <w:szCs w:val="20"/>
          <w:color w:val="auto"/>
        </w:rPr>
      </w:pPr>
    </w:p>
    <w:p>
      <w:pPr>
        <w:ind w:left="720" w:right="1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84" w:lineRule="exact"/>
        <w:rPr>
          <w:rFonts w:ascii="Times New Roman" w:cs="Times New Roman" w:eastAsia="Times New Roman" w:hAnsi="Times New Roman"/>
          <w:sz w:val="18"/>
          <w:szCs w:val="18"/>
          <w:color w:val="auto"/>
        </w:rPr>
      </w:pPr>
    </w:p>
    <w:p>
      <w:pPr>
        <w:ind w:left="720" w:right="10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34"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98"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5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6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4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4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1"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5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21" w:lineRule="exact"/>
        <w:rPr>
          <w:sz w:val="20"/>
          <w:szCs w:val="20"/>
          <w:color w:val="auto"/>
        </w:rPr>
      </w:pPr>
    </w:p>
    <w:p>
      <w:pPr>
        <w:ind w:left="720" w:right="3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4"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2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3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21"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47"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60" w:lineRule="exact"/>
        <w:rPr>
          <w:sz w:val="20"/>
          <w:szCs w:val="20"/>
          <w:color w:val="auto"/>
        </w:rPr>
      </w:pPr>
    </w:p>
    <w:p>
      <w:pPr>
        <w:ind w:left="60" w:right="219" w:firstLine="324"/>
        <w:spacing w:after="0" w:line="236"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while we plan to submit a sNDA in the first quarter of 2026 for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 based on the data from the successful SERENITY At-Home trial, we cannot be certain that our submission will be approved, or that our other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such other product candidates, if approved.</w:t>
      </w:r>
    </w:p>
    <w:p>
      <w:pPr>
        <w:spacing w:after="0" w:line="5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4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Trials Directive will continue to apply on a transitional basis for three years. The CTR transition period ended on January 31, 2025, and all clinical trials (and related applications) are now fully subject to the provisions of the CTR.</w:t>
      </w:r>
    </w:p>
    <w:p>
      <w:pPr>
        <w:spacing w:after="0" w:line="135"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1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difficult to conduct, and involve an uncertain outcome.</w:t>
      </w:r>
    </w:p>
    <w:p>
      <w:pPr>
        <w:spacing w:after="0" w:line="118" w:lineRule="exact"/>
        <w:rPr>
          <w:sz w:val="20"/>
          <w:szCs w:val="20"/>
          <w:color w:val="auto"/>
        </w:rPr>
      </w:pPr>
    </w:p>
    <w:p>
      <w:pPr>
        <w:ind w:left="60" w:right="139" w:firstLine="324"/>
        <w:spacing w:after="0" w:line="241"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Although we have completed the SERENITY At-Home trial evaluating the safety of BXCL501and are planning to submit a sNDAin the first quarter of 2026 for label expansion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at-home setting based on the data from the successful SERENITY At-Home trial and are planning for certain clinical trials relating to BXCL501, BXCL701, BXCL502 and our other product candidates, there can be no assurance that the FDA, or other comparable foreign regulatory authorities, will accept our proposed trial designs as sufficient to establish the safety and/or efficacy of our product candidates.</w:t>
      </w:r>
    </w:p>
    <w:p>
      <w:pPr>
        <w:spacing w:after="0" w:line="17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35" w:lineRule="exact"/>
        <w:rPr>
          <w:sz w:val="20"/>
          <w:szCs w:val="20"/>
          <w:color w:val="auto"/>
        </w:rPr>
      </w:pPr>
    </w:p>
    <w:p>
      <w:pPr>
        <w:ind w:left="720" w:right="4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3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initiate or continue clinical trials;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48"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8"/>
          <w:szCs w:val="18"/>
          <w:i w:val="1"/>
          <w:iCs w:val="1"/>
          <w:color w:val="auto"/>
        </w:rPr>
        <w:t>Developments relating to our TRANQUILITY II Phase 3 trial may impact the timing of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60"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49"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and evaluation of patients in our clinical trials to continue development of our product candidates. If we are unable to enroll patients in our clinical trials, our research and development efforts could be adversely affected.</w:t>
      </w:r>
    </w:p>
    <w:p>
      <w:pPr>
        <w:spacing w:after="0" w:line="13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and evaluate a sufficient number of patients who remain in the study until its conclusion. We may experience difficulties in patient enrollment or evaluation in our clinical trials for a variety of reasons. Patient enrollment and evaluation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evaluation or completion, the frequency of acute agitation symptoms in enrolled patients, the opportunity for evaluation of patients enrolled in our trials,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47"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4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4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Inadequate training in recognizing or managing the potential side effects of our product candidates could result in patient injury or death. Any of these occurrences may harm our business, financial condition and prospects significantly.</w:t>
      </w:r>
    </w:p>
    <w:p>
      <w:pPr>
        <w:spacing w:after="0" w:line="127" w:lineRule="exact"/>
        <w:rPr>
          <w:sz w:val="20"/>
          <w:szCs w:val="20"/>
          <w:color w:val="auto"/>
        </w:rPr>
      </w:pPr>
    </w:p>
    <w:p>
      <w:pPr>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160"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98"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21"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21" w:lineRule="exact"/>
        <w:rPr>
          <w:rFonts w:ascii="Times New Roman" w:cs="Times New Roman" w:eastAsia="Times New Roman" w:hAnsi="Times New Roman"/>
          <w:sz w:val="18"/>
          <w:szCs w:val="18"/>
          <w:color w:val="auto"/>
        </w:rPr>
      </w:pPr>
    </w:p>
    <w:p>
      <w:pPr>
        <w:jc w:val="both"/>
        <w:ind w:left="720" w:right="359" w:hanging="319"/>
        <w:spacing w:after="0" w:line="312" w:lineRule="auto"/>
        <w:tabs>
          <w:tab w:leader="none" w:pos="7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17"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34" w:lineRule="exact"/>
        <w:rPr>
          <w:sz w:val="20"/>
          <w:szCs w:val="20"/>
          <w:color w:val="auto"/>
        </w:rPr>
      </w:pPr>
    </w:p>
    <w:p>
      <w:pPr>
        <w:ind w:left="60" w:right="139" w:firstLine="324"/>
        <w:spacing w:after="0" w:line="245" w:lineRule="auto"/>
        <w:rPr>
          <w:sz w:val="20"/>
          <w:szCs w:val="20"/>
          <w:color w:val="auto"/>
        </w:rPr>
      </w:pPr>
      <w:r>
        <w:rPr>
          <w:rFonts w:ascii="Times New Roman" w:cs="Times New Roman" w:eastAsia="Times New Roman" w:hAnsi="Times New Roman"/>
          <w:sz w:val="18"/>
          <w:szCs w:val="18"/>
          <w:color w:val="auto"/>
        </w:rPr>
        <w:t>Our drug discovery and development efforts depend on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66"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1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6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w:t>
      </w:r>
    </w:p>
    <w:p>
      <w:pPr>
        <w:spacing w:after="0" w:line="13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50"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32" w:lineRule="exact"/>
        <w:rPr>
          <w:sz w:val="20"/>
          <w:szCs w:val="20"/>
          <w:color w:val="auto"/>
        </w:rPr>
      </w:pPr>
    </w:p>
    <w:p>
      <w:pPr>
        <w:ind w:left="60" w:right="21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conduct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24" w:lineRule="exact"/>
        <w:rPr>
          <w:sz w:val="20"/>
          <w:szCs w:val="20"/>
          <w:color w:val="auto"/>
        </w:rPr>
      </w:pPr>
    </w:p>
    <w:p>
      <w:pPr>
        <w:ind w:left="720" w:right="339" w:hanging="319"/>
        <w:spacing w:after="0" w:line="258"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42"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48"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Our future success in novel drug discovery and drug development projects depends on our ability to continue to develop and implement our proprietary AI algorithms and models, and to maintain the confidentiality of this technology. In addition to the current pause in further developing our AI platform,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spacing w:after="0" w:line="143"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4"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0"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51" w:lineRule="exact"/>
        <w:rPr>
          <w:sz w:val="20"/>
          <w:szCs w:val="20"/>
          <w:color w:val="auto"/>
        </w:rPr>
      </w:pPr>
    </w:p>
    <w:p>
      <w:pPr>
        <w:jc w:val="both"/>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149"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53"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51"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71" w:lineRule="auto"/>
        <w:rPr>
          <w:sz w:val="20"/>
          <w:szCs w:val="20"/>
          <w:color w:val="auto"/>
        </w:rPr>
      </w:pPr>
      <w:r>
        <w:rPr>
          <w:rFonts w:ascii="Times New Roman" w:cs="Times New Roman" w:eastAsia="Times New Roman" w:hAnsi="Times New Roman"/>
          <w:sz w:val="17"/>
          <w:szCs w:val="17"/>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4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5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37" w:lineRule="exact"/>
        <w:rPr>
          <w:sz w:val="20"/>
          <w:szCs w:val="20"/>
          <w:color w:val="auto"/>
        </w:rPr>
      </w:pPr>
    </w:p>
    <w:p>
      <w:pPr>
        <w:ind w:left="60" w:right="219"/>
        <w:spacing w:after="0" w:line="202"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150" w:lineRule="exact"/>
        <w:rPr>
          <w:sz w:val="20"/>
          <w:szCs w:val="20"/>
          <w:color w:val="auto"/>
        </w:rPr>
      </w:pPr>
    </w:p>
    <w:p>
      <w:pPr>
        <w:ind w:left="60" w:right="139" w:firstLine="324"/>
        <w:spacing w:after="0" w:line="231"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7" w:lineRule="exact"/>
        <w:rPr>
          <w:sz w:val="20"/>
          <w:szCs w:val="20"/>
          <w:color w:val="auto"/>
        </w:rPr>
      </w:pPr>
    </w:p>
    <w:p>
      <w:pPr>
        <w:ind w:left="60" w:right="519" w:firstLine="324"/>
        <w:spacing w:after="0" w:line="235" w:lineRule="auto"/>
        <w:rPr>
          <w:sz w:val="20"/>
          <w:szCs w:val="20"/>
          <w:color w:val="auto"/>
        </w:rPr>
      </w:pPr>
      <w:r>
        <w:rPr>
          <w:rFonts w:ascii="Times New Roman" w:cs="Times New Roman" w:eastAsia="Times New Roman" w:hAnsi="Times New Roman"/>
          <w:sz w:val="17"/>
          <w:szCs w:val="17"/>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are and will remain subject to extensive and ongoing regulatory requirements. These requirements include submissions of safety and other post-marketing information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55" w:lineRule="auto"/>
        <w:rPr>
          <w:sz w:val="20"/>
          <w:szCs w:val="20"/>
          <w:color w:val="auto"/>
        </w:rPr>
      </w:pPr>
      <w:r>
        <w:rPr>
          <w:rFonts w:ascii="Times New Roman" w:cs="Times New Roman" w:eastAsia="Times New Roman" w:hAnsi="Times New Roman"/>
          <w:sz w:val="18"/>
          <w:szCs w:val="18"/>
          <w:color w:val="auto"/>
        </w:rPr>
        <w:t>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62"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33"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59" w:lineRule="exact"/>
        <w:rPr>
          <w:sz w:val="20"/>
          <w:szCs w:val="20"/>
          <w:color w:val="auto"/>
        </w:rPr>
      </w:pPr>
    </w:p>
    <w:p>
      <w:pPr>
        <w:ind w:left="60" w:right="779" w:firstLine="324"/>
        <w:spacing w:after="0" w:line="312" w:lineRule="auto"/>
        <w:rPr>
          <w:sz w:val="20"/>
          <w:szCs w:val="20"/>
          <w:color w:val="auto"/>
        </w:rPr>
      </w:pPr>
      <w:r>
        <w:rPr>
          <w:rFonts w:ascii="Times New Roman" w:cs="Times New Roman" w:eastAsia="Times New Roman" w:hAnsi="Times New Roman"/>
          <w:sz w:val="17"/>
          <w:szCs w:val="17"/>
          <w:color w:val="auto"/>
        </w:rPr>
        <w:t>While physicians in the U.S. may choose, and are generally permitted, to prescribe drugs for uses that are not described in the product’s labeling and for uses that differ from those tested in clinical trials and approved by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54" w:lineRule="auto"/>
        <w:rPr>
          <w:sz w:val="20"/>
          <w:szCs w:val="20"/>
          <w:color w:val="auto"/>
        </w:rPr>
      </w:pPr>
      <w:r>
        <w:rPr>
          <w:rFonts w:ascii="Times New Roman" w:cs="Times New Roman" w:eastAsia="Times New Roman" w:hAnsi="Times New Roman"/>
          <w:sz w:val="17"/>
          <w:szCs w:val="17"/>
          <w:color w:val="auto"/>
        </w:rPr>
        <w:t>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have been approved for uses beyond those authorized in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these uses.</w:t>
      </w:r>
    </w:p>
    <w:p>
      <w:pPr>
        <w:spacing w:after="0" w:line="49"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59" w:lineRule="exact"/>
        <w:rPr>
          <w:sz w:val="20"/>
          <w:szCs w:val="20"/>
          <w:color w:val="auto"/>
        </w:rPr>
      </w:pPr>
    </w:p>
    <w:p>
      <w:pPr>
        <w:jc w:val="both"/>
        <w:ind w:left="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staffing reductions could prevent new or modified products from being developed, approved or commercialized in a timely manner or at all, which could negatively impact our business.</w:t>
      </w:r>
    </w:p>
    <w:p>
      <w:pPr>
        <w:spacing w:after="0" w:line="13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w:t>
      </w:r>
    </w:p>
    <w:p>
      <w:pPr>
        <w:spacing w:after="0" w:line="16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April 2025, the Trump administration conducted unprecedented layoffs at several U.S. health agencies, including the FDA, the Department of Health and Human Services, the Centers for Disease Control and Prevention and the National Institutes of Health, which is expected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 For example, in the fourth quarter of 2025, the U.S. government was on shutdown for a meaningful period of time and has previously shut down several times, and certain regulatory agencies, such as the FDA, had to furlough critical employees and stop critical activities.</w:t>
      </w:r>
    </w:p>
    <w:p>
      <w:pPr>
        <w:spacing w:after="0" w:line="15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To the extent the FDA’s normal operations are disrupted or delayed for a prolonged period of time, for example due to government shutdowns, travel restrictions, public health or geopolitical issues, staffing shortages, layoffs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4"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48"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5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4" w:lineRule="auto"/>
        <w:rPr>
          <w:sz w:val="20"/>
          <w:szCs w:val="20"/>
          <w:color w:val="auto"/>
        </w:rPr>
      </w:pPr>
      <w:r>
        <w:rPr>
          <w:rFonts w:ascii="Times New Roman" w:cs="Times New Roman" w:eastAsia="Times New Roman" w:hAnsi="Times New Roman"/>
          <w:sz w:val="17"/>
          <w:szCs w:val="17"/>
          <w:color w:val="auto"/>
        </w:rPr>
        <w:t>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pacing w:after="0" w:line="14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52"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53" w:lineRule="exact"/>
        <w:rPr>
          <w:sz w:val="20"/>
          <w:szCs w:val="20"/>
          <w:color w:val="auto"/>
        </w:rPr>
      </w:pPr>
    </w:p>
    <w:p>
      <w:pPr>
        <w:ind w:left="720" w:right="219" w:hanging="319"/>
        <w:spacing w:after="0" w:line="25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46" w:lineRule="exact"/>
        <w:rPr>
          <w:rFonts w:ascii="Times New Roman" w:cs="Times New Roman" w:eastAsia="Times New Roman" w:hAnsi="Times New Roman"/>
          <w:sz w:val="18"/>
          <w:szCs w:val="18"/>
          <w:color w:val="auto"/>
        </w:rPr>
      </w:pPr>
    </w:p>
    <w:p>
      <w:pPr>
        <w:ind w:left="720" w:right="159" w:hanging="319"/>
        <w:spacing w:after="0" w:line="254"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47"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spacing w:after="0" w:line="282" w:lineRule="auto"/>
        <w:rPr>
          <w:sz w:val="20"/>
          <w:szCs w:val="20"/>
          <w:color w:val="auto"/>
        </w:rPr>
      </w:pPr>
      <w:r>
        <w:rPr>
          <w:rFonts w:ascii="Times New Roman" w:cs="Times New Roman" w:eastAsia="Times New Roman" w:hAnsi="Times New Roman"/>
          <w:sz w:val="18"/>
          <w:szCs w:val="18"/>
          <w:color w:val="auto"/>
        </w:rPr>
        <w:t>benefits, items or services. Similar to the federal Anti- Kickback Statute, a person or entity does not need to have actual knowledge of these statutes or specific intent to violate them to have committed a violation;</w:t>
      </w:r>
    </w:p>
    <w:p>
      <w:pPr>
        <w:spacing w:after="0" w:line="135" w:lineRule="exact"/>
        <w:rPr>
          <w:sz w:val="20"/>
          <w:szCs w:val="20"/>
          <w:color w:val="auto"/>
        </w:rPr>
      </w:pPr>
    </w:p>
    <w:p>
      <w:pPr>
        <w:ind w:left="720" w:right="15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39"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61"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2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189" w:lineRule="exact"/>
        <w:rPr>
          <w:sz w:val="20"/>
          <w:szCs w:val="20"/>
          <w:color w:val="auto"/>
        </w:rPr>
      </w:pPr>
    </w:p>
    <w:p>
      <w:pPr>
        <w:ind w:left="60" w:right="159" w:firstLine="324"/>
        <w:spacing w:after="0" w:line="243"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21"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pacing w:after="0" w:line="198"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Reprioritization.</w:t>
      </w:r>
    </w:p>
    <w:p>
      <w:pPr>
        <w:spacing w:after="0" w:line="135"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27" w:lineRule="exact"/>
        <w:rPr>
          <w:sz w:val="20"/>
          <w:szCs w:val="20"/>
          <w:color w:val="auto"/>
        </w:rPr>
      </w:pPr>
    </w:p>
    <w:p>
      <w:pPr>
        <w:ind w:left="60" w:right="179" w:firstLine="324"/>
        <w:spacing w:after="0" w:line="228" w:lineRule="auto"/>
        <w:rPr>
          <w:sz w:val="20"/>
          <w:szCs w:val="20"/>
          <w:color w:val="auto"/>
        </w:rPr>
      </w:pPr>
      <w:r>
        <w:rPr>
          <w:rFonts w:ascii="Times New Roman" w:cs="Times New Roman" w:eastAsia="Times New Roman" w:hAnsi="Times New Roman"/>
          <w:sz w:val="17"/>
          <w:szCs w:val="17"/>
          <w:color w:val="auto"/>
        </w:rPr>
        <w:t>We plan to continue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Reprioritization, we significantly reduced the resources devoted to commercialization of IGALMI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it is possible that will have adverse consequences on the revenue that we are able to generate from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Revenues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the three and nine months ended September 30, 2025 were $0.1 million and $0.4 million, respecitvely.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any currently or additionally approved indications or any future product candidates that we may have approved.</w:t>
      </w:r>
    </w:p>
    <w:p>
      <w:pPr>
        <w:spacing w:after="0" w:line="167" w:lineRule="exact"/>
        <w:rPr>
          <w:sz w:val="20"/>
          <w:szCs w:val="20"/>
          <w:color w:val="auto"/>
        </w:rPr>
      </w:pPr>
    </w:p>
    <w:p>
      <w:pPr>
        <w:ind w:left="60" w:right="139" w:firstLine="324"/>
        <w:spacing w:after="0" w:line="215"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ability to accurately forecast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could be negatively affected by many factors, including our failure to accurately manage our expansion strategy, product introductions by competitors, an increase or decrease in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results of operations.</w:t>
      </w:r>
    </w:p>
    <w:p>
      <w:pPr>
        <w:spacing w:after="0" w:line="184"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adverse effect on our earnings and cash flows due to the resulting costs associated with the inventory impairment charges and costs required to replace such inventory.</w:t>
      </w:r>
    </w:p>
    <w:p>
      <w:pPr>
        <w:spacing w:after="0" w:line="198" w:lineRule="exact"/>
        <w:rPr>
          <w:sz w:val="20"/>
          <w:szCs w:val="20"/>
          <w:color w:val="auto"/>
        </w:rPr>
      </w:pPr>
    </w:p>
    <w:p>
      <w:pPr>
        <w:jc w:val="both"/>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6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4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45"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18"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18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6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39"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4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37" w:lineRule="exact"/>
        <w:rPr>
          <w:sz w:val="20"/>
          <w:szCs w:val="20"/>
          <w:color w:val="auto"/>
        </w:rPr>
      </w:pPr>
    </w:p>
    <w:p>
      <w:pPr>
        <w:ind w:left="60" w:right="599"/>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our products and product candidates may not be accepted by physicians or the medical community in general, and there may be insufficient insurance coverage and reimbursement.</w:t>
      </w:r>
    </w:p>
    <w:p>
      <w:pPr>
        <w:spacing w:after="0" w:line="150" w:lineRule="exact"/>
        <w:rPr>
          <w:sz w:val="20"/>
          <w:szCs w:val="20"/>
          <w:color w:val="auto"/>
        </w:rPr>
      </w:pPr>
    </w:p>
    <w:p>
      <w:pPr>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drugs we develop depends on a number of factors, including:</w:t>
      </w:r>
    </w:p>
    <w:p>
      <w:pPr>
        <w:spacing w:after="0" w:line="50"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84"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27"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61" w:lineRule="exact"/>
        <w:rPr>
          <w:sz w:val="20"/>
          <w:szCs w:val="20"/>
          <w:color w:val="auto"/>
        </w:rPr>
      </w:pPr>
    </w:p>
    <w:p>
      <w:pPr>
        <w:ind w:left="60" w:right="15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202"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5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6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enacts significant changes to Medicaid and rescinds or does not continue major elements of the ACA. The legislation is projected to significantly reduce federal healthcare spending over the next decade due to a likely increase in the number of uninsured individuals. The OBBBA also restores the ability for companies to immediately deduct domestic research and experimentation (R&amp;E) costs, a provision that was previously phased out. This change provides significant tax relief and increases cash flow for biotech and life sciences companies, especially small and early-stage companies. The OBBBA also mandates that able-bodied Medicaid recipients aged 19-64 must work, volunteer, or attend school for at least 80 hours per month, or risk losing coverage. This is expected to reduce costs, but potentially also coverage for millions of people. The Company is still evaluating the impact of OBBBA.</w:t>
      </w:r>
    </w:p>
    <w:p>
      <w:pPr>
        <w:spacing w:after="0" w:line="14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w:t>
      </w:r>
    </w:p>
    <w:p>
      <w:pPr>
        <w:spacing w:after="0" w:line="15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As of January 17, 2025, HHS announced it will begin price negotiations for a list of fifteen additional drugs.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6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Further, on January 20, 2025, President Trump reversed some of President Biden’s executive orders including rescinding Executive Order 14087 entitled “Lowering Prescription Drug Costs for Americans.” President Trump may issue new executive orders designed to impact drug pricing, and/or rescind or modify the previous administration’s efforts to address drug costs. A number of these and other proposed measures may require authorization through additional legislation to become effective. Congress and the Trump administration have indicated that they will continue to seek new legislative measures to control drug costs. Additionally, OBBBA amends the IRA to be more favorable for orphan drug developers by allowing a drug with multiple orphan designations to remain exempt from price negotiation, potentially preserving profitability for rare disease therapies.</w:t>
      </w:r>
    </w:p>
    <w:p>
      <w:pPr>
        <w:spacing w:after="0" w:line="192"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9"/>
        <w:spacing w:after="0" w:line="266" w:lineRule="auto"/>
        <w:rPr>
          <w:sz w:val="20"/>
          <w:szCs w:val="20"/>
          <w:color w:val="auto"/>
        </w:rPr>
      </w:pPr>
      <w:r>
        <w:rPr>
          <w:rFonts w:ascii="Times New Roman" w:cs="Times New Roman" w:eastAsia="Times New Roman" w:hAnsi="Times New Roman"/>
          <w:sz w:val="18"/>
          <w:szCs w:val="18"/>
          <w:color w:val="auto"/>
        </w:rPr>
        <w:t>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49"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38" w:lineRule="exact"/>
        <w:rPr>
          <w:sz w:val="20"/>
          <w:szCs w:val="20"/>
          <w:color w:val="auto"/>
        </w:rPr>
      </w:pPr>
    </w:p>
    <w:p>
      <w:pPr>
        <w:ind w:left="60" w:right="199" w:firstLine="324"/>
        <w:spacing w:after="0" w:line="239"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6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60"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159" w:firstLine="324"/>
        <w:spacing w:after="0" w:line="245" w:lineRule="auto"/>
        <w:rPr>
          <w:sz w:val="20"/>
          <w:szCs w:val="20"/>
          <w:color w:val="auto"/>
        </w:rPr>
      </w:pPr>
      <w:r>
        <w:rPr>
          <w:rFonts w:ascii="Times New Roman" w:cs="Times New Roman" w:eastAsia="Times New Roman" w:hAnsi="Times New Roman"/>
          <w:sz w:val="18"/>
          <w:szCs w:val="18"/>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7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61" w:lineRule="exact"/>
        <w:rPr>
          <w:sz w:val="20"/>
          <w:szCs w:val="20"/>
          <w:color w:val="auto"/>
        </w:rPr>
      </w:pPr>
    </w:p>
    <w:p>
      <w:pPr>
        <w:ind w:left="60" w:right="179" w:firstLine="324"/>
        <w:spacing w:after="0" w:line="269" w:lineRule="auto"/>
        <w:rPr>
          <w:sz w:val="20"/>
          <w:szCs w:val="20"/>
          <w:color w:val="auto"/>
        </w:rPr>
      </w:pPr>
      <w:r>
        <w:rPr>
          <w:rFonts w:ascii="Times New Roman" w:cs="Times New Roman" w:eastAsia="Times New Roman" w:hAnsi="Times New Roman"/>
          <w:sz w:val="17"/>
          <w:szCs w:val="17"/>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48"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202"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intellectual property prosecution and management and research and development activities for us utilizing its EvolverAI.</w:t>
      </w:r>
    </w:p>
    <w:p>
      <w:pPr>
        <w:spacing w:after="0" w:line="19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51"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4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5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18"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September 30, 2025, Dr. Mehta, through his beneficial ownership of BioXcel LLC, beneficially owned approximately 2.4%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173"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1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35" w:lineRule="exact"/>
        <w:rPr>
          <w:sz w:val="20"/>
          <w:szCs w:val="20"/>
          <w:color w:val="auto"/>
        </w:rPr>
      </w:pPr>
    </w:p>
    <w:p>
      <w:pPr>
        <w:ind w:left="720" w:right="3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may utilize, including our own in-house proprietary platform.</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61" w:lineRule="exact"/>
        <w:rPr>
          <w:sz w:val="20"/>
          <w:szCs w:val="20"/>
          <w:color w:val="auto"/>
        </w:rPr>
      </w:pPr>
    </w:p>
    <w:p>
      <w:pPr>
        <w:ind w:left="60" w:right="159" w:firstLine="324"/>
        <w:spacing w:after="0" w:line="268" w:lineRule="auto"/>
        <w:rPr>
          <w:sz w:val="20"/>
          <w:szCs w:val="20"/>
          <w:color w:val="auto"/>
        </w:rPr>
      </w:pPr>
      <w:r>
        <w:rPr>
          <w:rFonts w:ascii="Times New Roman" w:cs="Times New Roman" w:eastAsia="Times New Roman" w:hAnsi="Times New Roman"/>
          <w:sz w:val="17"/>
          <w:szCs w:val="17"/>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may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98" w:lineRule="exact"/>
        <w:rPr>
          <w:sz w:val="20"/>
          <w:szCs w:val="20"/>
          <w:color w:val="auto"/>
        </w:rPr>
      </w:pPr>
    </w:p>
    <w:p>
      <w:pPr>
        <w:ind w:left="60" w:right="25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5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6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6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52"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47"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32"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9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2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8"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4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51"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 As a result, our results of operations and the commercial prospects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candidates would be harmed, our costs could increase and our ability to generate revenues could be delayed.</w:t>
      </w:r>
    </w:p>
    <w:p>
      <w:pPr>
        <w:spacing w:after="0" w:line="155"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18"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In addition,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and other conflicts in the Middle East,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15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Additionally, trade policies and geopolitical disputes and other international conflicts can result in tariffs, sanctions and other measures that restrict international trade, and can materially adversely affect our business, particularly if these measures affect regions where raw materials are sourced. For example, tensions between the United States and China have led to a series of tariffs being imposed by the United States on imports from China, as well as other business restrictions. Countries may also adopt other measures, such as controls on imports or exports of goods, technology or data, that could adversely impact our operations and supply chain. As these tensions continue to rise, more targeted approaches on certain products, industries or companies could significantly impact our development and commercialization efforts.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spacing w:after="0" w:line="160"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A severe or prolonged economic downturn, or additional global financial or political crises, could result in a variety of risks to our business, including delayed clinical studies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5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pacing w:after="0" w:line="14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1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1"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4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48"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4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3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53"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9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63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3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4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8" w:lineRule="exact"/>
        <w:rPr>
          <w:sz w:val="20"/>
          <w:szCs w:val="20"/>
          <w:color w:val="auto"/>
        </w:rPr>
      </w:pPr>
    </w:p>
    <w:p>
      <w:pPr>
        <w:ind w:left="60" w:right="499" w:firstLine="324"/>
        <w:spacing w:after="0" w:line="281"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61"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1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39"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72"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14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6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pacing w:after="0" w:line="144"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9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w:t>
      </w:r>
    </w:p>
    <w:p>
      <w:pPr>
        <w:spacing w:after="0" w:line="14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54"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41" w:lineRule="exact"/>
        <w:rPr>
          <w:sz w:val="20"/>
          <w:szCs w:val="20"/>
          <w:color w:val="auto"/>
        </w:rPr>
      </w:pPr>
    </w:p>
    <w:p>
      <w:pPr>
        <w:ind w:left="60" w:right="659" w:firstLine="324"/>
        <w:spacing w:after="0" w:line="312" w:lineRule="auto"/>
        <w:rPr>
          <w:sz w:val="20"/>
          <w:szCs w:val="20"/>
          <w:color w:val="auto"/>
        </w:rPr>
      </w:pPr>
      <w:r>
        <w:rPr>
          <w:rFonts w:ascii="Times New Roman" w:cs="Times New Roman" w:eastAsia="Times New Roman" w:hAnsi="Times New Roman"/>
          <w:sz w:val="17"/>
          <w:szCs w:val="17"/>
          <w:color w:val="auto"/>
        </w:rPr>
        <w:t>In Europe, the General Data Protection Regulation (“GDPR”) went into effect in May 2018 and imposes strict requirements for processing the personal data of individuals within the EEA. Companies that must comply with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68"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spacing w:after="0" w:line="14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44"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3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54"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3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98"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84"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2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85"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32" w:lineRule="exact"/>
        <w:rPr>
          <w:sz w:val="20"/>
          <w:szCs w:val="20"/>
          <w:color w:val="auto"/>
        </w:rPr>
      </w:pPr>
    </w:p>
    <w:p>
      <w:pPr>
        <w:ind w:left="60" w:right="319" w:firstLine="324"/>
        <w:spacing w:after="0" w:line="254" w:lineRule="auto"/>
        <w:rPr>
          <w:sz w:val="20"/>
          <w:szCs w:val="20"/>
          <w:color w:val="auto"/>
        </w:rPr>
      </w:pPr>
      <w:r>
        <w:rPr>
          <w:rFonts w:ascii="Times New Roman" w:cs="Times New Roman" w:eastAsia="Times New Roman" w:hAnsi="Times New Roman"/>
          <w:sz w:val="18"/>
          <w:szCs w:val="18"/>
          <w:color w:val="auto"/>
        </w:rPr>
        <w:t>At December 31, 2024 the Company had approximately $432.6 million of gross federal and $443.5 million of gross state net operating loss carry-forwards. The Tax Cuts and Jobs Act (“TCJA”) in December 2017 amended the net operating losses carryforward rules. Net operating losses generated after December 31, 2017, may be carried forward indefinitely, subject to certain limitations on their use. Net operating losses generated prior to 2018 may be carried forward for twenty years. If not utilized, these net operating losses will expire by 2037. State net operating losses have varying carryforward and applicable expiration periods. $430.0 million of the federal net operating losses were incurred after December 31, 2017, and will be carried forward indefinitely; the balance of the federal net operating losses are subject to expiration no later than 2037. The utilization of such net operating loss carry-forwards and realization of tax</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benefits in future years depends predominantly upon having taxable income. The Company has approximately $16.0 million of federal orphan drug credits and research and development credits which will begin to expire in 2037 if not utilized. The Company also has approximately $1.5 million of state research and development credits which will begin to expire in 2040 if not utilized.</w:t>
      </w:r>
    </w:p>
    <w:p>
      <w:pPr>
        <w:spacing w:after="0" w:line="153"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Code, our federal net operating losses and tax credit carryforwards, such as research/development credits and orphan drug credits, may become subject to an annual limitation in the event of certain cumulative changes in the ownership interest of significant stockholders (or groups of stockholders) in excess of 50% over a rolling three-year period. Similar state provisions may also exist. These ownership changes may limit the amount of the net operating losses and tax credit carryforwards that can be utilized annually to offset future taxable income and income tax, respectively.</w:t>
      </w:r>
    </w:p>
    <w:p>
      <w:pPr>
        <w:spacing w:after="0" w:line="14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federal or state income tax provisions taken on their income tax returns. The Company has analyzed its tax positions and has concluded that as of December 31, 2024, there were no uncertain tax positions. The Company's U.S. federal and state net operating losses have occurred since its inception in 2017 and as such, tax years subject to potential tax examination could apply from that date because the utilization of net operating losses from prior years opens the relevant tax year to audit by The U.S. Internal Revenue Service (“IRS”) and/or state taxing authorities. The Company did not have any unrecognized tax benefits and has not accrued any interest or penalties for the 12 months ended December 31, 2024 and 2023.</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4" w:lineRule="exact"/>
        <w:rPr>
          <w:sz w:val="20"/>
          <w:szCs w:val="20"/>
          <w:color w:val="auto"/>
        </w:rPr>
      </w:pPr>
    </w:p>
    <w:p>
      <w:pPr>
        <w:ind w:left="60" w:right="179" w:firstLine="324"/>
        <w:spacing w:after="0" w:line="272" w:lineRule="auto"/>
        <w:rPr>
          <w:sz w:val="20"/>
          <w:szCs w:val="20"/>
          <w:color w:val="auto"/>
        </w:rPr>
      </w:pPr>
      <w:r>
        <w:rPr>
          <w:rFonts w:ascii="Times New Roman" w:cs="Times New Roman" w:eastAsia="Times New Roman" w:hAnsi="Times New Roman"/>
          <w:sz w:val="17"/>
          <w:szCs w:val="17"/>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3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53"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56"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9" w:lineRule="exact"/>
        <w:rPr>
          <w:sz w:val="20"/>
          <w:szCs w:val="20"/>
          <w:color w:val="auto"/>
        </w:rPr>
      </w:pPr>
    </w:p>
    <w:p>
      <w:pPr>
        <w:ind w:left="720" w:right="29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3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98"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9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7"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4"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52"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98"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2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60"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spacing w:after="0" w:line="14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6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66" w:lineRule="auto"/>
        <w:rPr>
          <w:sz w:val="20"/>
          <w:szCs w:val="20"/>
          <w:color w:val="auto"/>
        </w:rPr>
      </w:pPr>
      <w:r>
        <w:rPr>
          <w:rFonts w:ascii="Times New Roman" w:cs="Times New Roman" w:eastAsia="Times New Roman" w:hAnsi="Times New Roman"/>
          <w:sz w:val="18"/>
          <w:szCs w:val="18"/>
          <w:color w:val="auto"/>
        </w:rPr>
        <w:t>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41" w:lineRule="exact"/>
        <w:rPr>
          <w:sz w:val="20"/>
          <w:szCs w:val="20"/>
          <w:color w:val="auto"/>
        </w:rPr>
      </w:pPr>
    </w:p>
    <w:p>
      <w:pPr>
        <w:jc w:val="both"/>
        <w:ind w:left="60" w:right="199"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jc w:val="both"/>
        <w:ind w:left="60" w:right="219" w:firstLine="324"/>
        <w:spacing w:after="0" w:line="269"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w:t>
      </w:r>
    </w:p>
    <w:p>
      <w:pPr>
        <w:spacing w:after="0" w:line="3"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spacing w:after="0" w:line="152"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65"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pacing w:after="0" w:line="139"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40"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37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62"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49"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21"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8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1"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55" w:lineRule="exact"/>
        <w:rPr>
          <w:sz w:val="20"/>
          <w:szCs w:val="20"/>
          <w:color w:val="auto"/>
        </w:rPr>
      </w:pPr>
    </w:p>
    <w:p>
      <w:pPr>
        <w:ind w:left="60" w:right="179" w:firstLine="324"/>
        <w:spacing w:after="0" w:line="246"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32" w:lineRule="exact"/>
        <w:rPr>
          <w:sz w:val="20"/>
          <w:szCs w:val="20"/>
          <w:color w:val="auto"/>
        </w:rPr>
      </w:pPr>
    </w:p>
    <w:p>
      <w:pPr>
        <w:ind w:left="60" w:right="199" w:firstLine="324"/>
        <w:spacing w:after="0" w:line="251"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 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62"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53"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9"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1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50"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3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35"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62" w:lineRule="exact"/>
        <w:rPr>
          <w:sz w:val="20"/>
          <w:szCs w:val="20"/>
          <w:color w:val="auto"/>
        </w:rPr>
      </w:pPr>
    </w:p>
    <w:p>
      <w:pPr>
        <w:ind w:left="60" w:right="399" w:firstLine="324"/>
        <w:spacing w:after="0" w:line="312" w:lineRule="auto"/>
        <w:rPr>
          <w:sz w:val="20"/>
          <w:szCs w:val="20"/>
          <w:color w:val="auto"/>
        </w:rPr>
      </w:pPr>
      <w:r>
        <w:rPr>
          <w:rFonts w:ascii="Times New Roman" w:cs="Times New Roman" w:eastAsia="Times New Roman" w:hAnsi="Times New Roman"/>
          <w:sz w:val="17"/>
          <w:szCs w:val="17"/>
          <w:color w:val="auto"/>
        </w:rPr>
        <w:t>We may elect to sue a third party, or otherwise make a claim, alleging infringement or other violation of patents, trademarks, trade dress, copyrights, trade secrets, domain names or other intellectual property rights that we either own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or license from BioXcel LLC. If we do not prevail in enforcing our intellectual property rights in this type of litigation, we may be subject to:</w:t>
      </w:r>
    </w:p>
    <w:p>
      <w:pPr>
        <w:spacing w:after="0" w:line="135"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pacing w:after="0" w:line="121"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4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43"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35"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patents we own or license and can be successfully defended or will protect us against future intellectual property challenges, particularly as they pertain to changes in patent law and future patent law interpretations.</w:t>
      </w:r>
    </w:p>
    <w:p>
      <w:pPr>
        <w:spacing w:after="0" w:line="156"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including Russia’s incursion into Ukraine, and the imposition of tariffs and responses to tariffs, may impact our ability to obtain and enforce patents in particular jurisdictions. If we are unable to obtain and enforce patents as needed in particular markets, our ability to exclude competitors in those markets may be reduced.</w:t>
      </w:r>
    </w:p>
    <w:p>
      <w:pPr>
        <w:spacing w:after="0" w:line="228"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8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34"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21"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84"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preclinical and clinical trials;</w:t>
      </w:r>
    </w:p>
    <w:p>
      <w:pPr>
        <w:spacing w:after="0" w:line="13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98"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85"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20"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including common stock that may be sold following exercise of outstanding warrants, would result in additional dilution of the percentage ownership of our stockholders and could adversely impact the share price of our common stock.</w:t>
      </w:r>
    </w:p>
    <w:p>
      <w:pPr>
        <w:spacing w:after="0" w:line="14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spacing w:after="0" w:line="148"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7"/>
          <w:szCs w:val="17"/>
          <w:color w:val="auto"/>
        </w:rPr>
        <w:t xml:space="preserve">In March 2024, we issued and sold in a registered direct offering 190,913 shares of our common stock, accompanying warrants to purchase up to 538,728 shares of our common stock and pre-funded warrants to purchase up to 347,814 shares of our common stock. In November 2024, we issued and sold in a registered direct offering 350,000 shares of our common stock, accompanying warrants to purchase up to 912,500 shares of our common stock and pre-funded warrants to purchase up to 562,500 shares of our common stock, (for additional information see Note 11, </w:t>
      </w:r>
      <w:r>
        <w:rPr>
          <w:rFonts w:ascii="Times New Roman" w:cs="Times New Roman" w:eastAsia="Times New Roman" w:hAnsi="Times New Roman"/>
          <w:sz w:val="17"/>
          <w:szCs w:val="17"/>
          <w:i w:val="1"/>
          <w:iCs w:val="1"/>
          <w:color w:val="auto"/>
        </w:rPr>
        <w:t>Common Stock 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Activities </w:t>
      </w:r>
      <w:r>
        <w:rPr>
          <w:rFonts w:ascii="Times New Roman" w:cs="Times New Roman" w:eastAsia="Times New Roman" w:hAnsi="Times New Roman"/>
          <w:sz w:val="17"/>
          <w:szCs w:val="17"/>
          <w:color w:val="auto"/>
        </w:rPr>
        <w:t>in our Annual Report on Form 10-K for the fiscal year ended December 31, 2024). In addition, we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additional warrants to purchase up to 312,506 shares of common stock in connection with the Fifth Amendment of our Credit Agreement (see Note 9, </w:t>
      </w:r>
      <w:r>
        <w:rPr>
          <w:rFonts w:ascii="Times New Roman" w:cs="Times New Roman" w:eastAsia="Times New Roman" w:hAnsi="Times New Roman"/>
          <w:sz w:val="17"/>
          <w:szCs w:val="17"/>
          <w:i w:val="1"/>
          <w:iCs w:val="1"/>
          <w:color w:val="auto"/>
        </w:rPr>
        <w:t>Debt and Credit Facilities</w:t>
      </w:r>
      <w:r>
        <w:rPr>
          <w:rFonts w:ascii="Times New Roman" w:cs="Times New Roman" w:eastAsia="Times New Roman" w:hAnsi="Times New Roman"/>
          <w:sz w:val="17"/>
          <w:szCs w:val="17"/>
          <w:color w:val="auto"/>
        </w:rPr>
        <w:t xml:space="preserve"> in this Annual Report on Form 10-K for additional information). In March 2025, we issued and sold in a registered direct offering 188,383 shares of common stock, pre-funded warrants to purchase up to 3,811,617 shares of our common stock, accompanying warrants to purchase up to 4 million shares, and option warrants to purchase an additional 4 million shares of common stock (or pre-funded warrants in lieu thereof) and 4 million warrants. The option warrants expired on March 18, 2025 without being exercised. The number of shares of common stock underlying our outstanding warrants is significant in relation to our outstanding common stock (15% as of November 11, 2025),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delisted from The Nasdaq Capital Market, which could seriously harm the liquidity of our stock and our ability to raise capital or complete a strategic transaction.</w:t>
      </w:r>
    </w:p>
    <w:p>
      <w:pPr>
        <w:spacing w:after="0" w:line="159" w:lineRule="exact"/>
        <w:rPr>
          <w:sz w:val="20"/>
          <w:szCs w:val="20"/>
          <w:color w:val="auto"/>
        </w:rPr>
      </w:pPr>
    </w:p>
    <w:p>
      <w:pPr>
        <w:ind w:left="60" w:right="239" w:firstLine="324"/>
        <w:spacing w:after="0" w:line="274" w:lineRule="auto"/>
        <w:rPr>
          <w:sz w:val="20"/>
          <w:szCs w:val="20"/>
          <w:color w:val="auto"/>
        </w:rPr>
      </w:pPr>
      <w:r>
        <w:rPr>
          <w:rFonts w:ascii="Times New Roman" w:cs="Times New Roman" w:eastAsia="Times New Roman" w:hAnsi="Times New Roman"/>
          <w:sz w:val="17"/>
          <w:szCs w:val="17"/>
          <w:color w:val="auto"/>
        </w:rPr>
        <w:t>As previously reported, on September 20, 2024, we received a letter from Nasdaq Staff notifying us that for the 30 consecutive business days prior to the date of the letter, the Company’s market value of listed securities closed below the minimum $35 million requirement for continued listing on The Nasdaq Capital Market under Nasdaq Listing Rule 5550(b)(2) (the “MVLS Requirement”). In accordance with Nasdaq Listing Rule 5810(c)(3)(C), the Company was granted a period of 180 calendar days, or until March 19, 2025, to demonstrate compliance with the MVLS Requirement, which requires a market value of listed securities of at least $35 million for at least 10 consecutive business days.</w:t>
      </w:r>
    </w:p>
    <w:p>
      <w:pPr>
        <w:spacing w:after="0" w:line="173" w:lineRule="exact"/>
        <w:rPr>
          <w:sz w:val="20"/>
          <w:szCs w:val="20"/>
          <w:color w:val="auto"/>
        </w:rPr>
      </w:pPr>
    </w:p>
    <w:p>
      <w:pPr>
        <w:ind w:left="60" w:right="259" w:firstLine="324"/>
        <w:spacing w:after="0" w:line="274" w:lineRule="auto"/>
        <w:rPr>
          <w:sz w:val="20"/>
          <w:szCs w:val="20"/>
          <w:color w:val="auto"/>
        </w:rPr>
      </w:pPr>
      <w:r>
        <w:rPr>
          <w:rFonts w:ascii="Times New Roman" w:cs="Times New Roman" w:eastAsia="Times New Roman" w:hAnsi="Times New Roman"/>
          <w:sz w:val="17"/>
          <w:szCs w:val="17"/>
          <w:color w:val="auto"/>
        </w:rPr>
        <w:t>As anticipated, on March 20, 2025, the Company received another letter from the Staff stating that, as a result of the Company’s continued non-compliance with the MVLS Requirement, its securities would be delisted from Nasdaq unless the Company appeals the Staff’s delisting determination by requesting a hearing before the Nasdaq Hearings Panel (the “Panel”). The Company made a timely request for a hearing before the Panel to appeal the Staff’s determination. The Company had a hearing with the Nasdaq Hearing Panel on May 1, 2025. At the hearing, the Company presented its plan for regaining compliance with the MVLS Requirement and requested a further to complete the execution of our plan.</w:t>
      </w:r>
    </w:p>
    <w:p>
      <w:pPr>
        <w:spacing w:after="0" w:line="173" w:lineRule="exact"/>
        <w:rPr>
          <w:sz w:val="20"/>
          <w:szCs w:val="20"/>
          <w:color w:val="auto"/>
        </w:rPr>
      </w:pPr>
    </w:p>
    <w:p>
      <w:pPr>
        <w:ind w:left="60" w:right="279" w:firstLine="324"/>
        <w:spacing w:after="0" w:line="253" w:lineRule="auto"/>
        <w:rPr>
          <w:sz w:val="20"/>
          <w:szCs w:val="20"/>
          <w:color w:val="auto"/>
        </w:rPr>
      </w:pPr>
      <w:r>
        <w:rPr>
          <w:rFonts w:ascii="Times New Roman" w:cs="Times New Roman" w:eastAsia="Times New Roman" w:hAnsi="Times New Roman"/>
          <w:sz w:val="18"/>
          <w:szCs w:val="18"/>
          <w:color w:val="auto"/>
        </w:rPr>
        <w:t>The Panel reviewed the Company’s compliance plan and strategies for achieving long-term compliance with the MVLS Requirement. On May 27, 2025, the Company received a decision letter from Nasdaq Stock Market LLC that the Panel has granted the Company’s request for an extension to regain compliance with the MVLS Requirement until September 16, 2025, subject to meeting certain interim conditions. On August 7, 2025, the Panel revised the terms of the extension pursuant to Nasdaq Listing Rule 5815(c)(4) following the Company not satisfying certain interim conditions. The Panel did note the positive developments related to the Company’s MVLS and that on the date of the extension the Company had already been in compliance with the MVLS Requirements and all other listing requirements for a number of days. Under the revised extension, the Company is required to continue maintaining compliance with the MVLS Requirement for each trading day until September 16, 2025. On September 17, 2025, Nasdaq delivered a notice to the Company confirming it had regained compliance with the MVLS Requirements. The Company now meets all Nasdaq Capital Market listing requirements for continued listing and this matter is now closed.</w:t>
      </w:r>
    </w:p>
    <w:p>
      <w:pPr>
        <w:spacing w:after="0" w:line="192" w:lineRule="exact"/>
        <w:rPr>
          <w:sz w:val="20"/>
          <w:szCs w:val="20"/>
          <w:color w:val="auto"/>
        </w:rPr>
      </w:pPr>
    </w:p>
    <w:p>
      <w:pPr>
        <w:ind w:left="60" w:right="259" w:firstLine="369"/>
        <w:spacing w:after="0" w:line="277" w:lineRule="auto"/>
        <w:rPr>
          <w:sz w:val="20"/>
          <w:szCs w:val="20"/>
          <w:color w:val="auto"/>
        </w:rPr>
      </w:pPr>
      <w:r>
        <w:rPr>
          <w:rFonts w:ascii="Times New Roman" w:cs="Times New Roman" w:eastAsia="Times New Roman" w:hAnsi="Times New Roman"/>
          <w:sz w:val="17"/>
          <w:szCs w:val="17"/>
          <w:color w:val="auto"/>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 Any such delisting action may materially adversely affect our ability to raise capital or pursue strategic transactions on acceptable terms, or at all.</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if our common stock is delisted from the Nasdaq Capital Market and the trading price remains below</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$5.00 per share, trading in our common stock might also become subject to the requirements of certain rules promulgated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Exchange Act, which require additional disclosure by broker-dealers in connection with any trade involving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defined as a “penny stock” (generally, any equity security not listed on a national securities exchange that has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price of less than $5.00 per share, subject to certain exceptions).</w:t>
      </w:r>
    </w:p>
    <w:p>
      <w:pPr>
        <w:spacing w:after="0" w:line="207"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and we are currently in compliance with all Nasdaq listing requirements; however, while the Company currently meets all Nasdaq Capital Market listing requirements for continued listing, there can be no assurance that it will maintain compliance and will not face a delisting from Nasdaq in the future or, if the Company falls out of compliance, regain compliance with any deficiency and maintain compliance thereafter.</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32" w:lineRule="exact"/>
        <w:rPr>
          <w:sz w:val="20"/>
          <w:szCs w:val="20"/>
          <w:color w:val="auto"/>
        </w:rPr>
      </w:pPr>
    </w:p>
    <w:p>
      <w:pPr>
        <w:ind w:left="60" w:right="6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34"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6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4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16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3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4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xml:space="preserve">, 3:23-cv-00915 (D. Conn). The case has since been renamed to </w:t>
      </w:r>
      <w:r>
        <w:rPr>
          <w:rFonts w:ascii="Times New Roman" w:cs="Times New Roman" w:eastAsia="Times New Roman" w:hAnsi="Times New Roman"/>
          <w:sz w:val="18"/>
          <w:szCs w:val="18"/>
          <w:i w:val="1"/>
          <w:iCs w:val="1"/>
          <w:color w:val="auto"/>
        </w:rPr>
        <w:t>Hills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BioXcel Therapeutics, Inc. et al</w:t>
      </w:r>
      <w:r>
        <w:rPr>
          <w:rFonts w:ascii="Times New Roman" w:cs="Times New Roman" w:eastAsia="Times New Roman" w:hAnsi="Times New Roman"/>
          <w:sz w:val="18"/>
          <w:szCs w:val="18"/>
          <w:color w:val="auto"/>
        </w:rPr>
        <w:t>. On October 4, 2023, pursuant to the Private Securities Litigation Reform Act,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two co-Lead Plaintiffs. The co-Lead Plaintiffs filed an amended complaint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December 5, 2023, alleging violations of Sections 10(b) and 20A of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The Company filed an opposition to the motion on March 17, 2025 and Plaintiffs filed a reply in support of the motion on April 7, 2025. On April 9, 2025, the court stayed the matter to allow the parties to engage in a private mediation session. The parties held a mediation on May 12, 2025 but did not reach a settlement agreement. The Court lifted the stay and scheduled an August 27, 2025 hearing on BioXcel’s motion to dismiss the second amended complaint and Plaintiff’s motion for leave to amend the second amended complaint.</w:t>
      </w:r>
    </w:p>
    <w:p>
      <w:pPr>
        <w:spacing w:after="0" w:line="163"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4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1:24-cv-00041. Following the initial action, Plaintiff Janice Korff filed a stockholder derivative complaint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District of Delaware raising similar claims as Smith (1:24-cv-130),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xml:space="preserve"> 1:24-cv-00041 (D. Del.). The consolidated action is currently stayed.</w:t>
      </w:r>
    </w:p>
    <w:p>
      <w:pPr>
        <w:spacing w:after="0" w:line="151"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 w:cs="Times New Roman" w:eastAsia="Times New Roman" w:hAnsi="Times New Roman"/>
          <w:sz w:val="18"/>
          <w:szCs w:val="18"/>
          <w:i w:val="1"/>
          <w:iCs w:val="1"/>
          <w:color w:val="auto"/>
        </w:rPr>
        <w:t>Yaakov Portnoy, derivatively on behalf of BioXcel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Vimal Mehta, et al</w:t>
      </w:r>
      <w:r>
        <w:rPr>
          <w:rFonts w:ascii="Times New Roman" w:cs="Times New Roman" w:eastAsia="Times New Roman" w:hAnsi="Times New Roman"/>
          <w:sz w:val="18"/>
          <w:szCs w:val="18"/>
          <w:color w:val="auto"/>
        </w:rPr>
        <w:t>, 2025-0508-BWD (Del. Ch.). The complaint alleges similar claims to those raised in</w:t>
      </w:r>
      <w:r>
        <w:rPr>
          <w:rFonts w:ascii="Times New Roman" w:cs="Times New Roman" w:eastAsia="Times New Roman" w:hAnsi="Times New Roman"/>
          <w:sz w:val="18"/>
          <w:szCs w:val="18"/>
          <w:i w:val="1"/>
          <w:iCs w:val="1"/>
          <w:color w:val="auto"/>
        </w:rPr>
        <w:t xml:space="preserve"> In re BioXcel Therapeutics, Inc. Derivative Litigation</w:t>
      </w:r>
      <w:r>
        <w:rPr>
          <w:rFonts w:ascii="Times New Roman" w:cs="Times New Roman" w:eastAsia="Times New Roman" w:hAnsi="Times New Roman"/>
          <w:sz w:val="18"/>
          <w:szCs w:val="18"/>
          <w:color w:val="auto"/>
        </w:rPr>
        <w:t>, 1:24-cv-00041 (D. Del.), including business torts.</w:t>
      </w:r>
    </w:p>
    <w:p>
      <w:pPr>
        <w:spacing w:after="0" w:line="16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 is also cooperating with a formal investigation of the Company and certain of its officers and directors by the SEC, relating to the Company’s public disclosures—including about product sales and the receipt of a Form 483 by an investigator at one of the Company’s clinical trial sites in the TRANQUILITY II study, and the Company’s technology platform—and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51"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61"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39"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67"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43" w:lineRule="exact"/>
        <w:rPr>
          <w:sz w:val="20"/>
          <w:szCs w:val="20"/>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98"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17"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3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5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47"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have a material impact on our business, results of operations, financial condition and cash flows.</w:t>
      </w:r>
    </w:p>
    <w:p>
      <w:pPr>
        <w:spacing w:after="0" w:line="15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adversely affect our business, financial condition, results of operations, and prospects. For example, the TCJA, the Coronavirus Aid, Relief and Economic Security Act, and the IRA made many significant changes to the U.S. tax laws. Beginning in 2022, the TCJA requires taxpayers to capitalize and amortize certain research and development expenditures over five years if incurred in the U.S. and 15 years if incurred in foreign jurisdictions, rather than deducting them currently. Although there have been legislative proposals to repeal or defer the research and development expenditure capitalization requirement to later years, there can be no assurance that the provision will be repealed or otherwise modified. As another example, the IRA includes provisions that will impact the U.S. federal income taxation of certain corporations, including imposing a minimum tax on the book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of certain large corporations and a 1% excise tax on the value of certain corporate stock repurchases by publicly traded companies that would be imposed on the company repurchasing such stock. Further, beginning with our 2025 tax year, the OBBBA restored immediate deductibility of domestic expenditures, while foreign expenditures will continue to be capitalized and amortized over 15 years. Regulatory or accounting guidance with respect to existing or future tax laws could materially affect our tax obligations and effective tax rate. It is uncertain if, and to what extent, various states will conform to current federal law or any newly enacted federal tax legislation.</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indirect taxes in various jurisdictions could materially adversely affect our business, financial condition, results of operations, and prospects.</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or economic activity, have a presence and where we have determined, based on applicable legal precedents, that our activities are taxable. We do not currently collect and remit indirect taxes, including state and local excise, utility user, and ad valorem taxes, fees, and surcharges in jurisdictions where we believe we do not have sufficient “nexus.” Tax authorities may challenge our position that we do not have sufficient nexus in a taxing jurisdiction or that our activities are not taxable in such jurisdiction and may decide to audit our business and operations with respect to indirect taxes, which could result in significant tax liabilities (including related penalties and interest) for us or our customers, which could materially adversely affect our business, financial condition, results of operations, and prospects.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620" w:hanging="246"/>
        <w:spacing w:after="0"/>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620" w:hanging="246"/>
        <w:spacing w:after="0"/>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1" w:lineRule="exact"/>
        <w:rPr>
          <w:rFonts w:ascii="Times New Roman" w:cs="Times New Roman" w:eastAsia="Times New Roman" w:hAnsi="Times New Roman"/>
          <w:sz w:val="18"/>
          <w:szCs w:val="18"/>
          <w:color w:val="auto"/>
        </w:rPr>
      </w:pPr>
    </w:p>
    <w:p>
      <w:pPr>
        <w:jc w:val="both"/>
        <w:ind w:left="60" w:right="359" w:firstLine="314"/>
        <w:spacing w:after="0" w:line="266" w:lineRule="auto"/>
        <w:tabs>
          <w:tab w:leader="none" w:pos="6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under the Exchange Act)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gridSpan w:val="2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4"/>
                <w:szCs w:val="14"/>
                <w:color w:val="auto"/>
              </w:rPr>
            </w:pPr>
          </w:p>
        </w:tc>
        <w:tc>
          <w:tcPr>
            <w:tcW w:w="2920" w:type="dxa"/>
            <w:vAlign w:val="bottom"/>
            <w:tcBorders>
              <w:top w:val="single" w:sz="8" w:color="auto"/>
            </w:tcBorders>
            <w:gridSpan w:val="22"/>
          </w:tcPr>
          <w:p>
            <w:pPr>
              <w:spacing w:after="0" w:line="169"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Amended and Restated Certificate of</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60" w:type="dxa"/>
            <w:vAlign w:val="bottom"/>
          </w:tcPr>
          <w:p>
            <w:pPr>
              <w:spacing w:after="0"/>
              <w:rPr>
                <w:sz w:val="14"/>
                <w:szCs w:val="14"/>
                <w:color w:val="auto"/>
              </w:rPr>
            </w:pPr>
          </w:p>
        </w:tc>
        <w:tc>
          <w:tcPr>
            <w:tcW w:w="1240" w:type="dxa"/>
            <w:vAlign w:val="bottom"/>
            <w:tcBorders>
              <w:top w:val="single" w:sz="8" w:color="auto"/>
            </w:tcBorders>
          </w:tcPr>
          <w:p>
            <w:pPr>
              <w:jc w:val="right"/>
              <w:ind w:right="133"/>
              <w:spacing w:after="0" w:line="169" w:lineRule="exact"/>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14"/>
                <w:szCs w:val="14"/>
                <w:color w:val="auto"/>
              </w:rPr>
            </w:pPr>
          </w:p>
        </w:tc>
        <w:tc>
          <w:tcPr>
            <w:tcW w:w="5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8/10/2021</w:t>
            </w: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Incorporation, as amended.</w:t>
              </w:r>
            </w:hyperlink>
          </w:p>
        </w:tc>
        <w:tc>
          <w:tcPr>
            <w:tcW w:w="700" w:type="dxa"/>
            <w:vAlign w:val="bottom"/>
            <w:tcBorders>
              <w:top w:val="single" w:sz="8" w:color="0000EE"/>
            </w:tcBorders>
            <w:gridSpan w:val="7"/>
          </w:tcPr>
          <w:p>
            <w:pPr>
              <w:spacing w:after="0"/>
              <w:rPr>
                <w:sz w:val="17"/>
                <w:szCs w:val="17"/>
                <w:color w:val="auto"/>
              </w:rPr>
            </w:pPr>
          </w:p>
        </w:tc>
        <w:tc>
          <w:tcPr>
            <w:tcW w:w="42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28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Certificate of Amendment to Amended</w:t>
              </w:r>
            </w:hyperlink>
          </w:p>
        </w:tc>
        <w:tc>
          <w:tcPr>
            <w:tcW w:w="260" w:type="dxa"/>
            <w:vAlign w:val="bottom"/>
            <w:gridSpan w:val="6"/>
          </w:tcPr>
          <w:p>
            <w:pPr>
              <w:spacing w:after="0"/>
              <w:rPr>
                <w:sz w:val="24"/>
                <w:szCs w:val="24"/>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6/11/2024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and Restated Certificate of</w:t>
              </w:r>
            </w:hyperlink>
          </w:p>
        </w:tc>
        <w:tc>
          <w:tcPr>
            <w:tcW w:w="1160" w:type="dxa"/>
            <w:vAlign w:val="bottom"/>
            <w:gridSpan w:val="20"/>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Incorporation of BioXcel Therapeutics,</w:t>
              </w:r>
            </w:hyperlink>
          </w:p>
        </w:tc>
        <w:tc>
          <w:tcPr>
            <w:tcW w:w="24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Inc., as amended, dated June 10, 2024.</w:t>
              </w:r>
            </w:hyperlink>
          </w:p>
        </w:tc>
        <w:tc>
          <w:tcPr>
            <w:tcW w:w="30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23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Certificate of Amendment to the</w:t>
              </w:r>
            </w:hyperlink>
          </w:p>
        </w:tc>
        <w:tc>
          <w:tcPr>
            <w:tcW w:w="740" w:type="dxa"/>
            <w:vAlign w:val="bottom"/>
            <w:gridSpan w:val="16"/>
          </w:tcPr>
          <w:p>
            <w:pPr>
              <w:spacing w:after="0"/>
              <w:rPr>
                <w:sz w:val="24"/>
                <w:szCs w:val="24"/>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Amended and Restated Certificate of</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Incorporation of BioXcel Therapeutics,</w:t>
              </w:r>
            </w:hyperlink>
          </w:p>
        </w:tc>
        <w:tc>
          <w:tcPr>
            <w:tcW w:w="24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Inc.</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4"/>
                <w:szCs w:val="24"/>
                <w:color w:val="auto"/>
              </w:rPr>
            </w:pPr>
          </w:p>
        </w:tc>
        <w:tc>
          <w:tcPr>
            <w:tcW w:w="2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Amended and Restated Bylaws.</w:t>
              </w:r>
            </w:hyperlink>
          </w:p>
        </w:tc>
        <w:tc>
          <w:tcPr>
            <w:tcW w:w="780" w:type="dxa"/>
            <w:vAlign w:val="bottom"/>
            <w:gridSpan w:val="17"/>
          </w:tcPr>
          <w:p>
            <w:pPr>
              <w:spacing w:after="0"/>
              <w:rPr>
                <w:sz w:val="24"/>
                <w:szCs w:val="24"/>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3/13/2018</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3080" w:type="dxa"/>
            <w:vAlign w:val="bottom"/>
            <w:gridSpan w:val="24"/>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Equity Distribution Agreement, by and</w:t>
              </w:r>
            </w:hyperlink>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between the Company and Canaccord</w:t>
              </w:r>
            </w:hyperlink>
          </w:p>
        </w:tc>
        <w:tc>
          <w:tcPr>
            <w:tcW w:w="60" w:type="dxa"/>
            <w:vAlign w:val="bottom"/>
            <w:tcBorders>
              <w:top w:val="single" w:sz="8" w:color="0000EE"/>
            </w:tcBorders>
            <w:gridSpan w:val="2"/>
          </w:tcPr>
          <w:p>
            <w:pPr>
              <w:spacing w:after="0"/>
              <w:rPr>
                <w:sz w:val="17"/>
                <w:szCs w:val="17"/>
                <w:color w:val="auto"/>
              </w:rPr>
            </w:pPr>
          </w:p>
        </w:tc>
        <w:tc>
          <w:tcPr>
            <w:tcW w:w="28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61">
              <w:r>
                <w:rPr>
                  <w:rFonts w:ascii="Times New Roman" w:cs="Times New Roman" w:eastAsia="Times New Roman" w:hAnsi="Times New Roman"/>
                  <w:sz w:val="18"/>
                  <w:szCs w:val="18"/>
                  <w:color w:val="0000EE"/>
                  <w:w w:val="97"/>
                </w:rPr>
                <w:t>Genuity LLC</w:t>
              </w:r>
            </w:hyperlink>
          </w:p>
        </w:tc>
        <w:tc>
          <w:tcPr>
            <w:tcW w:w="2120" w:type="dxa"/>
            <w:vAlign w:val="bottom"/>
            <w:gridSpan w:val="2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520" w:type="dxa"/>
            <w:vAlign w:val="bottom"/>
            <w:gridSpan w:val="13"/>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c>
          <w:tcPr>
            <w:tcW w:w="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under the Securities</w:t>
            </w:r>
          </w:p>
        </w:tc>
        <w:tc>
          <w:tcPr>
            <w:tcW w:w="900" w:type="dxa"/>
            <w:vAlign w:val="bottom"/>
            <w:gridSpan w:val="1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w:t>
            </w:r>
          </w:p>
        </w:tc>
        <w:tc>
          <w:tcPr>
            <w:tcW w:w="56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4"/>
                <w:szCs w:val="24"/>
                <w:color w:val="auto"/>
              </w:rPr>
            </w:pPr>
          </w:p>
        </w:tc>
        <w:tc>
          <w:tcPr>
            <w:tcW w:w="30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gridSpan w:val="9"/>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c>
          <w:tcPr>
            <w:tcW w:w="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under the Securities</w:t>
            </w:r>
          </w:p>
        </w:tc>
        <w:tc>
          <w:tcPr>
            <w:tcW w:w="900" w:type="dxa"/>
            <w:vAlign w:val="bottom"/>
            <w:gridSpan w:val="1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w:t>
            </w:r>
          </w:p>
        </w:tc>
        <w:tc>
          <w:tcPr>
            <w:tcW w:w="56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6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520" w:type="dxa"/>
            <w:vAlign w:val="bottom"/>
            <w:gridSpan w:val="13"/>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w:t>
            </w:r>
          </w:p>
        </w:tc>
        <w:tc>
          <w:tcPr>
            <w:tcW w:w="36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13"/>
            <w:shd w:val="clear" w:color="auto" w:fill="0000EE"/>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60" w:type="dxa"/>
            <w:vAlign w:val="bottom"/>
          </w:tcPr>
          <w:p>
            <w:pPr>
              <w:spacing w:after="0"/>
              <w:rPr>
                <w:sz w:val="24"/>
                <w:szCs w:val="24"/>
                <w:color w:val="auto"/>
              </w:rPr>
            </w:pPr>
          </w:p>
        </w:tc>
        <w:tc>
          <w:tcPr>
            <w:tcW w:w="28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2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gridSpan w:val="9"/>
            <w:shd w:val="clear" w:color="auto" w:fill="0000EE"/>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w:t>
            </w:r>
          </w:p>
        </w:tc>
        <w:tc>
          <w:tcPr>
            <w:tcW w:w="36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13"/>
            <w:shd w:val="clear" w:color="auto" w:fill="0000EE"/>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101.INS</w:t>
            </w:r>
          </w:p>
        </w:tc>
        <w:tc>
          <w:tcPr>
            <w:tcW w:w="28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ind w:left="880" w:right="5259" w:hanging="5"/>
        <w:spacing w:after="0" w:line="253" w:lineRule="auto"/>
        <w:tabs>
          <w:tab w:leader="none" w:pos="9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Schema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Label Linkbase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40" w:type="dxa"/>
            <w:vAlign w:val="bottom"/>
          </w:tcPr>
          <w:p>
            <w:pPr>
              <w:spacing w:after="0"/>
              <w:rPr>
                <w:sz w:val="18"/>
                <w:szCs w:val="18"/>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(formatted as Inline XBRL and</w:t>
            </w:r>
          </w:p>
        </w:tc>
        <w:tc>
          <w:tcPr>
            <w:tcW w:w="25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05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8" w:lineRule="exact"/>
        <w:rPr>
          <w:sz w:val="20"/>
          <w:szCs w:val="20"/>
          <w:color w:val="auto"/>
        </w:rPr>
      </w:pPr>
    </w:p>
    <w:p>
      <w:pPr>
        <w:ind w:left="380" w:hanging="330"/>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2025</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2025</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60" w:lineRule="exact"/>
        <w:rPr>
          <w:sz w:val="20"/>
          <w:szCs w:val="20"/>
          <w:color w:val="auto"/>
        </w:rPr>
      </w:pPr>
    </w:p>
    <w:p>
      <w:pPr>
        <w:ind w:left="540" w:right="819" w:hanging="331"/>
        <w:spacing w:after="0" w:line="28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0" w:name="page141"/>
    <w:bookmarkEnd w:id="14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60" w:lineRule="exact"/>
        <w:rPr>
          <w:sz w:val="20"/>
          <w:szCs w:val="20"/>
          <w:color w:val="auto"/>
        </w:rPr>
      </w:pPr>
    </w:p>
    <w:p>
      <w:pPr>
        <w:ind w:left="540" w:right="819" w:hanging="331"/>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2025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1" w:name="page142"/>
    <w:bookmarkEnd w:id="14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September 30, 2025,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5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2" w:name="page143"/>
    <w:bookmarkEnd w:id="14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September 30, 2025,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lowerRoman"/>
      <w:start w:val="1"/>
    </w:lvl>
  </w:abstractNum>
  <w:abstractNum w:abstractNumId="10">
    <w:nsid w:val="5C482A97"/>
    <w:multiLevelType w:val="hybridMultilevel"/>
    <w:lvl w:ilvl="0">
      <w:lvlJc w:val="left"/>
      <w:lvlText w:val="(%1)"/>
      <w:numFmt w:val="lowerRoman"/>
      <w:start w:val="2"/>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lvl w:ilvl="1">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bullet"/>
      <w:start w:val="1"/>
    </w:lvl>
  </w:abstractNum>
  <w:abstractNum w:abstractNumId="15">
    <w:nsid w:val="580BD78F"/>
    <w:multiLevelType w:val="hybridMultilevel"/>
    <w:lvl w:ilvl="0">
      <w:lvlJc w:val="left"/>
      <w:lvlText w:val="3"/>
      <w:numFmt w:val="bullet"/>
      <w:start w:val="1"/>
    </w:lvl>
  </w:abstractNum>
  <w:abstractNum w:abstractNumId="16">
    <w:nsid w:val="153EA438"/>
    <w:multiLevelType w:val="hybridMultilevel"/>
    <w:lvl w:ilvl="0">
      <w:lvlJc w:val="left"/>
      <w:lvlText w:val="3"/>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upperLetter"/>
      <w:start w:val="35"/>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57" Type="http://schemas.openxmlformats.org/officeDocument/2006/relationships/hyperlink" Target="https://www.sec.gov/Archives/edgar/data/1720893/000155837021011074/btai-20210630xex3d1.htm" TargetMode="External"/><Relationship Id="rId158" Type="http://schemas.openxmlformats.org/officeDocument/2006/relationships/hyperlink" Target="https://www.sec.gov/Archives/edgar/data/1720893/000110465924070503/tm249625d6_ex3-1.htm" TargetMode="External"/><Relationship Id="rId159" Type="http://schemas.openxmlformats.org/officeDocument/2006/relationships/hyperlink" Target="https://www.sec.gov/Archives/edgar/data/1720893/000110465925009906/tm255604d1_ex3-1.htm" TargetMode="External"/><Relationship Id="rId160" Type="http://schemas.openxmlformats.org/officeDocument/2006/relationships/hyperlink" Target="https://www.sec.gov/Archives/edgar/data/1720893/000110465918016770/a18-8090_1ex3d2.htm" TargetMode="External"/><Relationship Id="rId161" Type="http://schemas.openxmlformats.org/officeDocument/2006/relationships/hyperlink" Target="https://www.sec.gov/Archives/edgar/data/1720893/000110465925031713/tm2511361d2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2025-11-12T08:14:31Z</dcterms:created>
  <dcterms:modified xsi:type="dcterms:W3CDTF">2025-11-12T08:14:31Z</dcterms:modified>
</cp:coreProperties>
</file>