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btai-20230331x10q.htm"/>
        <w:bookmarkStart w:id="1" w:name="ksbtai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spacing w:before="0" w:after="240"/>
        <w:ind w:left="0" w:right="0" w:hanging="0"/>
        <w:jc w:val="center"/>
        <w:rPr/>
      </w:pPr>
      <w:r>
        <w:rPr/>
        <w:t>​</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8"/>
        </w:rPr>
      </w:pPr>
      <w:bookmarkStart w:id="2" w:name="_4dc4f9c2_1b44_41e5_a53f_87cb4cc0cf4f"/>
      <w:bookmarkEnd w:id="2"/>
      <w:r>
        <w:rPr>
          <w:rFonts w:ascii="Times New Roman;Times;serif" w:hAnsi="Times New Roman;Times;serif"/>
          <w:b/>
          <w:sz w:val="28"/>
        </w:rPr>
        <w:t>UNITED STATES</w:t>
      </w:r>
    </w:p>
    <w:p>
      <w:pPr>
        <w:pStyle w:val="TextBody"/>
        <w:spacing w:before="0" w:after="2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spacing w:before="0" w:after="10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spacing w:before="0" w:after="10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Normal"/>
        <w:spacing w:before="0" w:after="0"/>
        <w:rPr>
          <w:sz w:val="4"/>
          <w:szCs w:val="4"/>
        </w:rPr>
      </w:pPr>
      <w:r>
        <w:rPr>
          <w:sz w:val="4"/>
          <w:szCs w:val="4"/>
        </w:rPr>
      </w:r>
      <w:bookmarkStart w:id="3" w:name="Tc_8TOvfpOUUUq2RwQ8z_zWCg_10_1"/>
      <w:bookmarkStart w:id="4" w:name="Tc_G5bcrnGGw0epjcsBunL0CA_9_1"/>
      <w:bookmarkStart w:id="5" w:name="Tc_1NTTyXFNSkyAXuxLWThI6A_7_0"/>
      <w:bookmarkStart w:id="6" w:name="Tc_Q4qDBepIFkG23VzG-mh1wA_5_0"/>
      <w:bookmarkStart w:id="7" w:name="Tc_dWYUEwXsBUC1ZCyFiEkb2g_3_1"/>
      <w:bookmarkStart w:id="8" w:name="Tc_CDJSA-LE3E-NTIYJfLWC8Q_1_0"/>
      <w:bookmarkStart w:id="9" w:name="_8a148e01_495a_488d_866b_6be6c4ba7e14"/>
      <w:bookmarkStart w:id="10" w:name="Tc_8TOvfpOUUUq2RwQ8z_zWCg_10_1"/>
      <w:bookmarkStart w:id="11" w:name="Tc_G5bcrnGGw0epjcsBunL0CA_9_1"/>
      <w:bookmarkStart w:id="12" w:name="Tc_1NTTyXFNSkyAXuxLWThI6A_7_0"/>
      <w:bookmarkStart w:id="13" w:name="Tc_Q4qDBepIFkG23VzG-mh1wA_5_0"/>
      <w:bookmarkStart w:id="14" w:name="Tc_dWYUEwXsBUC1ZCyFiEkb2g_3_1"/>
      <w:bookmarkStart w:id="15" w:name="Tc_CDJSA-LE3E-NTIYJfLWC8Q_1_0"/>
      <w:bookmarkStart w:id="16" w:name="_8a148e01_495a_488d_866b_6be6c4ba7e14"/>
      <w:bookmarkEnd w:id="10"/>
      <w:bookmarkEnd w:id="11"/>
      <w:bookmarkEnd w:id="12"/>
      <w:bookmarkEnd w:id="13"/>
      <w:bookmarkEnd w:id="14"/>
      <w:bookmarkEnd w:id="15"/>
      <w:bookmarkEnd w:id="16"/>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9874" w:type="dxa"/>
            <w:tcBorders/>
            <w:shd w:fill="auto" w:val="clear"/>
            <w:vAlign w:val="center"/>
          </w:tcPr>
          <w:p>
            <w:pPr>
              <w:pStyle w:val="TableContents"/>
              <w:spacing w:before="0" w:after="283"/>
              <w:ind w:left="0" w:right="0" w:hanging="0"/>
              <w:rPr>
                <w:sz w:val="4"/>
                <w:szCs w:val="4"/>
              </w:rPr>
            </w:pPr>
            <w:r>
              <w:rPr>
                <w:sz w:val="4"/>
                <w:szCs w:val="4"/>
              </w:rPr>
            </w:r>
          </w:p>
        </w:tc>
      </w:tr>
      <w:tr>
        <w:trPr/>
        <w:tc>
          <w:tcPr>
            <w:tcW w:w="10205" w:type="dxa"/>
            <w:gridSpan w:val="2"/>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(Mark One)</w:t>
            </w:r>
          </w:p>
        </w:tc>
      </w:tr>
      <w:tr>
        <w:trPr/>
        <w:tc>
          <w:tcPr>
            <w:tcW w:w="10205" w:type="dxa"/>
            <w:gridSpan w:val="2"/>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0"/>
              <w:ind w:left="0" w:right="0" w:hanging="0"/>
              <w:jc w:val="center"/>
              <w:rPr/>
            </w:pPr>
            <w:r>
              <w:rPr/>
              <w:t>☒</w:t>
            </w:r>
          </w:p>
        </w:tc>
        <w:tc>
          <w:tcPr>
            <w:tcW w:w="987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r>
        <w:trPr/>
        <w:tc>
          <w:tcPr>
            <w:tcW w:w="10205" w:type="dxa"/>
            <w:gridSpan w:val="2"/>
            <w:tcBorders/>
            <w:shd w:fill="auto" w:val="clear"/>
            <w:vAlign w:val="center"/>
          </w:tcPr>
          <w:p>
            <w:pPr>
              <w:pStyle w:val="TableContents"/>
              <w:spacing w:before="0" w:after="0"/>
              <w:ind w:left="0" w:right="0" w:hanging="0"/>
              <w:rPr/>
            </w:pPr>
            <w:r>
              <w:rPr/>
              <w:t>​</w:t>
            </w:r>
          </w:p>
        </w:tc>
      </w:tr>
      <w:tr>
        <w:trPr/>
        <w:tc>
          <w:tcPr>
            <w:tcW w:w="102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2023</w:t>
            </w:r>
          </w:p>
        </w:tc>
      </w:tr>
      <w:tr>
        <w:trPr/>
        <w:tc>
          <w:tcPr>
            <w:tcW w:w="10205" w:type="dxa"/>
            <w:gridSpan w:val="2"/>
            <w:tcBorders/>
            <w:shd w:fill="auto" w:val="clear"/>
            <w:vAlign w:val="center"/>
          </w:tcPr>
          <w:p>
            <w:pPr>
              <w:pStyle w:val="TableContents"/>
              <w:spacing w:before="0" w:after="0"/>
              <w:ind w:left="0" w:right="0" w:hanging="0"/>
              <w:jc w:val="center"/>
              <w:rPr/>
            </w:pPr>
            <w:r>
              <w:rPr/>
              <w:t>​</w:t>
            </w:r>
          </w:p>
        </w:tc>
      </w:tr>
      <w:tr>
        <w:trPr/>
        <w:tc>
          <w:tcPr>
            <w:tcW w:w="102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tc>
      </w:tr>
      <w:tr>
        <w:trPr/>
        <w:tc>
          <w:tcPr>
            <w:tcW w:w="10205" w:type="dxa"/>
            <w:gridSpan w:val="2"/>
            <w:tcBorders/>
            <w:shd w:fill="auto" w:val="clear"/>
            <w:vAlign w:val="center"/>
          </w:tcPr>
          <w:p>
            <w:pPr>
              <w:pStyle w:val="TableContents"/>
              <w:spacing w:before="0" w:after="0"/>
              <w:ind w:left="0" w:right="0" w:hanging="0"/>
              <w:jc w:val="center"/>
              <w:rPr/>
            </w:pPr>
            <w:r>
              <w:rPr/>
              <w:t>​</w:t>
            </w:r>
          </w:p>
        </w:tc>
      </w:tr>
      <w:tr>
        <w:trPr/>
        <w:tc>
          <w:tcPr>
            <w:tcW w:w="331" w:type="dxa"/>
            <w:tcBorders/>
            <w:shd w:fill="auto" w:val="clear"/>
            <w:vAlign w:val="center"/>
          </w:tcPr>
          <w:p>
            <w:pPr>
              <w:pStyle w:val="TableContents"/>
              <w:spacing w:before="0" w:after="0"/>
              <w:ind w:left="0" w:right="0" w:hanging="0"/>
              <w:jc w:val="center"/>
              <w:rPr/>
            </w:pPr>
            <w:r>
              <w:rPr/>
              <w:t>☐</w:t>
            </w:r>
          </w:p>
        </w:tc>
        <w:tc>
          <w:tcPr>
            <w:tcW w:w="987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331" w:type="dxa"/>
            <w:tcBorders/>
            <w:shd w:fill="auto" w:val="clear"/>
            <w:vAlign w:val="center"/>
          </w:tcPr>
          <w:p>
            <w:pPr>
              <w:pStyle w:val="TableContents"/>
              <w:spacing w:before="0" w:after="0"/>
              <w:ind w:left="0" w:right="0" w:hanging="0"/>
              <w:jc w:val="center"/>
              <w:rPr/>
            </w:pPr>
            <w:r>
              <w:rPr/>
              <w:t>​</w:t>
            </w:r>
          </w:p>
        </w:tc>
        <w:tc>
          <w:tcPr>
            <w:tcW w:w="9874"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001-38410</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BioXcel Therapeutics, Inc.</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Normal"/>
        <w:spacing w:before="0" w:after="0"/>
        <w:rPr>
          <w:sz w:val="4"/>
          <w:szCs w:val="4"/>
        </w:rPr>
      </w:pPr>
      <w:r>
        <w:rPr>
          <w:sz w:val="4"/>
          <w:szCs w:val="4"/>
        </w:rPr>
      </w:r>
      <w:bookmarkStart w:id="17" w:name="Tc_a5BL8k-CNkeLTnqqHZQWdA_7_1"/>
      <w:bookmarkStart w:id="18" w:name="Tc_9OBxA4CPTkua2ebhBAIG2w_7_0"/>
      <w:bookmarkStart w:id="19" w:name="Tc_QYz8LVVhFUKREzKOelaaBw_6_0"/>
      <w:bookmarkStart w:id="20" w:name="Tc_5hJJ3H4CuEivy7SA-Xy4mw_3_1"/>
      <w:bookmarkStart w:id="21" w:name="Tc_Fh4atAIL-EeMtb23UmN40w_3_0"/>
      <w:bookmarkStart w:id="22" w:name="_2a788f4d_2bf8_41d4_a2de_63cd207d5bd6"/>
      <w:bookmarkStart w:id="23" w:name="Tc_a5BL8k-CNkeLTnqqHZQWdA_7_1"/>
      <w:bookmarkStart w:id="24" w:name="Tc_9OBxA4CPTkua2ebhBAIG2w_7_0"/>
      <w:bookmarkStart w:id="25" w:name="Tc_QYz8LVVhFUKREzKOelaaBw_6_0"/>
      <w:bookmarkStart w:id="26" w:name="Tc_5hJJ3H4CuEivy7SA-Xy4mw_3_1"/>
      <w:bookmarkStart w:id="27" w:name="Tc_Fh4atAIL-EeMtb23UmN40w_3_0"/>
      <w:bookmarkStart w:id="28" w:name="_2a788f4d_2bf8_41d4_a2de_63cd207d5bd6"/>
      <w:bookmarkEnd w:id="23"/>
      <w:bookmarkEnd w:id="24"/>
      <w:bookmarkEnd w:id="25"/>
      <w:bookmarkEnd w:id="26"/>
      <w:bookmarkEnd w:id="27"/>
      <w:bookmarkEnd w:id="28"/>
    </w:p>
    <w:tbl>
      <w:tblPr>
        <w:tblW w:w="4307" w:type="dxa"/>
        <w:jc w:val="left"/>
        <w:tblInd w:w="0" w:type="dxa"/>
        <w:tblCellMar>
          <w:top w:w="0" w:type="dxa"/>
          <w:left w:w="0" w:type="dxa"/>
          <w:bottom w:w="0" w:type="dxa"/>
          <w:right w:w="0" w:type="dxa"/>
        </w:tblCellMar>
      </w:tblPr>
      <w:tblGrid>
        <w:gridCol w:w="2866"/>
        <w:gridCol w:w="1441"/>
      </w:tblGrid>
      <w:tr>
        <w:trPr/>
        <w:tc>
          <w:tcPr>
            <w:tcW w:w="2866" w:type="dxa"/>
            <w:tcBorders/>
            <w:shd w:fill="auto" w:val="clear"/>
            <w:vAlign w:val="center"/>
          </w:tcPr>
          <w:p>
            <w:pPr>
              <w:pStyle w:val="TableContents"/>
              <w:spacing w:before="0" w:after="0"/>
              <w:ind w:left="0" w:right="0" w:hanging="0"/>
              <w:rPr/>
            </w:pPr>
            <w:r>
              <w:rPr/>
              <w:t>​</w:t>
            </w:r>
          </w:p>
        </w:tc>
        <w:tc>
          <w:tcPr>
            <w:tcW w:w="1441" w:type="dxa"/>
            <w:tcBorders/>
            <w:shd w:fill="auto" w:val="clear"/>
            <w:vAlign w:val="center"/>
          </w:tcPr>
          <w:p>
            <w:pPr>
              <w:pStyle w:val="TableContents"/>
              <w:spacing w:before="0" w:after="0"/>
              <w:ind w:left="0" w:right="0" w:hanging="0"/>
              <w:rPr/>
            </w:pPr>
            <w:r>
              <w:rPr/>
              <w:t>​</w:t>
            </w:r>
          </w:p>
        </w:tc>
      </w:tr>
      <w:tr>
        <w:trPr/>
        <w:tc>
          <w:tcPr>
            <w:tcW w:w="2866" w:type="dxa"/>
            <w:tcBorders/>
            <w:shd w:fill="auto" w:val="clear"/>
            <w:vAlign w:val="center"/>
          </w:tcPr>
          <w:p>
            <w:pPr>
              <w:pStyle w:val="TableContents"/>
              <w:spacing w:before="0" w:after="0"/>
              <w:ind w:left="0" w:right="0" w:hanging="0"/>
              <w:rPr/>
            </w:pPr>
            <w:r>
              <w:rPr/>
              <w:t>​</w:t>
            </w:r>
          </w:p>
        </w:tc>
        <w:tc>
          <w:tcPr>
            <w:tcW w:w="1441" w:type="dxa"/>
            <w:tcBorders/>
            <w:shd w:fill="auto" w:val="clear"/>
            <w:vAlign w:val="center"/>
          </w:tcPr>
          <w:p>
            <w:pPr>
              <w:pStyle w:val="TableContents"/>
              <w:spacing w:before="0" w:after="0"/>
              <w:ind w:left="0" w:right="0" w:hanging="0"/>
              <w:rPr/>
            </w:pPr>
            <w:r>
              <w:rPr/>
              <w:t>​</w:t>
            </w:r>
          </w:p>
        </w:tc>
      </w:tr>
      <w:tr>
        <w:trPr/>
        <w:tc>
          <w:tcPr>
            <w:tcW w:w="28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82-1386754</w:t>
            </w:r>
          </w:p>
        </w:tc>
      </w:tr>
      <w:tr>
        <w:trPr/>
        <w:tc>
          <w:tcPr>
            <w:tcW w:w="2866" w:type="dxa"/>
            <w:tcBorders/>
            <w:shd w:fill="auto" w:val="clear"/>
            <w:vAlign w:val="center"/>
          </w:tcPr>
          <w:p>
            <w:pPr>
              <w:pStyle w:val="TableContents"/>
              <w:pBdr/>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No.)</w:t>
            </w:r>
          </w:p>
        </w:tc>
      </w:tr>
      <w:tr>
        <w:trPr/>
        <w:tc>
          <w:tcPr>
            <w:tcW w:w="2866" w:type="dxa"/>
            <w:tcBorders/>
            <w:shd w:fill="auto" w:val="clear"/>
            <w:vAlign w:val="center"/>
          </w:tcPr>
          <w:p>
            <w:pPr>
              <w:pStyle w:val="TableContents"/>
              <w:spacing w:before="0" w:after="240"/>
              <w:ind w:left="0" w:right="0" w:hanging="0"/>
              <w:jc w:val="center"/>
              <w:rPr/>
            </w:pPr>
            <w:r>
              <w:rPr/>
              <w:t>​</w:t>
            </w:r>
          </w:p>
        </w:tc>
        <w:tc>
          <w:tcPr>
            <w:tcW w:w="1441" w:type="dxa"/>
            <w:tcBorders/>
            <w:shd w:fill="auto" w:val="clear"/>
            <w:vAlign w:val="center"/>
          </w:tcPr>
          <w:p>
            <w:pPr>
              <w:pStyle w:val="TableContents"/>
              <w:spacing w:before="0" w:after="240"/>
              <w:ind w:left="0" w:right="0" w:hanging="0"/>
              <w:jc w:val="center"/>
              <w:rPr/>
            </w:pPr>
            <w:r>
              <w:rPr/>
              <w:t>​</w:t>
            </w:r>
          </w:p>
        </w:tc>
      </w:tr>
      <w:tr>
        <w:trPr/>
        <w:tc>
          <w:tcPr>
            <w:tcW w:w="2866" w:type="dxa"/>
            <w:tcBorders/>
            <w:shd w:fill="auto" w:val="clear"/>
            <w:vAlign w:val="center"/>
          </w:tcPr>
          <w:p>
            <w:pPr>
              <w:pStyle w:val="TableContents"/>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555 Long Wharf Drive</w:t>
            </w:r>
          </w:p>
        </w:tc>
        <w:tc>
          <w:tcPr>
            <w:tcW w:w="1441" w:type="dxa"/>
            <w:tcBorders/>
            <w:shd w:fill="auto" w:val="clear"/>
            <w:vAlign w:val="center"/>
          </w:tcPr>
          <w:p>
            <w:pPr>
              <w:pStyle w:val="TableContents"/>
              <w:spacing w:before="0" w:after="240"/>
              <w:ind w:left="0" w:right="0" w:hanging="0"/>
              <w:jc w:val="center"/>
              <w:rPr/>
            </w:pPr>
            <w:r>
              <w:rPr/>
              <w:t>​</w:t>
            </w:r>
          </w:p>
        </w:tc>
      </w:tr>
      <w:tr>
        <w:trPr/>
        <w:tc>
          <w:tcPr>
            <w:tcW w:w="2866" w:type="dxa"/>
            <w:tcBorders/>
            <w:shd w:fill="auto" w:val="clear"/>
            <w:vAlign w:val="center"/>
          </w:tcPr>
          <w:p>
            <w:pPr>
              <w:pStyle w:val="TableContents"/>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New Haven, CT</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06511</w:t>
            </w:r>
          </w:p>
        </w:tc>
      </w:tr>
      <w:tr>
        <w:trPr/>
        <w:tc>
          <w:tcPr>
            <w:tcW w:w="2866" w:type="dxa"/>
            <w:tcBorders/>
            <w:shd w:fill="auto" w:val="clear"/>
            <w:vAlign w:val="center"/>
          </w:tcPr>
          <w:p>
            <w:pPr>
              <w:pStyle w:val="TableContents"/>
              <w:pBdr/>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(475) 238-6837</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(Former name, former address and former fiscal year, if changed since last report)</w:t>
      </w:r>
    </w:p>
    <w:p>
      <w:pPr>
        <w:pStyle w:val="TextBody"/>
        <w:spacing w:before="0" w:after="240"/>
        <w:ind w:left="0" w:right="0" w:hanging="0"/>
        <w:jc w:val="center"/>
        <w:rPr/>
      </w:pPr>
      <w:r>
        <w:rPr/>
        <w:t>​</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29" w:name="Tc_ClSrHrMdt0ilcd9cBxmzDw_5_4"/>
      <w:bookmarkStart w:id="30" w:name="Tc_5cOLUP2h70GskjrY3xohDA_5_0"/>
      <w:bookmarkStart w:id="31" w:name="Tc_UtD1UXMgzkmp-GYugK6XGg_4_4"/>
      <w:bookmarkStart w:id="32" w:name="Tc_V7yEec0rx0qtuto7xE2vsQ_4_2"/>
      <w:bookmarkStart w:id="33" w:name="Tc_-spURZ7gH02WeUtybh6YqA_4_0"/>
      <w:bookmarkStart w:id="34" w:name="Tc_ZqXdjWeyqUqCfw7n4c2BnA_2_0"/>
      <w:bookmarkStart w:id="35" w:name="_b8579348_8ad9_4f20_8f21_12e843bbbb48"/>
      <w:bookmarkStart w:id="36" w:name="Tc_ClSrHrMdt0ilcd9cBxmzDw_5_4"/>
      <w:bookmarkStart w:id="37" w:name="Tc_5cOLUP2h70GskjrY3xohDA_5_0"/>
      <w:bookmarkStart w:id="38" w:name="Tc_UtD1UXMgzkmp-GYugK6XGg_4_4"/>
      <w:bookmarkStart w:id="39" w:name="Tc_V7yEec0rx0qtuto7xE2vsQ_4_2"/>
      <w:bookmarkStart w:id="40" w:name="Tc_-spURZ7gH02WeUtybh6YqA_4_0"/>
      <w:bookmarkStart w:id="41" w:name="Tc_ZqXdjWeyqUqCfw7n4c2BnA_2_0"/>
      <w:bookmarkStart w:id="42" w:name="_b8579348_8ad9_4f20_8f21_12e843bbbb48"/>
      <w:bookmarkEnd w:id="36"/>
      <w:bookmarkEnd w:id="37"/>
      <w:bookmarkEnd w:id="38"/>
      <w:bookmarkEnd w:id="39"/>
      <w:bookmarkEnd w:id="40"/>
      <w:bookmarkEnd w:id="41"/>
      <w:bookmarkEnd w:id="42"/>
    </w:p>
    <w:tbl>
      <w:tblPr>
        <w:tblW w:w="6971" w:type="dxa"/>
        <w:jc w:val="left"/>
        <w:tblInd w:w="0" w:type="dxa"/>
        <w:tblCellMar>
          <w:top w:w="0" w:type="dxa"/>
          <w:left w:w="0" w:type="dxa"/>
          <w:bottom w:w="0" w:type="dxa"/>
          <w:right w:w="0" w:type="dxa"/>
        </w:tblCellMar>
      </w:tblPr>
      <w:tblGrid>
        <w:gridCol w:w="1981"/>
        <w:gridCol w:w="109"/>
        <w:gridCol w:w="1456"/>
        <w:gridCol w:w="109"/>
        <w:gridCol w:w="3316"/>
      </w:tblGrid>
      <w:tr>
        <w:trPr/>
        <w:tc>
          <w:tcPr>
            <w:tcW w:w="198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0"/>
              <w:ind w:left="0" w:right="0" w:hanging="0"/>
              <w:rPr/>
            </w:pPr>
            <w:r>
              <w:rPr/>
              <w:t>​</w:t>
            </w:r>
          </w:p>
        </w:tc>
        <w:tc>
          <w:tcPr>
            <w:tcW w:w="3316" w:type="dxa"/>
            <w:tcBorders/>
            <w:shd w:fill="auto" w:val="clear"/>
            <w:vAlign w:val="center"/>
          </w:tcPr>
          <w:p>
            <w:pPr>
              <w:pStyle w:val="TableContents"/>
              <w:spacing w:before="0" w:after="283"/>
              <w:ind w:left="0" w:right="0" w:hanging="0"/>
              <w:rPr>
                <w:sz w:val="4"/>
                <w:szCs w:val="4"/>
              </w:rPr>
            </w:pPr>
            <w:r>
              <w:rPr>
                <w:sz w:val="4"/>
                <w:szCs w:val="4"/>
              </w:rPr>
            </w:r>
          </w:p>
        </w:tc>
      </w:tr>
      <w:tr>
        <w:trPr/>
        <w:tc>
          <w:tcPr>
            <w:tcW w:w="198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0"/>
              <w:ind w:left="0" w:right="0" w:hanging="0"/>
              <w:rPr/>
            </w:pPr>
            <w:r>
              <w:rPr/>
              <w:t>​</w:t>
            </w:r>
          </w:p>
        </w:tc>
        <w:tc>
          <w:tcPr>
            <w:tcW w:w="3316" w:type="dxa"/>
            <w:tcBorders/>
            <w:shd w:fill="auto" w:val="clear"/>
            <w:vAlign w:val="center"/>
          </w:tcPr>
          <w:p>
            <w:pPr>
              <w:pStyle w:val="TableContents"/>
              <w:spacing w:before="0" w:after="283"/>
              <w:ind w:left="0" w:right="0" w:hanging="0"/>
              <w:rPr>
                <w:sz w:val="4"/>
                <w:szCs w:val="4"/>
              </w:rPr>
            </w:pPr>
            <w:r>
              <w:rPr>
                <w:sz w:val="4"/>
                <w:szCs w:val="4"/>
              </w:rPr>
            </w:r>
          </w:p>
        </w:tc>
      </w:tr>
      <w:tr>
        <w:trPr/>
        <w:tc>
          <w:tcPr>
            <w:tcW w:w="6971"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tc>
      </w:tr>
      <w:tr>
        <w:trPr/>
        <w:tc>
          <w:tcPr>
            <w:tcW w:w="6971" w:type="dxa"/>
            <w:gridSpan w:val="5"/>
            <w:tcBorders/>
            <w:shd w:fill="auto" w:val="clear"/>
            <w:vAlign w:val="center"/>
          </w:tcPr>
          <w:p>
            <w:pPr>
              <w:pStyle w:val="TableContents"/>
              <w:spacing w:before="0" w:after="0"/>
              <w:ind w:left="0" w:right="0" w:hanging="0"/>
              <w:jc w:val="center"/>
              <w:rPr/>
            </w:pPr>
            <w:r>
              <w:rPr/>
              <w:t>​</w:t>
            </w:r>
          </w:p>
        </w:tc>
      </w:tr>
      <w:tr>
        <w:trPr/>
        <w:tc>
          <w:tcPr>
            <w:tcW w:w="19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109" w:type="dxa"/>
            <w:tcBorders/>
            <w:shd w:fill="auto" w:val="clear"/>
            <w:vAlign w:val="center"/>
          </w:tcPr>
          <w:p>
            <w:pPr>
              <w:pStyle w:val="TableContents"/>
              <w:spacing w:before="0" w:after="0"/>
              <w:ind w:left="0" w:right="0" w:hanging="0"/>
              <w:rPr/>
            </w:pPr>
            <w:r>
              <w:rPr/>
              <w:t>​</w:t>
            </w:r>
          </w:p>
        </w:tc>
        <w:tc>
          <w:tcPr>
            <w:tcW w:w="33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98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w:t>
              <w:br/>
              <w:t>$0.001 par value per share</w:t>
            </w:r>
          </w:p>
        </w:tc>
        <w:tc>
          <w:tcPr>
            <w:tcW w:w="109"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BTAI</w:t>
            </w:r>
          </w:p>
        </w:tc>
        <w:tc>
          <w:tcPr>
            <w:tcW w:w="109" w:type="dxa"/>
            <w:tcBorders/>
            <w:shd w:fill="auto" w:val="clear"/>
            <w:vAlign w:val="center"/>
          </w:tcPr>
          <w:p>
            <w:pPr>
              <w:pStyle w:val="TableContents"/>
              <w:spacing w:before="0" w:after="0"/>
              <w:ind w:left="0" w:right="0" w:hanging="0"/>
              <w:rPr/>
            </w:pPr>
            <w:r>
              <w:rPr/>
              <w:t>​</w:t>
            </w:r>
          </w:p>
        </w:tc>
        <w:tc>
          <w:tcPr>
            <w:tcW w:w="331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6"/>
              </w:rPr>
              <w:t>Nasdaq</w:t>
            </w:r>
            <w:r>
              <w:rPr>
                <w:rFonts w:ascii="Times New Roman;Times;serif" w:hAnsi="Times New Roman;Times;serif"/>
                <w:sz w:val="20"/>
              </w:rPr>
              <w:t xml:space="preserve"> </w:t>
            </w:r>
            <w:r>
              <w:rPr>
                <w:rFonts w:ascii="Times New Roman;Times;serif" w:hAnsi="Times New Roman;Times;serif"/>
                <w:sz w:val="16"/>
              </w:rPr>
              <w:t>Capital Market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240"/>
        <w:ind w:left="0" w:right="0" w:hanging="0"/>
        <w:rPr/>
      </w:pPr>
      <w:r>
        <w:rPr/>
        <w:t>​</w:t>
      </w:r>
    </w:p>
    <w:tbl>
      <w:tblPr>
        <w:tblW w:w="4157" w:type="dxa"/>
        <w:jc w:val="left"/>
        <w:tblInd w:w="0" w:type="dxa"/>
        <w:tblCellMar>
          <w:top w:w="0" w:type="dxa"/>
          <w:left w:w="0" w:type="dxa"/>
          <w:bottom w:w="0" w:type="dxa"/>
          <w:right w:w="0" w:type="dxa"/>
        </w:tblCellMar>
      </w:tblPr>
      <w:tblGrid>
        <w:gridCol w:w="1861"/>
        <w:gridCol w:w="2296"/>
      </w:tblGrid>
      <w:tr>
        <w:trPr/>
        <w:tc>
          <w:tcPr>
            <w:tcW w:w="1861" w:type="dxa"/>
            <w:tcBorders/>
            <w:shd w:fill="auto" w:val="clear"/>
            <w:vAlign w:val="center"/>
          </w:tcPr>
          <w:p>
            <w:pPr>
              <w:pStyle w:val="TableContents"/>
              <w:spacing w:before="0" w:after="283"/>
              <w:ind w:left="0" w:right="0" w:hanging="0"/>
              <w:rPr>
                <w:sz w:val="4"/>
                <w:szCs w:val="4"/>
              </w:rPr>
            </w:pPr>
            <w:r>
              <w:rPr>
                <w:sz w:val="4"/>
                <w:szCs w:val="4"/>
              </w:rPr>
            </w:r>
          </w:p>
        </w:tc>
        <w:tc>
          <w:tcPr>
            <w:tcW w:w="2296" w:type="dxa"/>
            <w:tcBorders/>
            <w:shd w:fill="auto" w:val="clear"/>
            <w:vAlign w:val="center"/>
          </w:tcPr>
          <w:p>
            <w:pPr>
              <w:pStyle w:val="TableContents"/>
              <w:spacing w:before="0" w:after="283"/>
              <w:ind w:left="0" w:right="0" w:hanging="0"/>
              <w:rPr>
                <w:sz w:val="4"/>
                <w:szCs w:val="4"/>
              </w:rPr>
            </w:pPr>
            <w:r>
              <w:rPr>
                <w:sz w:val="4"/>
                <w:szCs w:val="4"/>
              </w:rPr>
            </w:r>
          </w:p>
        </w:tc>
      </w:tr>
      <w:tr>
        <w:trPr/>
        <w:tc>
          <w:tcPr>
            <w:tcW w:w="1861" w:type="dxa"/>
            <w:tcBorders/>
            <w:shd w:fill="auto" w:val="clear"/>
            <w:vAlign w:val="center"/>
          </w:tcPr>
          <w:p>
            <w:pPr>
              <w:pStyle w:val="TableContents"/>
              <w:pBdr/>
              <w:spacing w:before="0" w:after="0"/>
              <w:ind w:left="0" w:right="0" w:hanging="0"/>
              <w:jc w:val="center"/>
              <w:rPr>
                <w:rFonts w:ascii="Times New Roman;Times;serif" w:hAnsi="Times New Roman;Times;serif"/>
                <w:sz w:val="16"/>
              </w:rPr>
            </w:pPr>
            <w:r>
              <w:rPr>
                <w:rFonts w:ascii="Times New Roman;Times;serif" w:hAnsi="Times New Roman;Times;serif"/>
                <w:sz w:val="16"/>
              </w:rPr>
              <w:t>Large accelerated filer ☐</w:t>
            </w:r>
          </w:p>
        </w:tc>
        <w:tc>
          <w:tcPr>
            <w:tcW w:w="229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r>
      <w:tr>
        <w:trPr/>
        <w:tc>
          <w:tcPr>
            <w:tcW w:w="1861" w:type="dxa"/>
            <w:tcBorders/>
            <w:shd w:fill="auto" w:val="clear"/>
            <w:vAlign w:val="center"/>
          </w:tcPr>
          <w:p>
            <w:pPr>
              <w:pStyle w:val="TableContents"/>
              <w:spacing w:before="0" w:after="240"/>
              <w:ind w:left="0" w:right="0" w:hanging="0"/>
              <w:jc w:val="center"/>
              <w:rPr/>
            </w:pPr>
            <w:r>
              <w:rPr/>
              <w:t>​</w:t>
            </w:r>
          </w:p>
        </w:tc>
        <w:tc>
          <w:tcPr>
            <w:tcW w:w="2296" w:type="dxa"/>
            <w:tcBorders/>
            <w:shd w:fill="auto" w:val="clear"/>
            <w:vAlign w:val="center"/>
          </w:tcPr>
          <w:p>
            <w:pPr>
              <w:pStyle w:val="TableContents"/>
              <w:spacing w:before="0" w:after="240"/>
              <w:ind w:left="0" w:right="0" w:hanging="0"/>
              <w:jc w:val="center"/>
              <w:rPr/>
            </w:pPr>
            <w:r>
              <w:rPr/>
              <w:t>​</w:t>
            </w:r>
          </w:p>
        </w:tc>
      </w:tr>
      <w:tr>
        <w:trPr/>
        <w:tc>
          <w:tcPr>
            <w:tcW w:w="1861" w:type="dxa"/>
            <w:tcBorders/>
            <w:shd w:fill="auto" w:val="clear"/>
            <w:vAlign w:val="center"/>
          </w:tcPr>
          <w:p>
            <w:pPr>
              <w:pStyle w:val="TableContents"/>
              <w:pBdr/>
              <w:spacing w:before="0" w:after="0"/>
              <w:ind w:left="0" w:right="0" w:hanging="0"/>
              <w:jc w:val="center"/>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xml:space="preserve"> ☒</w:t>
            </w:r>
          </w:p>
        </w:tc>
        <w:tc>
          <w:tcPr>
            <w:tcW w:w="229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Smaller reporting company </w:t>
            </w:r>
            <w:r>
              <w:rPr>
                <w:rFonts w:ascii="Times New Roman;Times;serif" w:hAnsi="Times New Roman;Times;serif"/>
                <w:sz w:val="20"/>
              </w:rPr>
              <w:t>☒</w:t>
            </w:r>
          </w:p>
        </w:tc>
      </w:tr>
      <w:tr>
        <w:trPr/>
        <w:tc>
          <w:tcPr>
            <w:tcW w:w="1861" w:type="dxa"/>
            <w:tcBorders/>
            <w:shd w:fill="auto" w:val="clear"/>
            <w:vAlign w:val="center"/>
          </w:tcPr>
          <w:p>
            <w:pPr>
              <w:pStyle w:val="TableContents"/>
              <w:pBdr/>
              <w:spacing w:before="0" w:after="240"/>
              <w:ind w:left="0" w:right="0" w:hanging="0"/>
              <w:jc w:val="center"/>
              <w:rPr/>
            </w:pPr>
            <w:r>
              <w:rPr/>
              <w:t>​</w:t>
            </w:r>
          </w:p>
        </w:tc>
        <w:tc>
          <w:tcPr>
            <w:tcW w:w="2296" w:type="dxa"/>
            <w:tcBorders/>
            <w:shd w:fill="auto" w:val="clear"/>
            <w:vAlign w:val="center"/>
          </w:tcPr>
          <w:p>
            <w:pPr>
              <w:pStyle w:val="TableContents"/>
              <w:spacing w:before="0" w:after="240"/>
              <w:ind w:left="0" w:right="0" w:hanging="0"/>
              <w:jc w:val="center"/>
              <w:rPr/>
            </w:pPr>
            <w:r>
              <w:rPr/>
              <w:t>​</w:t>
            </w:r>
          </w:p>
        </w:tc>
      </w:tr>
      <w:tr>
        <w:trPr/>
        <w:tc>
          <w:tcPr>
            <w:tcW w:w="1861" w:type="dxa"/>
            <w:tcBorders/>
            <w:shd w:fill="auto" w:val="clear"/>
            <w:vAlign w:val="center"/>
          </w:tcPr>
          <w:p>
            <w:pPr>
              <w:pStyle w:val="TableContents"/>
              <w:pBdr/>
              <w:spacing w:before="0" w:after="240"/>
              <w:ind w:left="0" w:right="0" w:hanging="0"/>
              <w:jc w:val="center"/>
              <w:rPr/>
            </w:pPr>
            <w:r>
              <w:rPr/>
              <w:t>​</w:t>
            </w:r>
          </w:p>
        </w:tc>
        <w:tc>
          <w:tcPr>
            <w:tcW w:w="229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The number of shares of the registrant’s common stock, $0.001 par value per share, outstanding at May 3, 2023 was 29,159,638.</w:t>
      </w:r>
    </w:p>
    <w:p>
      <w:pPr>
        <w:pStyle w:val="TextBody"/>
        <w:spacing w:before="0" w:after="240"/>
        <w:ind w:left="0" w:right="0" w:firstLine="360"/>
        <w:rPr/>
      </w:pPr>
      <w:r>
        <w:rPr/>
        <w:t>​</w:t>
      </w:r>
    </w:p>
    <w:p>
      <w:pPr>
        <w:pStyle w:val="TextBody"/>
        <w:pBdr>
          <w:top w:val="single" w:sz="2" w:space="1" w:color="000000"/>
          <w:bottom w:val="single" w:sz="24" w:space="1" w:color="000000"/>
        </w:pBdr>
        <w:spacing w:before="0" w:after="240"/>
        <w:ind w:left="0" w:right="0" w:hanging="0"/>
        <w:rPr/>
      </w:pPr>
      <w:r>
        <w:rPr/>
        <w:t>​</w:t>
      </w:r>
    </w:p>
    <w:p>
      <w:pPr>
        <w:pStyle w:val="TextBody"/>
        <w:spacing w:before="0" w:after="240"/>
        <w:ind w:left="0" w:right="0" w:hanging="0"/>
        <w:rPr/>
      </w:pPr>
      <w:r>
        <w:rPr/>
        <w:t>​</w:t>
      </w:r>
    </w:p>
    <w:p>
      <w:pPr>
        <w:pStyle w:val="TextBody"/>
        <w:spacing w:before="0" w:after="240"/>
        <w:ind w:left="113"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0" w:right="0" w:hanging="0"/>
        <w:jc w:val="center"/>
        <w:rPr>
          <w:rFonts w:ascii="Times New Roman;Times;serif" w:hAnsi="Times New Roman;Times;serif"/>
          <w:b/>
          <w:sz w:val="20"/>
        </w:rPr>
      </w:pPr>
      <w:bookmarkStart w:id="43" w:name="TOC"/>
      <w:bookmarkStart w:id="44" w:name="_19304414_65c9_43eb_8870_07f14b33371e"/>
      <w:bookmarkEnd w:id="43"/>
      <w:bookmarkEnd w:id="44"/>
      <w:r>
        <w:rPr>
          <w:rFonts w:ascii="Times New Roman;Times;serif" w:hAnsi="Times New Roman;Times;serif"/>
          <w:b/>
          <w:sz w:val="20"/>
        </w:rPr>
        <w:t>Table of Contents</w:t>
      </w:r>
    </w:p>
    <w:tbl>
      <w:tblPr>
        <w:tblW w:w="10205" w:type="dxa"/>
        <w:jc w:val="left"/>
        <w:tblInd w:w="0" w:type="dxa"/>
        <w:tblCellMar>
          <w:top w:w="0" w:type="dxa"/>
          <w:left w:w="0" w:type="dxa"/>
          <w:bottom w:w="0" w:type="dxa"/>
          <w:right w:w="0" w:type="dxa"/>
        </w:tblCellMar>
      </w:tblPr>
      <w:tblGrid>
        <w:gridCol w:w="818"/>
        <w:gridCol w:w="8875"/>
        <w:gridCol w:w="512"/>
      </w:tblGrid>
      <w:tr>
        <w:trPr/>
        <w:tc>
          <w:tcPr>
            <w:tcW w:w="8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19430" cy="175260"/>
                      <wp:effectExtent l="0" t="0" r="0" b="0"/>
                      <wp:wrapNone/>
                      <wp:docPr id="1" name="Frame1"/>
                      <a:graphic xmlns:a="http://schemas.openxmlformats.org/drawingml/2006/main">
                        <a:graphicData uri="http://schemas.microsoft.com/office/word/2010/wordprocessingShape">
                          <wps:wsp>
                            <wps:cNvSpPr txBox="1"/>
                            <wps:spPr>
                              <a:xfrm>
                                <a:off x="0" y="0"/>
                                <a:ext cx="519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635625" cy="175260"/>
                      <wp:effectExtent l="0" t="0" r="0" b="0"/>
                      <wp:wrapNone/>
                      <wp:docPr id="2" name="Frame2"/>
                      <a:graphic xmlns:a="http://schemas.openxmlformats.org/drawingml/2006/main">
                        <a:graphicData uri="http://schemas.microsoft.com/office/word/2010/wordprocessingShape">
                          <wps:wsp>
                            <wps:cNvSpPr txBox="1"/>
                            <wps:spPr>
                              <a:xfrm>
                                <a:off x="0" y="0"/>
                                <a:ext cx="5635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25120" cy="175260"/>
                      <wp:effectExtent l="0" t="0" r="0" b="0"/>
                      <wp:wrapNone/>
                      <wp:docPr id="3" name="Frame3"/>
                      <a:graphic xmlns:a="http://schemas.openxmlformats.org/drawingml/2006/main">
                        <a:graphicData uri="http://schemas.microsoft.com/office/word/2010/wordprocessingShape">
                          <wps:wsp>
                            <wps:cNvSpPr txBox="1"/>
                            <wps:spPr>
                              <a:xfrm>
                                <a:off x="0" y="0"/>
                                <a:ext cx="3251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18" w:type="dxa"/>
            <w:tcBorders/>
            <w:shd w:fill="auto" w:val="clear"/>
            <w:vAlign w:val="center"/>
          </w:tcPr>
          <w:p>
            <w:pPr>
              <w:pStyle w:val="TableContents"/>
              <w:pBdr/>
              <w:spacing w:before="0" w:after="240"/>
              <w:ind w:left="0" w:right="0" w:hanging="0"/>
              <w:rPr/>
            </w:pPr>
            <w:r>
              <w:rPr/>
              <w:t>​</w:t>
            </w:r>
          </w:p>
        </w:tc>
        <w:tc>
          <w:tcPr>
            <w:tcW w:w="8875" w:type="dxa"/>
            <w:tcBorders/>
            <w:shd w:fill="auto" w:val="clear"/>
            <w:vAlign w:val="center"/>
          </w:tcPr>
          <w:p>
            <w:pPr>
              <w:pStyle w:val="TableContents"/>
              <w:spacing w:before="0" w:after="240"/>
              <w:ind w:left="0" w:right="0" w:hanging="0"/>
              <w:rPr/>
            </w:pPr>
            <w:r>
              <w:rPr/>
              <w:t>​</w:t>
            </w:r>
          </w:p>
        </w:tc>
        <w:tc>
          <w:tcPr>
            <w:tcW w:w="51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10205"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 - FINANCIAL INFORMATION</w:t>
            </w:r>
          </w:p>
        </w:tc>
      </w:tr>
      <w:tr>
        <w:trPr/>
        <w:tc>
          <w:tcPr>
            <w:tcW w:w="10205" w:type="dxa"/>
            <w:gridSpan w:val="3"/>
            <w:tcBorders/>
            <w:shd w:fill="auto" w:val="clear"/>
            <w:vAlign w:val="center"/>
          </w:tcPr>
          <w:p>
            <w:pPr>
              <w:pStyle w:val="TableContents"/>
              <w:spacing w:before="0" w:after="240"/>
              <w:ind w:left="0" w:right="0" w:hanging="0"/>
              <w:jc w:val="center"/>
              <w:rPr/>
            </w:pPr>
            <w:r>
              <w:rPr/>
              <w:t>​</w:t>
            </w:r>
          </w:p>
        </w:tc>
      </w:tr>
      <w:tr>
        <w:trPr/>
        <w:tc>
          <w:tcPr>
            <w:tcW w:w="818" w:type="dxa"/>
            <w:tcBorders/>
            <w:shd w:fill="auto" w:val="clear"/>
            <w:vAlign w:val="center"/>
          </w:tcPr>
          <w:p>
            <w:pPr>
              <w:pStyle w:val="TableContents"/>
              <w:pBdr/>
              <w:spacing w:before="0" w:after="240"/>
              <w:ind w:left="0" w:right="0" w:hanging="0"/>
              <w:rPr/>
            </w:pPr>
            <w:r>
              <w:rPr/>
              <w:t>​</w:t>
            </w:r>
          </w:p>
        </w:tc>
        <w:tc>
          <w:tcPr>
            <w:tcW w:w="8875" w:type="dxa"/>
            <w:tcBorders/>
            <w:shd w:fill="auto" w:val="clear"/>
            <w:vAlign w:val="center"/>
          </w:tcPr>
          <w:p>
            <w:pPr>
              <w:pStyle w:val="TableContents"/>
              <w:spacing w:before="0" w:after="0"/>
              <w:ind w:left="0" w:right="0" w:hanging="0"/>
              <w:rPr/>
            </w:pPr>
            <w:hyperlink w:anchor="FORWARDLOOKINGSTATEMENTS_531719">
              <w:r>
                <w:rPr>
                  <w:rStyle w:val="InternetLink"/>
                  <w:rFonts w:ascii="Times New Roman;Times;serif" w:hAnsi="Times New Roman;Times;serif"/>
                  <w:b w:val="false"/>
                  <w:i w:val="false"/>
                  <w:caps w:val="false"/>
                  <w:smallCaps w:val="false"/>
                  <w:sz w:val="20"/>
                </w:rPr>
                <w:t>Forward Looking Statements</w:t>
              </w:r>
            </w:hyperlink>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8" w:type="dxa"/>
            <w:tcBorders/>
            <w:shd w:fill="auto" w:val="clear"/>
            <w:vAlign w:val="center"/>
          </w:tcPr>
          <w:p>
            <w:pPr>
              <w:pStyle w:val="TableContents"/>
              <w:pBdr/>
              <w:spacing w:before="0" w:after="240"/>
              <w:ind w:left="0" w:right="0" w:hanging="0"/>
              <w:rPr/>
            </w:pPr>
            <w:r>
              <w:rPr/>
              <w:t>​</w:t>
            </w:r>
          </w:p>
        </w:tc>
        <w:tc>
          <w:tcPr>
            <w:tcW w:w="8875" w:type="dxa"/>
            <w:tcBorders/>
            <w:shd w:fill="auto" w:val="clear"/>
            <w:vAlign w:val="center"/>
          </w:tcPr>
          <w:p>
            <w:pPr>
              <w:pStyle w:val="TableContents"/>
              <w:spacing w:before="0" w:after="0"/>
              <w:ind w:left="0" w:right="0" w:hanging="0"/>
              <w:rPr/>
            </w:pPr>
            <w:hyperlink w:anchor="Summary_Risk_Factors">
              <w:r>
                <w:rPr>
                  <w:rStyle w:val="InternetLink"/>
                  <w:rFonts w:ascii="Times New Roman;Times;serif" w:hAnsi="Times New Roman;Times;serif"/>
                  <w:b w:val="false"/>
                  <w:i w:val="false"/>
                  <w:caps w:val="false"/>
                  <w:smallCaps w:val="false"/>
                  <w:sz w:val="20"/>
                </w:rPr>
                <w:t>Summary Risk Factors</w:t>
              </w:r>
            </w:hyperlink>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8" w:type="dxa"/>
            <w:tcBorders/>
            <w:shd w:fill="auto" w:val="clear"/>
            <w:vAlign w:val="center"/>
          </w:tcPr>
          <w:p>
            <w:pPr>
              <w:pStyle w:val="TableContents"/>
              <w:pBdr/>
              <w:spacing w:before="0" w:after="0"/>
              <w:ind w:left="0" w:right="0" w:hanging="0"/>
              <w:rPr/>
            </w:pPr>
            <w:hyperlink w:anchor="Item1FinancialStatements_877614">
              <w:r>
                <w:rPr>
                  <w:rStyle w:val="InternetLink"/>
                  <w:rFonts w:ascii="Times New Roman;Times;serif" w:hAnsi="Times New Roman;Times;serif"/>
                  <w:b w:val="false"/>
                  <w:i w:val="false"/>
                  <w:caps w:val="false"/>
                  <w:smallCaps w:val="false"/>
                  <w:sz w:val="20"/>
                </w:rPr>
                <w:t>Item 1.</w:t>
              </w:r>
            </w:hyperlink>
          </w:p>
        </w:tc>
        <w:tc>
          <w:tcPr>
            <w:tcW w:w="8875" w:type="dxa"/>
            <w:tcBorders/>
            <w:shd w:fill="auto" w:val="clear"/>
            <w:vAlign w:val="center"/>
          </w:tcPr>
          <w:p>
            <w:pPr>
              <w:pStyle w:val="TableContents"/>
              <w:spacing w:before="0" w:after="0"/>
              <w:ind w:left="0" w:right="0" w:hanging="0"/>
              <w:rPr/>
            </w:pPr>
            <w:hyperlink w:anchor="Item1FinancialStatements_877614">
              <w:r>
                <w:rPr>
                  <w:rStyle w:val="InternetLink"/>
                  <w:rFonts w:ascii="Times New Roman;Times;serif" w:hAnsi="Times New Roman;Times;serif"/>
                  <w:b w:val="false"/>
                  <w:i w:val="false"/>
                  <w:caps w:val="false"/>
                  <w:smallCaps w:val="false"/>
                  <w:sz w:val="20"/>
                </w:rPr>
                <w:t>Financial Statements (Unaudited)</w:t>
              </w:r>
            </w:hyperlink>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8" w:type="dxa"/>
            <w:tcBorders/>
            <w:shd w:fill="auto" w:val="clear"/>
            <w:vAlign w:val="center"/>
          </w:tcPr>
          <w:p>
            <w:pPr>
              <w:pStyle w:val="TableContents"/>
              <w:pBdr/>
              <w:spacing w:before="0" w:after="240"/>
              <w:ind w:left="0" w:right="0" w:hanging="0"/>
              <w:rPr/>
            </w:pPr>
            <w:r>
              <w:rPr/>
              <w:t>​</w:t>
            </w:r>
          </w:p>
        </w:tc>
        <w:tc>
          <w:tcPr>
            <w:tcW w:w="8875" w:type="dxa"/>
            <w:tcBorders/>
            <w:shd w:fill="auto" w:val="clear"/>
            <w:vAlign w:val="center"/>
          </w:tcPr>
          <w:p>
            <w:pPr>
              <w:pStyle w:val="TableContents"/>
              <w:pBdr/>
              <w:spacing w:before="0" w:after="0"/>
              <w:ind w:left="0" w:right="0" w:hanging="0"/>
              <w:rPr/>
            </w:pPr>
            <w:hyperlink w:anchor="BALANCESHEETS_142330">
              <w:r>
                <w:rPr>
                  <w:rStyle w:val="InternetLink"/>
                  <w:rFonts w:ascii="Times New Roman;Times;serif" w:hAnsi="Times New Roman;Times;serif"/>
                  <w:b w:val="false"/>
                  <w:i w:val="false"/>
                  <w:caps w:val="false"/>
                  <w:smallCaps w:val="false"/>
                  <w:sz w:val="20"/>
                </w:rPr>
                <w:t>Condensed Consolidated Balance Sheets as of March 31, 2023 and December 31, 2022</w:t>
              </w:r>
            </w:hyperlink>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8" w:type="dxa"/>
            <w:tcBorders/>
            <w:shd w:fill="auto" w:val="clear"/>
            <w:vAlign w:val="center"/>
          </w:tcPr>
          <w:p>
            <w:pPr>
              <w:pStyle w:val="TableContents"/>
              <w:pBdr/>
              <w:spacing w:before="0" w:after="240"/>
              <w:ind w:left="0" w:right="0" w:hanging="0"/>
              <w:rPr/>
            </w:pPr>
            <w:r>
              <w:rPr/>
              <w:t>​</w:t>
            </w:r>
          </w:p>
        </w:tc>
        <w:tc>
          <w:tcPr>
            <w:tcW w:w="8875" w:type="dxa"/>
            <w:tcBorders/>
            <w:shd w:fill="auto" w:val="clear"/>
            <w:vAlign w:val="center"/>
          </w:tcPr>
          <w:p>
            <w:pPr>
              <w:pStyle w:val="TableContents"/>
              <w:pBdr/>
              <w:spacing w:before="0" w:after="0"/>
              <w:ind w:left="0" w:right="0" w:hanging="0"/>
              <w:rPr/>
            </w:pPr>
            <w:hyperlink w:anchor="STATEMENTSOFOPERATIONS_842353">
              <w:r>
                <w:rPr>
                  <w:rStyle w:val="InternetLink"/>
                  <w:rFonts w:ascii="Times New Roman;Times;serif" w:hAnsi="Times New Roman;Times;serif"/>
                  <w:b w:val="false"/>
                  <w:i w:val="false"/>
                  <w:caps w:val="false"/>
                  <w:smallCaps w:val="false"/>
                  <w:sz w:val="20"/>
                </w:rPr>
                <w:t>Condensed Consolidated Statements of Operations for the three months ended March 31, 2023 and 2022</w:t>
              </w:r>
            </w:hyperlink>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8" w:type="dxa"/>
            <w:tcBorders/>
            <w:shd w:fill="auto" w:val="clear"/>
            <w:vAlign w:val="center"/>
          </w:tcPr>
          <w:p>
            <w:pPr>
              <w:pStyle w:val="TableContents"/>
              <w:pBdr/>
              <w:spacing w:before="0" w:after="240"/>
              <w:ind w:left="0" w:right="0" w:hanging="0"/>
              <w:rPr/>
            </w:pPr>
            <w:r>
              <w:rPr/>
              <w:t>​</w:t>
            </w:r>
          </w:p>
        </w:tc>
        <w:tc>
          <w:tcPr>
            <w:tcW w:w="8875" w:type="dxa"/>
            <w:tcBorders/>
            <w:shd w:fill="auto" w:val="clear"/>
            <w:vAlign w:val="center"/>
          </w:tcPr>
          <w:p>
            <w:pPr>
              <w:pStyle w:val="TableContents"/>
              <w:pBdr/>
              <w:spacing w:before="0" w:after="0"/>
              <w:ind w:left="0" w:right="0" w:hanging="0"/>
              <w:rPr/>
            </w:pPr>
            <w:hyperlink w:anchor="STATEMENTSOFCHANGESINSTOCKHOLDERSEQUITY_">
              <w:r>
                <w:rPr>
                  <w:rStyle w:val="InternetLink"/>
                  <w:rFonts w:ascii="Times New Roman;Times;serif" w:hAnsi="Times New Roman;Times;serif"/>
                  <w:b w:val="false"/>
                  <w:i w:val="false"/>
                  <w:caps w:val="false"/>
                  <w:smallCaps w:val="false"/>
                  <w:sz w:val="20"/>
                </w:rPr>
                <w:t>Condensed Consolidated Statements of Changes in Stockholders’ Equity for the three months ended March 31, 2023 and 2022</w:t>
              </w:r>
            </w:hyperlink>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818" w:type="dxa"/>
            <w:tcBorders/>
            <w:shd w:fill="auto" w:val="clear"/>
            <w:vAlign w:val="center"/>
          </w:tcPr>
          <w:p>
            <w:pPr>
              <w:pStyle w:val="TableContents"/>
              <w:pBdr/>
              <w:spacing w:before="0" w:after="240"/>
              <w:ind w:left="0" w:right="0" w:hanging="0"/>
              <w:rPr/>
            </w:pPr>
            <w:r>
              <w:rPr/>
              <w:t>​</w:t>
            </w:r>
          </w:p>
        </w:tc>
        <w:tc>
          <w:tcPr>
            <w:tcW w:w="8875" w:type="dxa"/>
            <w:tcBorders/>
            <w:shd w:fill="auto" w:val="clear"/>
            <w:vAlign w:val="center"/>
          </w:tcPr>
          <w:p>
            <w:pPr>
              <w:pStyle w:val="TableContents"/>
              <w:pBdr/>
              <w:spacing w:before="0" w:after="0"/>
              <w:ind w:left="0" w:right="0" w:hanging="0"/>
              <w:rPr/>
            </w:pPr>
            <w:hyperlink w:anchor="STATEMENTSOFCASHFLOWS_929012">
              <w:r>
                <w:rPr>
                  <w:rStyle w:val="InternetLink"/>
                  <w:rFonts w:ascii="Times New Roman;Times;serif" w:hAnsi="Times New Roman;Times;serif"/>
                  <w:b w:val="false"/>
                  <w:i w:val="false"/>
                  <w:caps w:val="false"/>
                  <w:smallCaps w:val="false"/>
                  <w:sz w:val="20"/>
                </w:rPr>
                <w:t>Condensed Consolidated Statements of Cash Flows for the three months ended March 31, 2023 and 2022</w:t>
              </w:r>
            </w:hyperlink>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818" w:type="dxa"/>
            <w:tcBorders/>
            <w:shd w:fill="auto" w:val="clear"/>
            <w:vAlign w:val="center"/>
          </w:tcPr>
          <w:p>
            <w:pPr>
              <w:pStyle w:val="TableContents"/>
              <w:pBdr/>
              <w:spacing w:before="0" w:after="240"/>
              <w:ind w:left="0" w:right="0" w:hanging="0"/>
              <w:rPr/>
            </w:pPr>
            <w:r>
              <w:rPr/>
              <w:t>​</w:t>
            </w:r>
          </w:p>
        </w:tc>
        <w:tc>
          <w:tcPr>
            <w:tcW w:w="8875" w:type="dxa"/>
            <w:tcBorders/>
            <w:shd w:fill="auto" w:val="clear"/>
            <w:vAlign w:val="center"/>
          </w:tcPr>
          <w:p>
            <w:pPr>
              <w:pStyle w:val="TableContents"/>
              <w:pBdr/>
              <w:spacing w:before="0" w:after="0"/>
              <w:ind w:left="0" w:right="0" w:hanging="0"/>
              <w:rPr/>
            </w:pPr>
            <w:hyperlink w:anchor="NOTESTOFINANCIALSTATEMENTS_349172">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818" w:type="dxa"/>
            <w:tcBorders/>
            <w:shd w:fill="auto" w:val="clear"/>
            <w:vAlign w:val="center"/>
          </w:tcPr>
          <w:p>
            <w:pPr>
              <w:pStyle w:val="TableContents"/>
              <w:pBdr/>
              <w:spacing w:before="0" w:after="0"/>
              <w:ind w:left="0" w:right="0" w:hanging="0"/>
              <w:rPr/>
            </w:pPr>
            <w:hyperlink w:anchor="Item2MANAGEMENTSDISCUSSIONANDANALYSIS_22">
              <w:r>
                <w:rPr>
                  <w:rStyle w:val="InternetLink"/>
                  <w:rFonts w:ascii="Times New Roman;Times;serif" w:hAnsi="Times New Roman;Times;serif"/>
                  <w:b w:val="false"/>
                  <w:i w:val="false"/>
                  <w:caps w:val="false"/>
                  <w:smallCaps w:val="false"/>
                  <w:sz w:val="20"/>
                </w:rPr>
                <w:t>Item 2.</w:t>
              </w:r>
            </w:hyperlink>
          </w:p>
        </w:tc>
        <w:tc>
          <w:tcPr>
            <w:tcW w:w="8875" w:type="dxa"/>
            <w:tcBorders/>
            <w:shd w:fill="auto" w:val="clear"/>
            <w:vAlign w:val="center"/>
          </w:tcPr>
          <w:p>
            <w:pPr>
              <w:pStyle w:val="TableContents"/>
              <w:spacing w:before="0" w:after="0"/>
              <w:ind w:left="0" w:right="0" w:hanging="0"/>
              <w:rPr/>
            </w:pPr>
            <w:hyperlink w:anchor="Item2MANAGEMENTSDISCUSSIONANDANALYSIS_2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8" w:type="dxa"/>
            <w:tcBorders/>
            <w:shd w:fill="auto" w:val="clear"/>
            <w:vAlign w:val="center"/>
          </w:tcPr>
          <w:p>
            <w:pPr>
              <w:pStyle w:val="TableContents"/>
              <w:pBdr/>
              <w:spacing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75" w:type="dxa"/>
            <w:tcBorders/>
            <w:shd w:fill="auto" w:val="clear"/>
            <w:vAlign w:val="center"/>
          </w:tcPr>
          <w:p>
            <w:pPr>
              <w:pStyle w:val="TableContents"/>
              <w:spacing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818" w:type="dxa"/>
            <w:tcBorders/>
            <w:shd w:fill="auto" w:val="clear"/>
            <w:vAlign w:val="center"/>
          </w:tcPr>
          <w:p>
            <w:pPr>
              <w:pStyle w:val="TableContents"/>
              <w:pBdr/>
              <w:spacing w:before="0" w:after="0"/>
              <w:ind w:left="0" w:right="0" w:hanging="0"/>
              <w:rPr/>
            </w:pPr>
            <w:hyperlink w:anchor="Item4ControlsandProcedures_79336">
              <w:r>
                <w:rPr>
                  <w:rStyle w:val="InternetLink"/>
                  <w:rFonts w:ascii="Times New Roman;Times;serif" w:hAnsi="Times New Roman;Times;serif"/>
                  <w:b w:val="false"/>
                  <w:i w:val="false"/>
                  <w:caps w:val="false"/>
                  <w:smallCaps w:val="false"/>
                  <w:sz w:val="20"/>
                </w:rPr>
                <w:t>Item 4.</w:t>
              </w:r>
            </w:hyperlink>
          </w:p>
        </w:tc>
        <w:tc>
          <w:tcPr>
            <w:tcW w:w="8875" w:type="dxa"/>
            <w:tcBorders/>
            <w:shd w:fill="auto" w:val="clear"/>
            <w:vAlign w:val="center"/>
          </w:tcPr>
          <w:p>
            <w:pPr>
              <w:pStyle w:val="TableContents"/>
              <w:spacing w:before="0" w:after="0"/>
              <w:ind w:left="0" w:right="0" w:hanging="0"/>
              <w:rPr/>
            </w:pPr>
            <w:hyperlink w:anchor="Item4ControlsandProcedures_79336">
              <w:r>
                <w:rPr>
                  <w:rStyle w:val="InternetLink"/>
                  <w:rFonts w:ascii="Times New Roman;Times;serif" w:hAnsi="Times New Roman;Times;serif"/>
                  <w:b w:val="false"/>
                  <w:i w:val="false"/>
                  <w:caps w:val="false"/>
                  <w:smallCaps w:val="false"/>
                  <w:sz w:val="20"/>
                </w:rPr>
                <w:t>Controls and Procedures</w:t>
              </w:r>
            </w:hyperlink>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18" w:type="dxa"/>
            <w:tcBorders/>
            <w:shd w:fill="auto" w:val="clear"/>
            <w:vAlign w:val="center"/>
          </w:tcPr>
          <w:p>
            <w:pPr>
              <w:pStyle w:val="TableContents"/>
              <w:pBdr/>
              <w:spacing w:before="0" w:after="240"/>
              <w:ind w:left="0" w:right="0" w:hanging="0"/>
              <w:rPr/>
            </w:pPr>
            <w:r>
              <w:rPr/>
              <w:t>​</w:t>
            </w:r>
          </w:p>
        </w:tc>
        <w:tc>
          <w:tcPr>
            <w:tcW w:w="8875" w:type="dxa"/>
            <w:tcBorders/>
            <w:shd w:fill="auto" w:val="clear"/>
            <w:vAlign w:val="center"/>
          </w:tcPr>
          <w:p>
            <w:pPr>
              <w:pStyle w:val="TableContents"/>
              <w:spacing w:before="0" w:after="240"/>
              <w:ind w:left="0" w:right="0" w:hanging="0"/>
              <w:rPr/>
            </w:pPr>
            <w:r>
              <w:rPr/>
              <w:t>​</w:t>
            </w:r>
          </w:p>
        </w:tc>
        <w:tc>
          <w:tcPr>
            <w:tcW w:w="512" w:type="dxa"/>
            <w:tcBorders/>
            <w:shd w:fill="auto" w:val="clear"/>
            <w:vAlign w:val="center"/>
          </w:tcPr>
          <w:p>
            <w:pPr>
              <w:pStyle w:val="TableContents"/>
              <w:spacing w:before="0" w:after="240"/>
              <w:ind w:left="0" w:right="0" w:hanging="0"/>
              <w:jc w:val="right"/>
              <w:rPr/>
            </w:pPr>
            <w:r>
              <w:rPr/>
              <w:t>​</w:t>
            </w:r>
          </w:p>
        </w:tc>
      </w:tr>
      <w:tr>
        <w:trPr/>
        <w:tc>
          <w:tcPr>
            <w:tcW w:w="10205"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 OTHER INFORMATION</w:t>
            </w:r>
          </w:p>
        </w:tc>
      </w:tr>
      <w:tr>
        <w:trPr/>
        <w:tc>
          <w:tcPr>
            <w:tcW w:w="10205" w:type="dxa"/>
            <w:gridSpan w:val="3"/>
            <w:tcBorders/>
            <w:shd w:fill="auto" w:val="clear"/>
            <w:vAlign w:val="center"/>
          </w:tcPr>
          <w:p>
            <w:pPr>
              <w:pStyle w:val="TableContents"/>
              <w:spacing w:before="0" w:after="240"/>
              <w:ind w:left="0" w:right="0" w:hanging="0"/>
              <w:jc w:val="center"/>
              <w:rPr/>
            </w:pPr>
            <w:r>
              <w:rPr/>
              <w:t>​</w:t>
            </w:r>
          </w:p>
        </w:tc>
      </w:tr>
      <w:tr>
        <w:trPr/>
        <w:tc>
          <w:tcPr>
            <w:tcW w:w="818" w:type="dxa"/>
            <w:tcBorders/>
            <w:shd w:fill="auto" w:val="clear"/>
            <w:vAlign w:val="center"/>
          </w:tcPr>
          <w:p>
            <w:pPr>
              <w:pStyle w:val="TableContents"/>
              <w:pBdr/>
              <w:spacing w:before="0" w:after="0"/>
              <w:ind w:left="0" w:right="0" w:hanging="0"/>
              <w:rPr/>
            </w:pPr>
            <w:hyperlink w:anchor="Item1LegalProceedings_771938">
              <w:r>
                <w:rPr>
                  <w:rStyle w:val="InternetLink"/>
                  <w:rFonts w:ascii="Times New Roman;Times;serif" w:hAnsi="Times New Roman;Times;serif"/>
                  <w:b w:val="false"/>
                  <w:i w:val="false"/>
                  <w:caps w:val="false"/>
                  <w:smallCaps w:val="false"/>
                  <w:sz w:val="20"/>
                </w:rPr>
                <w:t>Item 1.</w:t>
              </w:r>
            </w:hyperlink>
          </w:p>
        </w:tc>
        <w:tc>
          <w:tcPr>
            <w:tcW w:w="8875" w:type="dxa"/>
            <w:tcBorders/>
            <w:shd w:fill="auto" w:val="clear"/>
            <w:vAlign w:val="center"/>
          </w:tcPr>
          <w:p>
            <w:pPr>
              <w:pStyle w:val="TableContents"/>
              <w:spacing w:before="0" w:after="0"/>
              <w:ind w:left="0" w:right="0" w:hanging="0"/>
              <w:rPr/>
            </w:pPr>
            <w:hyperlink w:anchor="Item1LegalProceedings_771938">
              <w:r>
                <w:rPr>
                  <w:rStyle w:val="InternetLink"/>
                  <w:rFonts w:ascii="Times New Roman;Times;serif" w:hAnsi="Times New Roman;Times;serif"/>
                  <w:b w:val="false"/>
                  <w:i w:val="false"/>
                  <w:caps w:val="false"/>
                  <w:smallCaps w:val="false"/>
                  <w:sz w:val="20"/>
                </w:rPr>
                <w:t>Legal Proceedings</w:t>
              </w:r>
            </w:hyperlink>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818" w:type="dxa"/>
            <w:tcBorders/>
            <w:shd w:fill="auto" w:val="clear"/>
            <w:vAlign w:val="center"/>
          </w:tcPr>
          <w:p>
            <w:pPr>
              <w:pStyle w:val="TableContents"/>
              <w:pBdr/>
              <w:spacing w:before="0" w:after="0"/>
              <w:ind w:left="0" w:right="0" w:hanging="0"/>
              <w:rPr/>
            </w:pPr>
            <w:hyperlink w:anchor="Item1ARiskFactors_143189">
              <w:r>
                <w:rPr>
                  <w:rStyle w:val="InternetLink"/>
                  <w:rFonts w:ascii="Times New Roman;Times;serif" w:hAnsi="Times New Roman;Times;serif"/>
                  <w:b w:val="false"/>
                  <w:i w:val="false"/>
                  <w:caps w:val="false"/>
                  <w:smallCaps w:val="false"/>
                  <w:sz w:val="20"/>
                </w:rPr>
                <w:t>Item 1A.</w:t>
              </w:r>
            </w:hyperlink>
            <w:r>
              <w:rPr>
                <w:rFonts w:ascii="Times New Roman;Times;serif" w:hAnsi="Times New Roman;Times;serif"/>
                <w:sz w:val="20"/>
              </w:rPr>
              <w:t xml:space="preserve"> </w:t>
            </w:r>
          </w:p>
        </w:tc>
        <w:tc>
          <w:tcPr>
            <w:tcW w:w="8875" w:type="dxa"/>
            <w:tcBorders/>
            <w:shd w:fill="auto" w:val="clear"/>
            <w:vAlign w:val="center"/>
          </w:tcPr>
          <w:p>
            <w:pPr>
              <w:pStyle w:val="TableContents"/>
              <w:spacing w:before="0" w:after="0"/>
              <w:ind w:left="0" w:right="0" w:hanging="0"/>
              <w:rPr/>
            </w:pPr>
            <w:hyperlink w:anchor="Item1ARiskFactors_143189">
              <w:r>
                <w:rPr>
                  <w:rStyle w:val="InternetLink"/>
                  <w:rFonts w:ascii="Times New Roman;Times;serif" w:hAnsi="Times New Roman;Times;serif"/>
                  <w:b w:val="false"/>
                  <w:i w:val="false"/>
                  <w:caps w:val="false"/>
                  <w:smallCaps w:val="false"/>
                  <w:sz w:val="20"/>
                </w:rPr>
                <w:t>Risk Factors</w:t>
              </w:r>
            </w:hyperlink>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818" w:type="dxa"/>
            <w:tcBorders/>
            <w:shd w:fill="auto" w:val="clear"/>
            <w:vAlign w:val="center"/>
          </w:tcPr>
          <w:p>
            <w:pPr>
              <w:pStyle w:val="TableContents"/>
              <w:pBdr/>
              <w:spacing w:before="0" w:after="0"/>
              <w:ind w:left="0" w:right="0" w:hanging="0"/>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75" w:type="dxa"/>
            <w:tcBorders/>
            <w:shd w:fill="auto" w:val="clear"/>
            <w:vAlign w:val="center"/>
          </w:tcPr>
          <w:p>
            <w:pPr>
              <w:pStyle w:val="TableContents"/>
              <w:spacing w:before="0" w:after="0"/>
              <w:ind w:left="0" w:right="0" w:hanging="0"/>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818" w:type="dxa"/>
            <w:tcBorders/>
            <w:shd w:fill="auto" w:val="clear"/>
            <w:vAlign w:val="center"/>
          </w:tcPr>
          <w:p>
            <w:pPr>
              <w:pStyle w:val="TableContents"/>
              <w:pBdr/>
              <w:spacing w:before="0" w:after="0"/>
              <w:ind w:left="0" w:right="0" w:hanging="0"/>
              <w:rPr/>
            </w:pPr>
            <w:hyperlink w:anchor="Item3DefaultsUponSeniorSecurities_782584">
              <w:r>
                <w:rPr>
                  <w:rStyle w:val="InternetLink"/>
                  <w:rFonts w:ascii="Times New Roman;Times;serif" w:hAnsi="Times New Roman;Times;serif"/>
                  <w:b w:val="false"/>
                  <w:i w:val="false"/>
                  <w:caps w:val="false"/>
                  <w:smallCaps w:val="false"/>
                  <w:sz w:val="20"/>
                </w:rPr>
                <w:t>Item 3.</w:t>
              </w:r>
            </w:hyperlink>
          </w:p>
        </w:tc>
        <w:tc>
          <w:tcPr>
            <w:tcW w:w="8875" w:type="dxa"/>
            <w:tcBorders/>
            <w:shd w:fill="auto" w:val="clear"/>
            <w:vAlign w:val="center"/>
          </w:tcPr>
          <w:p>
            <w:pPr>
              <w:pStyle w:val="TableContents"/>
              <w:spacing w:before="0" w:after="0"/>
              <w:ind w:left="0" w:right="0" w:hanging="0"/>
              <w:rPr/>
            </w:pPr>
            <w:hyperlink w:anchor="Item3DefaultsUponSeniorSecurities_782584">
              <w:r>
                <w:rPr>
                  <w:rStyle w:val="InternetLink"/>
                  <w:rFonts w:ascii="Times New Roman;Times;serif" w:hAnsi="Times New Roman;Times;serif"/>
                  <w:b w:val="false"/>
                  <w:i w:val="false"/>
                  <w:caps w:val="false"/>
                  <w:smallCaps w:val="false"/>
                  <w:sz w:val="20"/>
                </w:rPr>
                <w:t>Defaults Upon Senior Securities</w:t>
              </w:r>
            </w:hyperlink>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818" w:type="dxa"/>
            <w:tcBorders/>
            <w:shd w:fill="auto" w:val="clear"/>
            <w:vAlign w:val="center"/>
          </w:tcPr>
          <w:p>
            <w:pPr>
              <w:pStyle w:val="TableContents"/>
              <w:pBdr/>
              <w:spacing w:before="0" w:after="0"/>
              <w:ind w:left="0" w:right="0" w:hanging="0"/>
              <w:rPr/>
            </w:pPr>
            <w:hyperlink w:anchor="Item4MineSafetyDisclosures_613042">
              <w:r>
                <w:rPr>
                  <w:rStyle w:val="InternetLink"/>
                  <w:rFonts w:ascii="Times New Roman;Times;serif" w:hAnsi="Times New Roman;Times;serif"/>
                  <w:b w:val="false"/>
                  <w:i w:val="false"/>
                  <w:caps w:val="false"/>
                  <w:smallCaps w:val="false"/>
                  <w:sz w:val="20"/>
                </w:rPr>
                <w:t>Item 4.</w:t>
              </w:r>
            </w:hyperlink>
          </w:p>
        </w:tc>
        <w:tc>
          <w:tcPr>
            <w:tcW w:w="8875" w:type="dxa"/>
            <w:tcBorders/>
            <w:shd w:fill="auto" w:val="clear"/>
            <w:vAlign w:val="center"/>
          </w:tcPr>
          <w:p>
            <w:pPr>
              <w:pStyle w:val="TableContents"/>
              <w:spacing w:before="0" w:after="0"/>
              <w:ind w:left="0" w:right="0" w:hanging="0"/>
              <w:rPr/>
            </w:pPr>
            <w:hyperlink w:anchor="Item4MineSafetyDisclosures_613042">
              <w:r>
                <w:rPr>
                  <w:rStyle w:val="InternetLink"/>
                  <w:rFonts w:ascii="Times New Roman;Times;serif" w:hAnsi="Times New Roman;Times;serif"/>
                  <w:b w:val="false"/>
                  <w:i w:val="false"/>
                  <w:caps w:val="false"/>
                  <w:smallCaps w:val="false"/>
                  <w:sz w:val="20"/>
                </w:rPr>
                <w:t>Mine Safety Disclosures</w:t>
              </w:r>
            </w:hyperlink>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818" w:type="dxa"/>
            <w:tcBorders/>
            <w:shd w:fill="auto" w:val="clear"/>
            <w:vAlign w:val="center"/>
          </w:tcPr>
          <w:p>
            <w:pPr>
              <w:pStyle w:val="TableContents"/>
              <w:pBdr/>
              <w:spacing w:before="0" w:after="0"/>
              <w:ind w:left="0" w:right="0" w:hanging="0"/>
              <w:rPr/>
            </w:pPr>
            <w:hyperlink w:anchor="Item5OtherInformation_348642">
              <w:r>
                <w:rPr>
                  <w:rStyle w:val="InternetLink"/>
                  <w:rFonts w:ascii="Times New Roman;Times;serif" w:hAnsi="Times New Roman;Times;serif"/>
                  <w:b w:val="false"/>
                  <w:i w:val="false"/>
                  <w:caps w:val="false"/>
                  <w:smallCaps w:val="false"/>
                  <w:sz w:val="20"/>
                </w:rPr>
                <w:t>Item 5.</w:t>
              </w:r>
            </w:hyperlink>
          </w:p>
        </w:tc>
        <w:tc>
          <w:tcPr>
            <w:tcW w:w="8875" w:type="dxa"/>
            <w:tcBorders/>
            <w:shd w:fill="auto" w:val="clear"/>
            <w:vAlign w:val="center"/>
          </w:tcPr>
          <w:p>
            <w:pPr>
              <w:pStyle w:val="TableContents"/>
              <w:spacing w:before="0" w:after="0"/>
              <w:ind w:left="0" w:right="0" w:hanging="0"/>
              <w:rPr/>
            </w:pPr>
            <w:hyperlink w:anchor="Item5OtherInformation_348642">
              <w:r>
                <w:rPr>
                  <w:rStyle w:val="InternetLink"/>
                  <w:rFonts w:ascii="Times New Roman;Times;serif" w:hAnsi="Times New Roman;Times;serif"/>
                  <w:b w:val="false"/>
                  <w:i w:val="false"/>
                  <w:caps w:val="false"/>
                  <w:smallCaps w:val="false"/>
                  <w:sz w:val="20"/>
                </w:rPr>
                <w:t>Other Information</w:t>
              </w:r>
            </w:hyperlink>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818" w:type="dxa"/>
            <w:tcBorders/>
            <w:shd w:fill="auto" w:val="clear"/>
            <w:vAlign w:val="center"/>
          </w:tcPr>
          <w:p>
            <w:pPr>
              <w:pStyle w:val="TableContents"/>
              <w:pBdr/>
              <w:spacing w:before="0" w:after="0"/>
              <w:ind w:left="0" w:right="0" w:hanging="0"/>
              <w:rPr/>
            </w:pPr>
            <w:hyperlink w:anchor="Item6Exhibits_836986">
              <w:r>
                <w:rPr>
                  <w:rStyle w:val="InternetLink"/>
                  <w:rFonts w:ascii="Times New Roman;Times;serif" w:hAnsi="Times New Roman;Times;serif"/>
                  <w:b w:val="false"/>
                  <w:i w:val="false"/>
                  <w:caps w:val="false"/>
                  <w:smallCaps w:val="false"/>
                  <w:sz w:val="20"/>
                </w:rPr>
                <w:t>Item 6.</w:t>
              </w:r>
            </w:hyperlink>
          </w:p>
        </w:tc>
        <w:tc>
          <w:tcPr>
            <w:tcW w:w="8875" w:type="dxa"/>
            <w:tcBorders/>
            <w:shd w:fill="auto" w:val="clear"/>
            <w:vAlign w:val="center"/>
          </w:tcPr>
          <w:p>
            <w:pPr>
              <w:pStyle w:val="TableContents"/>
              <w:spacing w:before="0" w:after="0"/>
              <w:ind w:left="0" w:right="0" w:hanging="0"/>
              <w:rPr/>
            </w:pPr>
            <w:hyperlink w:anchor="Item6Exhibits_836986">
              <w:r>
                <w:rPr>
                  <w:rStyle w:val="InternetLink"/>
                  <w:rFonts w:ascii="Times New Roman;Times;serif" w:hAnsi="Times New Roman;Times;serif"/>
                  <w:b w:val="false"/>
                  <w:i w:val="false"/>
                  <w:caps w:val="false"/>
                  <w:smallCaps w:val="false"/>
                  <w:sz w:val="20"/>
                </w:rPr>
                <w:t>Exhibits</w:t>
              </w:r>
            </w:hyperlink>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9693" w:type="dxa"/>
            <w:gridSpan w:val="2"/>
            <w:tcBorders/>
            <w:shd w:fill="auto" w:val="clear"/>
            <w:vAlign w:val="center"/>
          </w:tcPr>
          <w:p>
            <w:pPr>
              <w:pStyle w:val="TableContents"/>
              <w:spacing w:before="0" w:after="0"/>
              <w:ind w:left="0" w:right="0" w:hanging="0"/>
              <w:rPr/>
            </w:pPr>
            <w:hyperlink w:anchor="SIGNATURES_228043">
              <w:r>
                <w:rPr>
                  <w:rStyle w:val="InternetLink"/>
                  <w:rFonts w:ascii="Times New Roman;Times;serif" w:hAnsi="Times New Roman;Times;serif"/>
                  <w:b w:val="false"/>
                  <w:i w:val="false"/>
                  <w:caps w:val="false"/>
                  <w:smallCaps w:val="false"/>
                  <w:sz w:val="20"/>
                </w:rPr>
                <w:t>Signatures</w:t>
              </w:r>
            </w:hyperlink>
          </w:p>
        </w:tc>
        <w:tc>
          <w:tcPr>
            <w:tcW w:w="5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tLeast" w:line="200" w:before="0" w:after="200"/>
        <w:ind w:left="0" w:right="0" w:firstLine="360"/>
        <w:jc w:val="center"/>
        <w:rPr>
          <w:rFonts w:ascii="Times New Roman;Times;serif" w:hAnsi="Times New Roman;Times;serif"/>
          <w:b/>
          <w:sz w:val="20"/>
        </w:rPr>
      </w:pPr>
      <w:bookmarkStart w:id="45" w:name="FORWARDLOOKINGSTATEMENTS_531719"/>
      <w:bookmarkStart w:id="46" w:name="_d08dd286_4496_4a19_a7f7_732e9df1ea1d"/>
      <w:bookmarkEnd w:id="45"/>
      <w:bookmarkEnd w:id="46"/>
      <w:r>
        <w:rPr>
          <w:rFonts w:ascii="Times New Roman;Times;serif" w:hAnsi="Times New Roman;Times;serif"/>
          <w:b/>
          <w:sz w:val="20"/>
        </w:rPr>
        <w:t>FORWARD-LOOKING STATEMENTS</w:t>
      </w:r>
    </w:p>
    <w:p>
      <w:pPr>
        <w:pStyle w:val="TextBody"/>
        <w:spacing w:lineRule="atLeast" w:line="220" w:before="0" w:after="200"/>
        <w:ind w:left="0" w:right="0" w:firstLine="360"/>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 words “anticipate,” “believe,” “can,” “continue,” “could,” “designed,” “estimate,” “expect,” “forecast,” “goal,” “intend,” “may,” “might,” “plan,” “possible,” “potential,” “predict,” “project,” “should,” “target,” “will,” “would” and similar expressions are intended to identify forward-looking statements, though not all forward-looking statements use these words or expressions. All statements contained in this Quarterly Report on Form 10-Q, other than statements of historical fact, are forward-looking statements, including, without limitation, statements regarding:</w:t>
      </w:r>
    </w:p>
    <w:tbl>
      <w:tblPr>
        <w:tblW w:w="4866" w:type="dxa"/>
        <w:jc w:val="left"/>
        <w:tblInd w:w="0" w:type="dxa"/>
        <w:tblCellMar>
          <w:top w:w="28" w:type="dxa"/>
          <w:left w:w="28" w:type="dxa"/>
          <w:bottom w:w="28" w:type="dxa"/>
          <w:right w:w="28" w:type="dxa"/>
        </w:tblCellMar>
      </w:tblPr>
      <w:tblGrid>
        <w:gridCol w:w="124"/>
        <w:gridCol w:w="256"/>
        <w:gridCol w:w="44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86" w:type="dxa"/>
            <w:tcBorders/>
            <w:shd w:fill="auto" w:val="clear"/>
            <w:tcMar>
              <w:top w:w="0" w:type="dxa"/>
              <w:left w:w="0" w:type="dxa"/>
              <w:bottom w:w="0" w:type="dxa"/>
              <w:right w:w="0" w:type="dxa"/>
            </w:tcMar>
            <w:vAlign w:val="center"/>
          </w:tcPr>
          <w:p>
            <w:pPr>
              <w:pStyle w:val="TableContents"/>
              <w:spacing w:lineRule="auto" w:line="240" w:before="0" w:after="283"/>
              <w:rPr/>
            </w:pPr>
            <w:r>
              <w:rPr>
                <w:rFonts w:ascii="Times New Roman;Times;serif" w:hAnsi="Times New Roman;Times;serif"/>
                <w:b w:val="false"/>
                <w:i w:val="false"/>
                <w:caps w:val="false"/>
                <w:smallCaps w:val="false"/>
                <w:sz w:val="20"/>
              </w:rPr>
              <w:t>our ongoing commercialization plans for IGALMI</w:t>
            </w:r>
            <w:r>
              <w:rPr>
                <w:rFonts w:ascii="Times New Roman;Times;serif" w:hAnsi="Times New Roman;Times;serif"/>
                <w:b w:val="false"/>
                <w:i w:val="false"/>
                <w:caps w:val="false"/>
                <w:smallCaps w:val="false"/>
                <w:sz w:val="15"/>
              </w:rPr>
              <w:t>TM</w:t>
            </w:r>
            <w:r>
              <w:rPr>
                <w:rFonts w:ascii="Times New Roman;Times;serif" w:hAnsi="Times New Roman;Times;serif"/>
                <w:b w:val="false"/>
                <w:i w:val="false"/>
                <w:caps w:val="false"/>
                <w:smallCaps w:val="false"/>
                <w:sz w:val="20"/>
              </w:rPr>
              <w:t>;</w:t>
            </w:r>
          </w:p>
        </w:tc>
      </w:tr>
    </w:tbl>
    <w:tbl>
      <w:tblPr>
        <w:tblW w:w="5511" w:type="dxa"/>
        <w:jc w:val="left"/>
        <w:tblInd w:w="0" w:type="dxa"/>
        <w:tblCellMar>
          <w:top w:w="28" w:type="dxa"/>
          <w:left w:w="28" w:type="dxa"/>
          <w:bottom w:w="28" w:type="dxa"/>
          <w:right w:w="28" w:type="dxa"/>
        </w:tblCellMar>
      </w:tblPr>
      <w:tblGrid>
        <w:gridCol w:w="124"/>
        <w:gridCol w:w="256"/>
        <w:gridCol w:w="51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relating to clinical trials for our product candidates;</w:t>
            </w:r>
          </w:p>
        </w:tc>
      </w:tr>
    </w:tbl>
    <w:tbl>
      <w:tblPr>
        <w:tblW w:w="7971" w:type="dxa"/>
        <w:jc w:val="left"/>
        <w:tblInd w:w="0" w:type="dxa"/>
        <w:tblCellMar>
          <w:top w:w="28" w:type="dxa"/>
          <w:left w:w="28" w:type="dxa"/>
          <w:bottom w:w="28" w:type="dxa"/>
          <w:right w:w="28" w:type="dxa"/>
        </w:tblCellMar>
      </w:tblPr>
      <w:tblGrid>
        <w:gridCol w:w="124"/>
        <w:gridCol w:w="256"/>
        <w:gridCol w:w="75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research, develop and commercialize our current and future product candidates;</w:t>
            </w:r>
          </w:p>
        </w:tc>
      </w:tr>
    </w:tbl>
    <w:tbl>
      <w:tblPr>
        <w:tblW w:w="10191" w:type="dxa"/>
        <w:jc w:val="left"/>
        <w:tblInd w:w="0" w:type="dxa"/>
        <w:tblCellMar>
          <w:top w:w="28" w:type="dxa"/>
          <w:left w:w="28" w:type="dxa"/>
          <w:bottom w:w="28" w:type="dxa"/>
          <w:right w:w="28" w:type="dxa"/>
        </w:tblCellMar>
      </w:tblPr>
      <w:tblGrid>
        <w:gridCol w:w="124"/>
        <w:gridCol w:w="256"/>
        <w:gridCol w:w="98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seek to enter into collaborations for the development and commercialization of certain product candidates;</w:t>
            </w:r>
          </w:p>
        </w:tc>
      </w:tr>
    </w:tbl>
    <w:tbl>
      <w:tblPr>
        <w:tblW w:w="4536" w:type="dxa"/>
        <w:jc w:val="left"/>
        <w:tblInd w:w="0" w:type="dxa"/>
        <w:tblCellMar>
          <w:top w:w="28" w:type="dxa"/>
          <w:left w:w="28" w:type="dxa"/>
          <w:bottom w:w="28" w:type="dxa"/>
          <w:right w:w="28" w:type="dxa"/>
        </w:tblCellMar>
      </w:tblPr>
      <w:tblGrid>
        <w:gridCol w:w="124"/>
        <w:gridCol w:w="256"/>
        <w:gridCol w:w="41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any future collaboration;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our ability to obtain and maintain regulatory approvals, including 505(b)(2) regulatory approval, for our product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clinical utility, number of prescribers and formulary wins of IGALMI and any product candidates for which we receive marketing approval;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commercialization, marketing and manufacturing capabilities and strategy, including the potential benefits from any advertising campaigns;</w:t>
            </w:r>
          </w:p>
        </w:tc>
      </w:tr>
    </w:tbl>
    <w:tbl>
      <w:tblPr>
        <w:tblW w:w="9021" w:type="dxa"/>
        <w:jc w:val="left"/>
        <w:tblInd w:w="0" w:type="dxa"/>
        <w:tblCellMar>
          <w:top w:w="28" w:type="dxa"/>
          <w:left w:w="28" w:type="dxa"/>
          <w:bottom w:w="28" w:type="dxa"/>
          <w:right w:w="28" w:type="dxa"/>
        </w:tblCellMar>
      </w:tblPr>
      <w:tblGrid>
        <w:gridCol w:w="124"/>
        <w:gridCol w:w="256"/>
        <w:gridCol w:w="86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participation in, and any potential benefits from, events, conferences, presentations and conventions;</w:t>
            </w:r>
          </w:p>
        </w:tc>
      </w:tr>
    </w:tbl>
    <w:tbl>
      <w:tblPr>
        <w:tblW w:w="4326" w:type="dxa"/>
        <w:jc w:val="left"/>
        <w:tblInd w:w="0" w:type="dxa"/>
        <w:tblCellMar>
          <w:top w:w="28" w:type="dxa"/>
          <w:left w:w="28" w:type="dxa"/>
          <w:bottom w:w="28" w:type="dxa"/>
          <w:right w:w="28" w:type="dxa"/>
        </w:tblCellMar>
      </w:tblPr>
      <w:tblGrid>
        <w:gridCol w:w="124"/>
        <w:gridCol w:w="256"/>
        <w:gridCol w:w="39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position and strategy;</w:t>
            </w:r>
          </w:p>
        </w:tc>
      </w:tr>
    </w:tbl>
    <w:tbl>
      <w:tblPr>
        <w:tblW w:w="9021" w:type="dxa"/>
        <w:jc w:val="left"/>
        <w:tblInd w:w="0" w:type="dxa"/>
        <w:tblCellMar>
          <w:top w:w="28" w:type="dxa"/>
          <w:left w:w="28" w:type="dxa"/>
          <w:bottom w:w="28" w:type="dxa"/>
          <w:right w:w="28" w:type="dxa"/>
        </w:tblCellMar>
      </w:tblPr>
      <w:tblGrid>
        <w:gridCol w:w="124"/>
        <w:gridCol w:w="256"/>
        <w:gridCol w:w="86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future revenue, capital requirements and need for additional financing;</w:t>
            </w:r>
          </w:p>
        </w:tc>
      </w:tr>
    </w:tbl>
    <w:tbl>
      <w:tblPr>
        <w:tblW w:w="9981" w:type="dxa"/>
        <w:jc w:val="left"/>
        <w:tblInd w:w="0" w:type="dxa"/>
        <w:tblCellMar>
          <w:top w:w="28" w:type="dxa"/>
          <w:left w:w="28" w:type="dxa"/>
          <w:bottom w:w="28" w:type="dxa"/>
          <w:right w:w="28" w:type="dxa"/>
        </w:tblCellMar>
      </w:tblPr>
      <w:tblGrid>
        <w:gridCol w:w="124"/>
        <w:gridCol w:w="256"/>
        <w:gridCol w:w="9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investments in, or other strategic options for, our subsidiary, OnkosXcel Therapeutics, LLC (“OnkosXcel”);</w:t>
            </w:r>
          </w:p>
        </w:tc>
      </w:tr>
    </w:tbl>
    <w:tbl>
      <w:tblPr>
        <w:tblW w:w="5316" w:type="dxa"/>
        <w:jc w:val="left"/>
        <w:tblInd w:w="0" w:type="dxa"/>
        <w:tblCellMar>
          <w:top w:w="28" w:type="dxa"/>
          <w:left w:w="28" w:type="dxa"/>
          <w:bottom w:w="28" w:type="dxa"/>
          <w:right w:w="28" w:type="dxa"/>
        </w:tblCellMar>
      </w:tblPr>
      <w:tblGrid>
        <w:gridCol w:w="124"/>
        <w:gridCol w:w="256"/>
        <w:gridCol w:w="49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bl>
    <w:tbl>
      <w:tblPr>
        <w:tblW w:w="4731" w:type="dxa"/>
        <w:jc w:val="left"/>
        <w:tblInd w:w="0" w:type="dxa"/>
        <w:tblCellMar>
          <w:top w:w="28" w:type="dxa"/>
          <w:left w:w="28" w:type="dxa"/>
          <w:bottom w:w="28" w:type="dxa"/>
          <w:right w:w="28" w:type="dxa"/>
        </w:tblCellMar>
      </w:tblPr>
      <w:tblGrid>
        <w:gridCol w:w="124"/>
        <w:gridCol w:w="256"/>
        <w:gridCol w:w="43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government laws and regulations; and</w:t>
            </w:r>
          </w:p>
        </w:tc>
      </w:tr>
    </w:tbl>
    <w:tbl>
      <w:tblPr>
        <w:tblW w:w="3411" w:type="dxa"/>
        <w:jc w:val="left"/>
        <w:tblInd w:w="0" w:type="dxa"/>
        <w:tblCellMar>
          <w:top w:w="28" w:type="dxa"/>
          <w:left w:w="28" w:type="dxa"/>
          <w:bottom w:w="28" w:type="dxa"/>
          <w:right w:w="28" w:type="dxa"/>
        </w:tblCellMar>
      </w:tblPr>
      <w:tblGrid>
        <w:gridCol w:w="124"/>
        <w:gridCol w:w="256"/>
        <w:gridCol w:w="30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 with BioXcel LLC.</w:t>
            </w:r>
          </w:p>
        </w:tc>
      </w:tr>
    </w:tbl>
    <w:p>
      <w:pPr>
        <w:pStyle w:val="TextBody"/>
        <w:spacing w:lineRule="atLeast" w:line="220" w:before="0" w:after="200"/>
        <w:ind w:left="0" w:right="0" w:firstLine="360"/>
        <w:rPr>
          <w:rFonts w:ascii="Times New Roman;Times;serif" w:hAnsi="Times New Roman;Times;serif"/>
          <w:sz w:val="20"/>
        </w:rPr>
      </w:pPr>
      <w:r>
        <w:rPr>
          <w:rFonts w:ascii="Times New Roman;Times;serif" w:hAnsi="Times New Roman;Times;serif"/>
          <w:sz w:val="20"/>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listed under “Summary Risk Factors,” Part II, Item 1A. “Risk Factors,” and Part I, Item 2. “Management’s Discussion and Analysis of Financial Condition and Results of Operations” and elsewhere in this Quarterly Report on Form 10-Q. These and other important factors discussed under the caption “Risk Factors” in our other filings with the Securities and Exchange Commission (“SEC”) could cause actual results to differ materially from those indicated by the forward-looking statements made in this filing. Given these uncertainties, you should not rely on these forward-looking statements as predictions of future events. While we may elect to update forward-looking statements at some point in the future, we disclaim any obligation to do so, even if subsequent events cause our views to change.</w:t>
      </w:r>
    </w:p>
    <w:p>
      <w:pPr>
        <w:pStyle w:val="TextBody"/>
        <w:spacing w:lineRule="atLeast" w:line="220" w:before="0" w:after="200"/>
        <w:ind w:left="0" w:right="0" w:firstLine="360"/>
        <w:rPr>
          <w:rFonts w:ascii="Times New Roman;Times;serif" w:hAnsi="Times New Roman;Times;serif"/>
          <w:sz w:val="20"/>
        </w:rPr>
      </w:pPr>
      <w:r>
        <w:rPr>
          <w:rFonts w:ascii="Times New Roman;Times;serif" w:hAnsi="Times New Roman;Times;serif"/>
          <w:sz w:val="20"/>
        </w:rPr>
        <w:t>As used in this Quarterly Report on Form 10-Q, unless otherwise specified or the context otherwise requires, the terms “we,” “our,” “us,” the “Company” or “BTI” refer to BioXcel Therapeutics, Inc. and “BioXcel LLC” refers to the Company’s former parent company and significant stockholder, BioXcel LLC and its predecessor, BioXcel Corporation.</w:t>
      </w:r>
    </w:p>
    <w:p>
      <w:pPr>
        <w:pStyle w:val="TextBody"/>
        <w:spacing w:lineRule="atLeast" w:line="220" w:before="0" w:after="200"/>
        <w:ind w:left="0" w:right="0" w:firstLine="360"/>
        <w:rPr>
          <w:rFonts w:ascii="Times New Roman;Times;serif" w:hAnsi="Times New Roman;Times;serif"/>
          <w:sz w:val="20"/>
        </w:rPr>
      </w:pPr>
      <w:r>
        <w:rPr>
          <w:rFonts w:ascii="Times New Roman;Times;serif" w:hAnsi="Times New Roman;Times;serif"/>
          <w:sz w:val="20"/>
        </w:rPr>
        <w:t xml:space="preserve">We may use our website as a distribution channel of material information about the Company. Financial and other important information regarding the Company is routinely posted on and accessible through the Investors &amp; Media section of its website at </w:t>
      </w:r>
      <w:r>
        <w:rPr>
          <w:rFonts w:ascii="Times New Roman;Times;serif" w:hAnsi="Times New Roman;Times;serif"/>
          <w:i/>
          <w:sz w:val="20"/>
        </w:rPr>
        <w:t>www.bioxceltherapeutics.com</w:t>
      </w:r>
      <w:r>
        <w:rPr>
          <w:rFonts w:ascii="Times New Roman;Times;serif" w:hAnsi="Times New Roman;Times;serif"/>
          <w:sz w:val="20"/>
        </w:rPr>
        <w:t xml:space="preserve">. In addition, you may automatically receive email alerts and other information about the Company when you enroll your email address by visiting the “Email Alerts” option under the News / Events menu of the Investors &amp; Media section of our website at </w:t>
      </w:r>
      <w:r>
        <w:rPr>
          <w:rFonts w:ascii="Times New Roman;Times;serif" w:hAnsi="Times New Roman;Times;serif"/>
          <w:i/>
          <w:sz w:val="20"/>
        </w:rPr>
        <w:t>www.bioxceltherapeutics.com</w:t>
      </w:r>
      <w:r>
        <w:rPr>
          <w:rFonts w:ascii="Times New Roman;Times;serif" w:hAnsi="Times New Roman;Times;serif"/>
          <w:sz w:val="20"/>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tLeast" w:line="200" w:before="0" w:after="200"/>
        <w:ind w:left="0" w:right="0" w:firstLine="360"/>
        <w:jc w:val="center"/>
        <w:rPr>
          <w:rFonts w:ascii="Times New Roman;Times;serif" w:hAnsi="Times New Roman;Times;serif"/>
          <w:b/>
          <w:sz w:val="20"/>
        </w:rPr>
      </w:pPr>
      <w:bookmarkStart w:id="47" w:name="_011465f1_0c0a_407a_b14a_a658a0896291"/>
      <w:bookmarkEnd w:id="47"/>
      <w:r>
        <w:rPr>
          <w:rFonts w:ascii="Times New Roman;Times;serif" w:hAnsi="Times New Roman;Times;serif"/>
          <w:b/>
          <w:sz w:val="20"/>
        </w:rPr>
        <w:t>SUMMARY RISK FACTORS</w:t>
      </w:r>
    </w:p>
    <w:p>
      <w:pPr>
        <w:pStyle w:val="TextBody"/>
        <w:spacing w:before="0" w:after="200"/>
        <w:ind w:left="0" w:right="0" w:firstLine="360"/>
        <w:rPr>
          <w:rFonts w:ascii="Times New Roman;Times;serif" w:hAnsi="Times New Roman;Times;serif"/>
          <w:sz w:val="20"/>
        </w:rPr>
      </w:pPr>
      <w:bookmarkStart w:id="48" w:name="Summary_Risk_Factors"/>
      <w:bookmarkEnd w:id="48"/>
      <w:r>
        <w:rPr>
          <w:rFonts w:ascii="Times New Roman;Times;serif" w:hAnsi="Times New Roman;Times;serif"/>
          <w:sz w:val="20"/>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and have not generated substantial product revenues to date, which may make it difficult to evaluate the success of our business to date and to assess our future viability.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since inception and anticipate that we will continue to incur substantial operating losses for the foreseeable future and may never achieve or maintain profitability.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substantial additional funding, and if we are unable to raise capital when needed, we could be forced to delay, reduce or eliminate our product development programs or commercialization efforts.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our financing facilities.</w:t>
            </w:r>
          </w:p>
        </w:tc>
      </w:tr>
    </w:tbl>
    <w:tbl>
      <w:tblPr>
        <w:tblW w:w="6186" w:type="dxa"/>
        <w:jc w:val="left"/>
        <w:tblInd w:w="0" w:type="dxa"/>
        <w:tblCellMar>
          <w:top w:w="28" w:type="dxa"/>
          <w:left w:w="28" w:type="dxa"/>
          <w:bottom w:w="28" w:type="dxa"/>
          <w:right w:w="28" w:type="dxa"/>
        </w:tblCellMar>
      </w:tblPr>
      <w:tblGrid>
        <w:gridCol w:w="124"/>
        <w:gridCol w:w="256"/>
        <w:gridCol w:w="58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experience in drug discovery and drug development.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In the near term, we are dependent on the success of IGALMI, and three of our product candidates, BXCL501, BXCL502, BXCL701 and BXCL702. If we are unable to complete the clinical development of or obtain marketing approval for our product candidates or successfully commercialize IGALMI</w:t>
            </w:r>
            <w:r>
              <w:rPr>
                <w:caps w:val="false"/>
                <w:smallCaps w:val="false"/>
              </w:rPr>
              <w:t xml:space="preserve"> </w:t>
            </w:r>
            <w:r>
              <w:rPr>
                <w:rFonts w:ascii="Times New Roman;Times;serif" w:hAnsi="Times New Roman;Times;serif"/>
                <w:b w:val="false"/>
                <w:i w:val="false"/>
                <w:caps w:val="false"/>
                <w:smallCaps w:val="false"/>
                <w:sz w:val="20"/>
              </w:rPr>
              <w:t>or our product candidates, either alone or with a collaborator, or if we experience significant delays in doing so, our business could be substantially harmed.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approval processes of the United States (“U.S.”) Food and Drug Administration (“FDA”), and comparable foreign authorities are lengthy, time consuming, expensive and inherently unpredictable, and if we are ultimately unable to obtain regulatory approval for our product candidates, our business will be substantially harmed.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are expensive, time-consuming and difficult to design and implement, and involve an uncertain outcome.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enrollment of patients in our clinical trials to continue development of our product candidates. If we are unable to enroll patients in our clinical trials, our research and development efforts could be adversely affected.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BioXcel LLC’s approach to the discovery and development of product candidates based on EvolverAI, its proprietary pharmaceutical discovery and development engine, is novel and unproven, and we do not know whether we will be able to develop any products of commercial value. Furthermore, EvolverAI could be disrupted due to a rapidly evolving artificial intelligence (“AI”) environment requiring us to in parallel develop an internal alternate AI engine.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required by the FDA or similar regulatory authorities to obtain approval (or clearance, or certification) of a companion diagnostic device in connection with approval of one of our product candidates,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109"/>
        <w:gridCol w:w="99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we do not obtain or face delays in obtaining approval (or clearance, or certification) of a companion diagnostic device, we will not be able to commercialize the product candidate and our ability to generate revenue will be materially impaired.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FDA approved IGALMI for the acute treatment of agitation associated with schizophrenia or bipolar I or II disorder, we still face extensive and ongoing regulatory requirements and obligations for IGALMI and for any product candidates for which we obtain approval.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and other regulatory agencies actively enforce the laws and regulations prohibiting the promotion of off-label uses.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products do not gain market acceptance or if we fail to accurately forecast demand or manage our inventories, our business will suffer because we might not be able to fund future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develop satisfactory sales and marketing capabilities, we may not succeed in commercializing IGALMI or any product candidate for which we may obtain regulatory approval.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obtained FDA approval for IGALMI, our products and product candidates may not be accepted by physicians or the medical community in general.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depend on BioXcel LLC to provide us with certain services for our business. Our business could be adversely affected if BioXcel LLC is unable to provide such services or there is a disruption in its provision of such services.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BioXcel LLC has significant influence over the direction of our business, and the concentrated ownership of our common stock will prevent you and other stockholders from influencing significant decisions.</w:t>
            </w:r>
          </w:p>
        </w:tc>
      </w:tr>
    </w:tbl>
    <w:tbl>
      <w:tblPr>
        <w:tblW w:w="5946" w:type="dxa"/>
        <w:jc w:val="left"/>
        <w:tblInd w:w="0" w:type="dxa"/>
        <w:tblCellMar>
          <w:top w:w="28" w:type="dxa"/>
          <w:left w:w="28" w:type="dxa"/>
          <w:bottom w:w="28" w:type="dxa"/>
          <w:right w:w="28" w:type="dxa"/>
        </w:tblCellMar>
      </w:tblPr>
      <w:tblGrid>
        <w:gridCol w:w="124"/>
        <w:gridCol w:w="256"/>
        <w:gridCol w:w="55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highly competitive and rapidly changing industry.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substantially dependent on third parties for the manufacture of our clinical supplies of our product candidates, and our commercial supplies of IGALMI, and we intend to rely on third parties to produce commercial supplies of any other approved product candidate. Therefore, our development of our products could be stopped or delayed, and our commercialization of any future product could be stopped or delayed or made less profitable if third-party manufacturers fail to obtain approval of the FDA or comparable regulatory authorities or fail to provide us with drug product in sufficient quantities or at acceptable prices.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breaches or cyber-attacks could disrupt our business, operations and information technology systems, and financial results, or result in the loss or exposure of confidential or sensitive Company information.</w:t>
            </w:r>
          </w:p>
        </w:tc>
      </w:tr>
    </w:tbl>
    <w:tbl>
      <w:tblPr>
        <w:tblW w:w="9396" w:type="dxa"/>
        <w:jc w:val="left"/>
        <w:tblInd w:w="0" w:type="dxa"/>
        <w:tblCellMar>
          <w:top w:w="28" w:type="dxa"/>
          <w:left w:w="28" w:type="dxa"/>
          <w:bottom w:w="28" w:type="dxa"/>
          <w:right w:w="28" w:type="dxa"/>
        </w:tblCellMar>
      </w:tblPr>
      <w:tblGrid>
        <w:gridCol w:w="124"/>
        <w:gridCol w:w="256"/>
        <w:gridCol w:w="90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associated with the increased scrutiny relating to environmental, social and governance matters.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our senior management team, and the loss of one or more of our executive officers or key employees or an inability to attract and retain highly skilled employees could adversely affect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jc w:val="center"/>
        <w:rPr>
          <w:rFonts w:ascii="Times New Roman;Times;serif" w:hAnsi="Times New Roman;Times;serif"/>
          <w:b/>
          <w:sz w:val="20"/>
        </w:rPr>
      </w:pPr>
      <w:r>
        <w:rPr>
          <w:rFonts w:ascii="Times New Roman;Times;serif" w:hAnsi="Times New Roman;Times;serif"/>
          <w:b/>
          <w:sz w:val="20"/>
        </w:rPr>
        <w:t>TRADEMARKS, TRADE NAMES AND SERVICE MARKS</w:t>
      </w:r>
    </w:p>
    <w:p>
      <w:pPr>
        <w:pStyle w:val="TextBody"/>
        <w:spacing w:lineRule="auto" w:line="240" w:before="0" w:after="200"/>
        <w:ind w:left="0" w:right="0" w:firstLine="360"/>
        <w:rPr>
          <w:rFonts w:ascii="Times New Roman;Times;serif" w:hAnsi="Times New Roman;Times;serif"/>
          <w:sz w:val="20"/>
        </w:rPr>
      </w:pPr>
      <w:r>
        <w:rPr>
          <w:rFonts w:ascii="Times New Roman;Times;serif" w:hAnsi="Times New Roman;Times;serif"/>
          <w:sz w:val="20"/>
        </w:rPr>
        <w:t xml:space="preserve">This Quarterly Report includes our trademarks, trade names and service marks, including, without limitation, “IGALMI” and our logo, which are our property and are protected under applicable intellectual property laws. Solely for convenience, trademarks, trade names and service marks may appear in this Quarterly Report without the </w:t>
      </w:r>
      <w:r>
        <w:rPr>
          <w:rFonts w:ascii="Times New Roman;Times;serif" w:hAnsi="Times New Roman;Times;serif"/>
          <w:sz w:val="15"/>
        </w:rPr>
        <w:t>®</w:t>
      </w:r>
      <w:r>
        <w:rPr>
          <w:rFonts w:ascii="Times New Roman;Times;serif" w:hAnsi="Times New Roman;Times;serif"/>
          <w:sz w:val="20"/>
        </w:rPr>
        <w:t xml:space="preserve">, </w:t>
      </w:r>
      <w:r>
        <w:rPr>
          <w:rFonts w:ascii="Times New Roman;Times;serif" w:hAnsi="Times New Roman;Times;serif"/>
          <w:sz w:val="15"/>
        </w:rPr>
        <w:t>TM</w:t>
      </w:r>
      <w:r>
        <w:rPr>
          <w:rFonts w:ascii="Times New Roman;Times;serif" w:hAnsi="Times New Roman;Times;serif"/>
          <w:sz w:val="20"/>
        </w:rPr>
        <w:t xml:space="preserve"> and </w:t>
      </w:r>
      <w:r>
        <w:rPr>
          <w:rFonts w:ascii="Times New Roman;Times;serif" w:hAnsi="Times New Roman;Times;serif"/>
          <w:sz w:val="15"/>
        </w:rPr>
        <w:t>SM</w:t>
      </w:r>
      <w:r>
        <w:rPr>
          <w:rFonts w:ascii="Times New Roman;Times;serif" w:hAnsi="Times New Roman;Times;serif"/>
          <w:sz w:val="20"/>
        </w:rPr>
        <w:t xml:space="preserve">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spacing w:before="0" w:after="200"/>
        <w:ind w:left="0" w:right="0" w:firstLine="360"/>
        <w:jc w:val="center"/>
        <w:rPr>
          <w:rFonts w:ascii="Times New Roman;Times;serif" w:hAnsi="Times New Roman;Times;serif"/>
          <w:b/>
          <w:sz w:val="20"/>
        </w:rPr>
      </w:pPr>
      <w:r>
        <w:rPr>
          <w:rFonts w:ascii="Times New Roman;Times;serif" w:hAnsi="Times New Roman;Times;serif"/>
          <w:b/>
          <w:sz w:val="20"/>
        </w:rPr>
        <w:t>INDUSTRY AND OTHER DATA</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the information from these third-party publications, research, surveys and studies included in this Quarterly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Quarterly Report under “Forward-Looking Statements” and Part II, Item 1A “Risk Factors.” These and other factors could cause our future performance to differ materially from our assumptions and estimates.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pPr>
      <w:bookmarkStart w:id="49" w:name="_e744b3ea_65d7_4960_a0d0_f24d44ce6268"/>
      <w:bookmarkEnd w:id="49"/>
      <w:r>
        <w:rPr/>
        <w:t>​</w:t>
      </w:r>
    </w:p>
    <w:p>
      <w:pPr>
        <w:pStyle w:val="TextBody"/>
        <w:spacing w:before="0" w:after="200"/>
        <w:ind w:left="0" w:right="0" w:hanging="0"/>
        <w:jc w:val="center"/>
        <w:rPr>
          <w:rFonts w:ascii="Times New Roman;Times;serif" w:hAnsi="Times New Roman;Times;serif"/>
          <w:b/>
          <w:sz w:val="20"/>
        </w:rPr>
      </w:pPr>
      <w:bookmarkStart w:id="50" w:name="PART1FINANCIALINFORMATION_422919"/>
      <w:bookmarkEnd w:id="50"/>
      <w:r>
        <w:rPr>
          <w:rFonts w:ascii="Times New Roman;Times;serif" w:hAnsi="Times New Roman;Times;serif"/>
          <w:b/>
          <w:sz w:val="20"/>
        </w:rPr>
        <w:t>PART I. FINANCIAL INFORMATION</w:t>
      </w:r>
    </w:p>
    <w:p>
      <w:pPr>
        <w:pStyle w:val="TextBody"/>
        <w:spacing w:before="0" w:after="200"/>
        <w:ind w:left="0" w:right="0" w:hanging="0"/>
        <w:rPr>
          <w:rFonts w:ascii="Times New Roman;Times;serif" w:hAnsi="Times New Roman;Times;serif"/>
          <w:b/>
          <w:sz w:val="20"/>
        </w:rPr>
      </w:pPr>
      <w:bookmarkStart w:id="51" w:name="Item1FinancialStatements_877614"/>
      <w:bookmarkEnd w:id="51"/>
      <w:r>
        <w:rPr>
          <w:rFonts w:ascii="Times New Roman;Times;serif" w:hAnsi="Times New Roman;Times;serif"/>
          <w:b/>
          <w:sz w:val="20"/>
        </w:rPr>
        <w:t>Item 1. Financial Statements</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BIOXCEL THERAPEUTICS, INC.</w:t>
      </w:r>
    </w:p>
    <w:p>
      <w:pPr>
        <w:pStyle w:val="TextBody"/>
        <w:spacing w:before="0" w:after="200"/>
        <w:ind w:left="0" w:right="0" w:hanging="0"/>
        <w:jc w:val="center"/>
        <w:rPr>
          <w:rFonts w:ascii="Times New Roman;Times;serif" w:hAnsi="Times New Roman;Times;serif"/>
          <w:b/>
          <w:sz w:val="20"/>
        </w:rPr>
      </w:pPr>
      <w:bookmarkStart w:id="52" w:name="BALANCESHEETS_142330"/>
      <w:bookmarkEnd w:id="52"/>
      <w:r>
        <w:rPr>
          <w:rFonts w:ascii="Times New Roman;Times;serif" w:hAnsi="Times New Roman;Times;serif"/>
          <w:b/>
          <w:sz w:val="20"/>
        </w:rPr>
        <w:t>CONDENSED CONSOLIDATED BALANCE SHEETS</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(amounts in thousands, except per share amounts)</w:t>
      </w:r>
    </w:p>
    <w:p>
      <w:pPr>
        <w:pStyle w:val="Normal"/>
        <w:spacing w:before="0" w:after="0"/>
        <w:rPr>
          <w:sz w:val="4"/>
          <w:szCs w:val="4"/>
        </w:rPr>
      </w:pPr>
      <w:r>
        <w:rPr>
          <w:sz w:val="4"/>
          <w:szCs w:val="4"/>
        </w:rPr>
      </w:r>
      <w:bookmarkStart w:id="53" w:name="Tc_R6hnfR15lE6ep5Tx0HsjXg_38_5"/>
      <w:bookmarkStart w:id="54" w:name="Tc_mIL8JNs3F06xYpGf-KqRFw_38_2"/>
      <w:bookmarkStart w:id="55" w:name="Tc_eLTyjYENfkSuigHVBkfDfA_38_0"/>
      <w:bookmarkStart w:id="56" w:name="Tc_-fmjZXfVV0eANRCM54ImmQ_37_5"/>
      <w:bookmarkStart w:id="57" w:name="Tc_TAVM0L6OXUKqm31DSKKiZw_37_2"/>
      <w:bookmarkStart w:id="58" w:name="Tc_d7FdVxStQ06o_NfNg7tNQQ_37_0"/>
      <w:bookmarkStart w:id="59" w:name="Tc_Z_p-uSmaD0mx5O2xQo3ujw_36_0"/>
      <w:bookmarkStart w:id="60" w:name="Tc_09FeNDD9VUyKD7TrgOfMSg_35_0"/>
      <w:bookmarkStart w:id="61" w:name="Tc_AYO5ZE0UXkmfVi7TFWnmRQ_34_0"/>
      <w:bookmarkStart w:id="62" w:name="Tc_7uHxxnHFnUK6vhYv2GrKYA_33_5"/>
      <w:bookmarkStart w:id="63" w:name="Tc_rslppHAN2U-sRgUQXWBm4A_33_2"/>
      <w:bookmarkStart w:id="64" w:name="_abab3656_a825_4328_94cd_3e2375d8789e_3"/>
      <w:bookmarkStart w:id="65" w:name="_abab3656_a825_4328_94cd_3e2375d8789e_2"/>
      <w:bookmarkStart w:id="66" w:name="_abab3656_a825_4328_94cd_3e2375d8789e"/>
      <w:bookmarkStart w:id="67" w:name="Tc_ClJHEC8UJEK9FfX8Z3CvyA_33_0"/>
      <w:bookmarkStart w:id="68" w:name="Tc_qWlo2hjRNE6WHZbeNRP-cA_32_0"/>
      <w:bookmarkStart w:id="69" w:name="Tc_dF8txC6z2EmJax4t3cr8sA_31_0"/>
      <w:bookmarkStart w:id="70" w:name="Tc_4REKYdrlUEK6DBGijb4E3A_29_5"/>
      <w:bookmarkStart w:id="71" w:name="Tc_IYUe_vRXxEKMi0VUcw2DqA_29_2"/>
      <w:bookmarkStart w:id="72" w:name="Tc_mSku6RgGN06ZTENNSV9yJg_29_0"/>
      <w:bookmarkStart w:id="73" w:name="Tc_uyJpO4l-W0CQw_iU4Z26kg_28_0"/>
      <w:bookmarkStart w:id="74" w:name="Tc_qeVdztCB_EWxIU1zgL0RRw_27_0"/>
      <w:bookmarkStart w:id="75" w:name="Tc_wPOW3ESPwE2E5M3-yelgsQ_26_0"/>
      <w:bookmarkStart w:id="76" w:name="Tc_ldi24xAVEUC1pX_nc60jHA_25_5"/>
      <w:bookmarkStart w:id="77" w:name="Tc_GUVViuoHX0aqFQAArc2_qw_25_2"/>
      <w:bookmarkStart w:id="78" w:name="Tc_rY2aQ5SEQ0uXPnlADnRjLA_25_0"/>
      <w:bookmarkStart w:id="79" w:name="Tc_9d4ePooas0ipY0BdIBMcDA_24_0"/>
      <w:bookmarkStart w:id="80" w:name="Tc_VCRDQT4Q_UGBuS4Qk4Fs7A_23_0"/>
      <w:bookmarkStart w:id="81" w:name="Tc_9XtQYk6qwkShdeFpW0XjqQ_22_0"/>
      <w:bookmarkStart w:id="82" w:name="Tc_lezPi8icVkyEtS5BsPB0Zw_21_0"/>
      <w:bookmarkStart w:id="83" w:name="Tc_W35bOYgZ10ubvYg0XLvsTA_20_5"/>
      <w:bookmarkStart w:id="84" w:name="Tc_BFVpEaJoYkmxMrNfEvymLg_20_2"/>
      <w:bookmarkStart w:id="85" w:name="Tc_CVT1lT_OvkyJCRZHx90Lew_20_0"/>
      <w:bookmarkStart w:id="86" w:name="Tc_HkD-3W0g9keeY-SSVyGoCQ_19_0"/>
      <w:bookmarkStart w:id="87" w:name="Tc_6GFFLLLrA0KuRZ3KI1pEEQ_18_0"/>
      <w:bookmarkStart w:id="88" w:name="Tc_DE_Tg-m0BE6pQYrjIlVU7Q_16_5"/>
      <w:bookmarkStart w:id="89" w:name="Tc_Z5OPpXnSJUez2kzmfzVmbA_16_2"/>
      <w:bookmarkStart w:id="90" w:name="Tc_E1evc-W-iUCtN_HWyzK23w_16_0"/>
      <w:bookmarkStart w:id="91" w:name="Tc_4f-aCL8iBUOkoOAwR1eiMg_15_0"/>
      <w:bookmarkStart w:id="92" w:name="Tc_Bm6WMOVpXEmPI2-DtENMwQ_14_0"/>
      <w:bookmarkStart w:id="93" w:name="Tc_HXPRhzlueESuVzN9dHL-3Q_13_0"/>
      <w:bookmarkStart w:id="94" w:name="Tc_Njn8gcvSoUag-5t4F7c2Kg_12_5"/>
      <w:bookmarkStart w:id="95" w:name="Tc_e7zFHvAzDkyKvFTHItd3sg_12_2"/>
      <w:bookmarkStart w:id="96" w:name="Tc_KP7LHf2mN0KJWhOlZ7zIOQ_12_0"/>
      <w:bookmarkStart w:id="97" w:name="Tc_XwfFU1QAdUCxLNpg0A-VYg_11_0"/>
      <w:bookmarkStart w:id="98" w:name="Tc_Bp_rrJNyeESDRLH67wvG9A_10_0"/>
      <w:bookmarkStart w:id="99" w:name="Tc_jFEDJR0fh0yQF_rXaBzZ6w_9_0"/>
      <w:bookmarkStart w:id="100" w:name="Tc_JwHXaY2MIECm-bc_0pxrcg_8_0"/>
      <w:bookmarkStart w:id="101" w:name="Tc_VtTYzIr9bk2s7bWBuzYbsQ_7_5"/>
      <w:bookmarkStart w:id="102" w:name="Tc_2kgnExqZKEeO0TgZZ4E6IA_7_2"/>
      <w:bookmarkStart w:id="103" w:name="Tc_NyzMyF4awk2_DNJIEa5U_g_7_0"/>
      <w:bookmarkStart w:id="104" w:name="Tc_olkQZqUdtEOUneElyVP_1g_6_0"/>
      <w:bookmarkStart w:id="105" w:name="Tc_1tSUzPDukEWpn2FKoYWb3w_5_0"/>
      <w:bookmarkStart w:id="106" w:name="Tc_ChMyxs6Sr0OMJADMxfpKsg_4_5"/>
      <w:bookmarkStart w:id="107" w:name="Tc_0_zgR-F8NEOzHIMv_aylIw_4_2"/>
      <w:bookmarkStart w:id="108" w:name="Tc_KxLBpgtHakiyl4mFX1gQuQ_3_5"/>
      <w:bookmarkStart w:id="109" w:name="Tc_II-RTqmdQ0CMhp96ic6njQ_3_2"/>
      <w:bookmarkStart w:id="110" w:name="Tc_xQsTnUzRK0OT8wR9rmTTXg_2_2"/>
      <w:bookmarkStart w:id="111" w:name="_6d6a86f9_eb22_49fa_8096_7b0529b174c7"/>
      <w:bookmarkStart w:id="112" w:name="Tc_R6hnfR15lE6ep5Tx0HsjXg_38_5"/>
      <w:bookmarkStart w:id="113" w:name="Tc_mIL8JNs3F06xYpGf-KqRFw_38_2"/>
      <w:bookmarkStart w:id="114" w:name="Tc_eLTyjYENfkSuigHVBkfDfA_38_0"/>
      <w:bookmarkStart w:id="115" w:name="Tc_-fmjZXfVV0eANRCM54ImmQ_37_5"/>
      <w:bookmarkStart w:id="116" w:name="Tc_TAVM0L6OXUKqm31DSKKiZw_37_2"/>
      <w:bookmarkStart w:id="117" w:name="Tc_d7FdVxStQ06o_NfNg7tNQQ_37_0"/>
      <w:bookmarkStart w:id="118" w:name="Tc_Z_p-uSmaD0mx5O2xQo3ujw_36_0"/>
      <w:bookmarkStart w:id="119" w:name="Tc_09FeNDD9VUyKD7TrgOfMSg_35_0"/>
      <w:bookmarkStart w:id="120" w:name="Tc_AYO5ZE0UXkmfVi7TFWnmRQ_34_0"/>
      <w:bookmarkStart w:id="121" w:name="Tc_7uHxxnHFnUK6vhYv2GrKYA_33_5"/>
      <w:bookmarkStart w:id="122" w:name="Tc_rslppHAN2U-sRgUQXWBm4A_33_2"/>
      <w:bookmarkStart w:id="123" w:name="_abab3656_a825_4328_94cd_3e2375d8789e_3"/>
      <w:bookmarkStart w:id="124" w:name="_abab3656_a825_4328_94cd_3e2375d8789e_2"/>
      <w:bookmarkStart w:id="125" w:name="_abab3656_a825_4328_94cd_3e2375d8789e"/>
      <w:bookmarkStart w:id="126" w:name="Tc_ClJHEC8UJEK9FfX8Z3CvyA_33_0"/>
      <w:bookmarkStart w:id="127" w:name="Tc_qWlo2hjRNE6WHZbeNRP-cA_32_0"/>
      <w:bookmarkStart w:id="128" w:name="Tc_dF8txC6z2EmJax4t3cr8sA_31_0"/>
      <w:bookmarkStart w:id="129" w:name="Tc_4REKYdrlUEK6DBGijb4E3A_29_5"/>
      <w:bookmarkStart w:id="130" w:name="Tc_IYUe_vRXxEKMi0VUcw2DqA_29_2"/>
      <w:bookmarkStart w:id="131" w:name="Tc_mSku6RgGN06ZTENNSV9yJg_29_0"/>
      <w:bookmarkStart w:id="132" w:name="Tc_uyJpO4l-W0CQw_iU4Z26kg_28_0"/>
      <w:bookmarkStart w:id="133" w:name="Tc_qeVdztCB_EWxIU1zgL0RRw_27_0"/>
      <w:bookmarkStart w:id="134" w:name="Tc_wPOW3ESPwE2E5M3-yelgsQ_26_0"/>
      <w:bookmarkStart w:id="135" w:name="Tc_ldi24xAVEUC1pX_nc60jHA_25_5"/>
      <w:bookmarkStart w:id="136" w:name="Tc_GUVViuoHX0aqFQAArc2_qw_25_2"/>
      <w:bookmarkStart w:id="137" w:name="Tc_rY2aQ5SEQ0uXPnlADnRjLA_25_0"/>
      <w:bookmarkStart w:id="138" w:name="Tc_9d4ePooas0ipY0BdIBMcDA_24_0"/>
      <w:bookmarkStart w:id="139" w:name="Tc_VCRDQT4Q_UGBuS4Qk4Fs7A_23_0"/>
      <w:bookmarkStart w:id="140" w:name="Tc_9XtQYk6qwkShdeFpW0XjqQ_22_0"/>
      <w:bookmarkStart w:id="141" w:name="Tc_lezPi8icVkyEtS5BsPB0Zw_21_0"/>
      <w:bookmarkStart w:id="142" w:name="Tc_W35bOYgZ10ubvYg0XLvsTA_20_5"/>
      <w:bookmarkStart w:id="143" w:name="Tc_BFVpEaJoYkmxMrNfEvymLg_20_2"/>
      <w:bookmarkStart w:id="144" w:name="Tc_CVT1lT_OvkyJCRZHx90Lew_20_0"/>
      <w:bookmarkStart w:id="145" w:name="Tc_HkD-3W0g9keeY-SSVyGoCQ_19_0"/>
      <w:bookmarkStart w:id="146" w:name="Tc_6GFFLLLrA0KuRZ3KI1pEEQ_18_0"/>
      <w:bookmarkStart w:id="147" w:name="Tc_DE_Tg-m0BE6pQYrjIlVU7Q_16_5"/>
      <w:bookmarkStart w:id="148" w:name="Tc_Z5OPpXnSJUez2kzmfzVmbA_16_2"/>
      <w:bookmarkStart w:id="149" w:name="Tc_E1evc-W-iUCtN_HWyzK23w_16_0"/>
      <w:bookmarkStart w:id="150" w:name="Tc_4f-aCL8iBUOkoOAwR1eiMg_15_0"/>
      <w:bookmarkStart w:id="151" w:name="Tc_Bm6WMOVpXEmPI2-DtENMwQ_14_0"/>
      <w:bookmarkStart w:id="152" w:name="Tc_HXPRhzlueESuVzN9dHL-3Q_13_0"/>
      <w:bookmarkStart w:id="153" w:name="Tc_Njn8gcvSoUag-5t4F7c2Kg_12_5"/>
      <w:bookmarkStart w:id="154" w:name="Tc_e7zFHvAzDkyKvFTHItd3sg_12_2"/>
      <w:bookmarkStart w:id="155" w:name="Tc_KP7LHf2mN0KJWhOlZ7zIOQ_12_0"/>
      <w:bookmarkStart w:id="156" w:name="Tc_XwfFU1QAdUCxLNpg0A-VYg_11_0"/>
      <w:bookmarkStart w:id="157" w:name="Tc_Bp_rrJNyeESDRLH67wvG9A_10_0"/>
      <w:bookmarkStart w:id="158" w:name="Tc_jFEDJR0fh0yQF_rXaBzZ6w_9_0"/>
      <w:bookmarkStart w:id="159" w:name="Tc_JwHXaY2MIECm-bc_0pxrcg_8_0"/>
      <w:bookmarkStart w:id="160" w:name="Tc_VtTYzIr9bk2s7bWBuzYbsQ_7_5"/>
      <w:bookmarkStart w:id="161" w:name="Tc_2kgnExqZKEeO0TgZZ4E6IA_7_2"/>
      <w:bookmarkStart w:id="162" w:name="Tc_NyzMyF4awk2_DNJIEa5U_g_7_0"/>
      <w:bookmarkStart w:id="163" w:name="Tc_olkQZqUdtEOUneElyVP_1g_6_0"/>
      <w:bookmarkStart w:id="164" w:name="Tc_1tSUzPDukEWpn2FKoYWb3w_5_0"/>
      <w:bookmarkStart w:id="165" w:name="Tc_ChMyxs6Sr0OMJADMxfpKsg_4_5"/>
      <w:bookmarkStart w:id="166" w:name="Tc_0_zgR-F8NEOzHIMv_aylIw_4_2"/>
      <w:bookmarkStart w:id="167" w:name="Tc_KxLBpgtHakiyl4mFX1gQuQ_3_5"/>
      <w:bookmarkStart w:id="168" w:name="Tc_II-RTqmdQ0CMhp96ic6njQ_3_2"/>
      <w:bookmarkStart w:id="169" w:name="Tc_xQsTnUzRK0OT8wR9rmTTXg_2_2"/>
      <w:bookmarkStart w:id="170" w:name="_6d6a86f9_eb22_49fa_8096_7b0529b174c7"/>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tbl>
      <w:tblPr>
        <w:tblW w:w="10205" w:type="dxa"/>
        <w:jc w:val="left"/>
        <w:tblInd w:w="0" w:type="dxa"/>
        <w:tblCellMar>
          <w:top w:w="0" w:type="dxa"/>
          <w:left w:w="0" w:type="dxa"/>
          <w:bottom w:w="0" w:type="dxa"/>
          <w:right w:w="0" w:type="dxa"/>
        </w:tblCellMar>
      </w:tblPr>
      <w:tblGrid>
        <w:gridCol w:w="7352"/>
        <w:gridCol w:w="326"/>
        <w:gridCol w:w="211"/>
        <w:gridCol w:w="862"/>
        <w:gridCol w:w="326"/>
        <w:gridCol w:w="212"/>
        <w:gridCol w:w="916"/>
      </w:tblGrid>
      <w:tr>
        <w:trPr/>
        <w:tc>
          <w:tcPr>
            <w:tcW w:w="73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668520" cy="175260"/>
                      <wp:effectExtent l="0" t="0" r="0" b="0"/>
                      <wp:wrapNone/>
                      <wp:docPr id="4" name="Frame4"/>
                      <a:graphic xmlns:a="http://schemas.openxmlformats.org/drawingml/2006/main">
                        <a:graphicData uri="http://schemas.microsoft.com/office/word/2010/wordprocessingShape">
                          <wps:wsp>
                            <wps:cNvSpPr txBox="1"/>
                            <wps:spPr>
                              <a:xfrm>
                                <a:off x="0" y="0"/>
                                <a:ext cx="46685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47370" cy="175260"/>
                      <wp:effectExtent l="0" t="0" r="0" b="0"/>
                      <wp:wrapNone/>
                      <wp:docPr id="7" name="Frame7"/>
                      <a:graphic xmlns:a="http://schemas.openxmlformats.org/drawingml/2006/main">
                        <a:graphicData uri="http://schemas.microsoft.com/office/word/2010/wordprocessingShape">
                          <wps:wsp>
                            <wps:cNvSpPr txBox="1"/>
                            <wps:spPr>
                              <a:xfrm>
                                <a:off x="0" y="0"/>
                                <a:ext cx="5473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4620" cy="175260"/>
                      <wp:effectExtent l="0" t="0" r="0" b="0"/>
                      <wp:wrapNone/>
                      <wp:docPr id="9" name="Frame9"/>
                      <a:graphic xmlns:a="http://schemas.openxmlformats.org/drawingml/2006/main">
                        <a:graphicData uri="http://schemas.microsoft.com/office/word/2010/wordprocessingShape">
                          <wps:wsp>
                            <wps:cNvSpPr txBox="1"/>
                            <wps:spPr>
                              <a:xfrm>
                                <a:off x="0" y="0"/>
                                <a:ext cx="1346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81660" cy="175260"/>
                      <wp:effectExtent l="0" t="0" r="0" b="0"/>
                      <wp:wrapNone/>
                      <wp:docPr id="10" name="Frame10"/>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35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86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28" w:type="dxa"/>
            <w:gridSpan w:val="2"/>
            <w:tcBorders/>
            <w:shd w:fill="auto" w:val="clear"/>
            <w:vAlign w:val="center"/>
          </w:tcPr>
          <w:p>
            <w:pPr>
              <w:pStyle w:val="TableContents"/>
              <w:spacing w:before="0" w:after="1"/>
              <w:ind w:left="0" w:right="0" w:hanging="0"/>
              <w:jc w:val="center"/>
              <w:rPr/>
            </w:pPr>
            <w:r>
              <w:rPr/>
              <w:t>​</w:t>
            </w:r>
          </w:p>
        </w:tc>
      </w:tr>
      <w:tr>
        <w:trPr/>
        <w:tc>
          <w:tcPr>
            <w:tcW w:w="735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73"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jc w:val="center"/>
              <w:rPr/>
            </w:pPr>
            <w:r>
              <w:rPr/>
              <w:t>​</w:t>
            </w:r>
          </w:p>
        </w:tc>
        <w:tc>
          <w:tcPr>
            <w:tcW w:w="212" w:type="dxa"/>
            <w:tcBorders/>
            <w:shd w:fill="auto" w:val="clear"/>
            <w:vAlign w:val="center"/>
          </w:tcPr>
          <w:p>
            <w:pPr>
              <w:pStyle w:val="TableContents"/>
              <w:spacing w:before="0" w:after="1"/>
              <w:ind w:left="0" w:right="0" w:hanging="0"/>
              <w:jc w:val="center"/>
              <w:rPr/>
            </w:pPr>
            <w:r>
              <w:rPr/>
              <w:t>​</w:t>
            </w:r>
          </w:p>
        </w:tc>
        <w:tc>
          <w:tcPr>
            <w:tcW w:w="916" w:type="dxa"/>
            <w:tcBorders/>
            <w:shd w:fill="auto" w:val="clear"/>
            <w:vAlign w:val="center"/>
          </w:tcPr>
          <w:p>
            <w:pPr>
              <w:pStyle w:val="TableContents"/>
              <w:spacing w:before="0" w:after="1"/>
              <w:ind w:left="0" w:right="0" w:hanging="0"/>
              <w:jc w:val="center"/>
              <w:rPr/>
            </w:pPr>
            <w:r>
              <w:rPr/>
              <w:t>​</w:t>
            </w:r>
          </w:p>
        </w:tc>
      </w:tr>
      <w:tr>
        <w:trPr/>
        <w:tc>
          <w:tcPr>
            <w:tcW w:w="735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73"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128"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5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7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auto" w:val="clear"/>
            <w:vAlign w:val="center"/>
          </w:tcPr>
          <w:p>
            <w:pPr>
              <w:pStyle w:val="TableContents"/>
              <w:spacing w:before="0" w:after="1"/>
              <w:ind w:left="0" w:right="0" w:hanging="0"/>
              <w:rPr/>
            </w:pPr>
            <w:r>
              <w:rPr/>
              <w:t>​</w:t>
            </w:r>
          </w:p>
        </w:tc>
        <w:tc>
          <w:tcPr>
            <w:tcW w:w="112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52"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862"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2"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pPr>
            <w:r>
              <w:rPr/>
              <w:t>  </w:t>
            </w:r>
          </w:p>
        </w:tc>
      </w:tr>
      <w:tr>
        <w:trPr/>
        <w:tc>
          <w:tcPr>
            <w:tcW w:w="7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assets</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862"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212"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pPr>
            <w:r>
              <w:rPr/>
              <w:t>  </w:t>
            </w:r>
          </w:p>
        </w:tc>
      </w:tr>
      <w:tr>
        <w:trPr/>
        <w:tc>
          <w:tcPr>
            <w:tcW w:w="73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165,521</w:t>
            </w:r>
          </w:p>
        </w:tc>
        <w:tc>
          <w:tcPr>
            <w:tcW w:w="326" w:type="dxa"/>
            <w:tcBorders/>
            <w:shd w:fill="CCEEFF" w:val="clear"/>
            <w:vAlign w:val="center"/>
          </w:tcPr>
          <w:p>
            <w:pPr>
              <w:pStyle w:val="TableContents"/>
              <w:spacing w:before="0" w:after="1"/>
              <w:ind w:left="0" w:right="0" w:hanging="0"/>
              <w:rPr/>
            </w:pPr>
            <w:r>
              <w:rPr/>
              <w:t>​</w:t>
            </w:r>
          </w:p>
        </w:tc>
        <w:tc>
          <w:tcPr>
            <w:tcW w:w="21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193,725</w:t>
            </w:r>
          </w:p>
        </w:tc>
      </w:tr>
      <w:tr>
        <w:trPr/>
        <w:tc>
          <w:tcPr>
            <w:tcW w:w="7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6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c>
          <w:tcPr>
            <w:tcW w:w="326" w:type="dxa"/>
            <w:tcBorders/>
            <w:shd w:fill="auto" w:val="clear"/>
            <w:vAlign w:val="center"/>
          </w:tcPr>
          <w:p>
            <w:pPr>
              <w:pStyle w:val="TableContents"/>
              <w:spacing w:before="0" w:after="1"/>
              <w:ind w:left="0" w:right="0" w:hanging="0"/>
              <w:rPr/>
            </w:pPr>
            <w:r>
              <w:rPr/>
              <w:t>​</w:t>
            </w:r>
          </w:p>
        </w:tc>
        <w:tc>
          <w:tcPr>
            <w:tcW w:w="212"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73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Inventory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6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1,952</w:t>
            </w:r>
          </w:p>
        </w:tc>
        <w:tc>
          <w:tcPr>
            <w:tcW w:w="326" w:type="dxa"/>
            <w:tcBorders/>
            <w:shd w:fill="CCEEFF" w:val="clear"/>
            <w:vAlign w:val="center"/>
          </w:tcPr>
          <w:p>
            <w:pPr>
              <w:pStyle w:val="TableContents"/>
              <w:spacing w:before="0" w:after="1"/>
              <w:ind w:left="0" w:right="0" w:hanging="0"/>
              <w:rPr/>
            </w:pPr>
            <w:r>
              <w:rPr/>
              <w:t>​</w:t>
            </w:r>
          </w:p>
        </w:tc>
        <w:tc>
          <w:tcPr>
            <w:tcW w:w="212"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1,985</w:t>
            </w:r>
          </w:p>
        </w:tc>
      </w:tr>
      <w:tr>
        <w:trPr/>
        <w:tc>
          <w:tcPr>
            <w:tcW w:w="7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Prepaid expenses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6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4,506</w:t>
            </w:r>
          </w:p>
        </w:tc>
        <w:tc>
          <w:tcPr>
            <w:tcW w:w="326" w:type="dxa"/>
            <w:tcBorders/>
            <w:shd w:fill="auto" w:val="clear"/>
            <w:vAlign w:val="center"/>
          </w:tcPr>
          <w:p>
            <w:pPr>
              <w:pStyle w:val="TableContents"/>
              <w:spacing w:before="0" w:after="1"/>
              <w:ind w:left="0" w:right="0" w:hanging="0"/>
              <w:rPr/>
            </w:pPr>
            <w:r>
              <w:rPr/>
              <w:t>​</w:t>
            </w:r>
          </w:p>
        </w:tc>
        <w:tc>
          <w:tcPr>
            <w:tcW w:w="212"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3,067</w:t>
            </w:r>
          </w:p>
        </w:tc>
      </w:tr>
      <w:tr>
        <w:trPr/>
        <w:tc>
          <w:tcPr>
            <w:tcW w:w="73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6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5,006</w:t>
            </w:r>
          </w:p>
        </w:tc>
        <w:tc>
          <w:tcPr>
            <w:tcW w:w="326" w:type="dxa"/>
            <w:tcBorders/>
            <w:shd w:fill="CCEEFF" w:val="clear"/>
            <w:vAlign w:val="center"/>
          </w:tcPr>
          <w:p>
            <w:pPr>
              <w:pStyle w:val="TableContents"/>
              <w:spacing w:before="0" w:after="1"/>
              <w:ind w:left="0" w:right="0" w:hanging="0"/>
              <w:rPr/>
            </w:pPr>
            <w:r>
              <w:rPr/>
              <w:t>​</w:t>
            </w:r>
          </w:p>
        </w:tc>
        <w:tc>
          <w:tcPr>
            <w:tcW w:w="212"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3,843</w:t>
            </w:r>
          </w:p>
        </w:tc>
      </w:tr>
      <w:tr>
        <w:trPr/>
        <w:tc>
          <w:tcPr>
            <w:tcW w:w="7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177,268</w:t>
            </w:r>
          </w:p>
        </w:tc>
        <w:tc>
          <w:tcPr>
            <w:tcW w:w="326" w:type="dxa"/>
            <w:tcBorders/>
            <w:shd w:fill="auto" w:val="clear"/>
            <w:vAlign w:val="center"/>
          </w:tcPr>
          <w:p>
            <w:pPr>
              <w:pStyle w:val="TableContents"/>
              <w:spacing w:before="0" w:after="1"/>
              <w:ind w:left="0" w:right="0" w:hanging="0"/>
              <w:rPr/>
            </w:pPr>
            <w:r>
              <w:rPr/>
              <w:t>​</w:t>
            </w:r>
          </w:p>
        </w:tc>
        <w:tc>
          <w:tcPr>
            <w:tcW w:w="21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202,868</w:t>
            </w:r>
          </w:p>
        </w:tc>
      </w:tr>
      <w:tr>
        <w:trPr/>
        <w:tc>
          <w:tcPr>
            <w:tcW w:w="73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6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1,004</w:t>
            </w:r>
          </w:p>
        </w:tc>
        <w:tc>
          <w:tcPr>
            <w:tcW w:w="326" w:type="dxa"/>
            <w:tcBorders/>
            <w:shd w:fill="CCEEFF" w:val="clear"/>
            <w:vAlign w:val="center"/>
          </w:tcPr>
          <w:p>
            <w:pPr>
              <w:pStyle w:val="TableContents"/>
              <w:spacing w:before="0" w:after="1"/>
              <w:ind w:left="0" w:right="0" w:hanging="0"/>
              <w:rPr/>
            </w:pPr>
            <w:r>
              <w:rPr/>
              <w:t>​</w:t>
            </w:r>
          </w:p>
        </w:tc>
        <w:tc>
          <w:tcPr>
            <w:tcW w:w="212"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1,084</w:t>
            </w:r>
          </w:p>
        </w:tc>
      </w:tr>
      <w:tr>
        <w:trPr/>
        <w:tc>
          <w:tcPr>
            <w:tcW w:w="7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6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906</w:t>
            </w:r>
          </w:p>
        </w:tc>
        <w:tc>
          <w:tcPr>
            <w:tcW w:w="326" w:type="dxa"/>
            <w:tcBorders/>
            <w:shd w:fill="auto" w:val="clear"/>
            <w:vAlign w:val="center"/>
          </w:tcPr>
          <w:p>
            <w:pPr>
              <w:pStyle w:val="TableContents"/>
              <w:spacing w:before="0" w:after="1"/>
              <w:ind w:left="0" w:right="0" w:hanging="0"/>
              <w:rPr/>
            </w:pPr>
            <w:r>
              <w:rPr/>
              <w:t>​</w:t>
            </w:r>
          </w:p>
        </w:tc>
        <w:tc>
          <w:tcPr>
            <w:tcW w:w="212"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976</w:t>
            </w:r>
          </w:p>
        </w:tc>
      </w:tr>
      <w:tr>
        <w:trPr/>
        <w:tc>
          <w:tcPr>
            <w:tcW w:w="73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6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925</w:t>
            </w:r>
          </w:p>
        </w:tc>
        <w:tc>
          <w:tcPr>
            <w:tcW w:w="326" w:type="dxa"/>
            <w:tcBorders/>
            <w:shd w:fill="CCEEFF" w:val="clear"/>
            <w:vAlign w:val="center"/>
          </w:tcPr>
          <w:p>
            <w:pPr>
              <w:pStyle w:val="TableContents"/>
              <w:spacing w:before="0" w:after="1"/>
              <w:ind w:left="0" w:right="0" w:hanging="0"/>
              <w:rPr/>
            </w:pPr>
            <w:r>
              <w:rPr/>
              <w:t>​</w:t>
            </w:r>
          </w:p>
        </w:tc>
        <w:tc>
          <w:tcPr>
            <w:tcW w:w="21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925</w:t>
            </w:r>
          </w:p>
        </w:tc>
      </w:tr>
      <w:tr>
        <w:trPr/>
        <w:tc>
          <w:tcPr>
            <w:tcW w:w="7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180,103</w:t>
            </w:r>
          </w:p>
        </w:tc>
        <w:tc>
          <w:tcPr>
            <w:tcW w:w="326" w:type="dxa"/>
            <w:tcBorders/>
            <w:shd w:fill="auto" w:val="clear"/>
            <w:vAlign w:val="center"/>
          </w:tcPr>
          <w:p>
            <w:pPr>
              <w:pStyle w:val="TableContents"/>
              <w:spacing w:before="0" w:after="1"/>
              <w:ind w:left="0" w:right="0" w:hanging="0"/>
              <w:rPr/>
            </w:pPr>
            <w:r>
              <w:rPr/>
              <w:t>​</w:t>
            </w:r>
          </w:p>
        </w:tc>
        <w:tc>
          <w:tcPr>
            <w:tcW w:w="21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205,853</w:t>
            </w:r>
          </w:p>
        </w:tc>
      </w:tr>
      <w:tr>
        <w:trPr/>
        <w:tc>
          <w:tcPr>
            <w:tcW w:w="735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6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2"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pPr>
            <w:r>
              <w:rPr/>
              <w:t>​</w:t>
            </w:r>
          </w:p>
        </w:tc>
      </w:tr>
      <w:tr>
        <w:trPr/>
        <w:tc>
          <w:tcPr>
            <w:tcW w:w="7352"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62"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2"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  </w:t>
            </w:r>
          </w:p>
        </w:tc>
      </w:tr>
      <w:tr>
        <w:trPr/>
        <w:tc>
          <w:tcPr>
            <w:tcW w:w="73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62"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2"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pPr>
            <w:r>
              <w:rPr/>
              <w:t>  </w:t>
            </w:r>
          </w:p>
        </w:tc>
      </w:tr>
      <w:tr>
        <w:trPr/>
        <w:tc>
          <w:tcPr>
            <w:tcW w:w="7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7,742</w:t>
            </w:r>
          </w:p>
        </w:tc>
        <w:tc>
          <w:tcPr>
            <w:tcW w:w="326" w:type="dxa"/>
            <w:tcBorders/>
            <w:shd w:fill="auto" w:val="clear"/>
            <w:vAlign w:val="center"/>
          </w:tcPr>
          <w:p>
            <w:pPr>
              <w:pStyle w:val="TableContents"/>
              <w:spacing w:before="0" w:after="1"/>
              <w:ind w:left="0" w:right="0" w:hanging="0"/>
              <w:rPr/>
            </w:pPr>
            <w:r>
              <w:rPr/>
              <w:t>​</w:t>
            </w:r>
          </w:p>
        </w:tc>
        <w:tc>
          <w:tcPr>
            <w:tcW w:w="21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10,228</w:t>
            </w:r>
          </w:p>
        </w:tc>
      </w:tr>
      <w:tr>
        <w:trPr/>
        <w:tc>
          <w:tcPr>
            <w:tcW w:w="73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6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17,065</w:t>
            </w:r>
          </w:p>
        </w:tc>
        <w:tc>
          <w:tcPr>
            <w:tcW w:w="326" w:type="dxa"/>
            <w:tcBorders/>
            <w:shd w:fill="CCEEFF" w:val="clear"/>
            <w:vAlign w:val="center"/>
          </w:tcPr>
          <w:p>
            <w:pPr>
              <w:pStyle w:val="TableContents"/>
              <w:spacing w:before="0" w:after="1"/>
              <w:ind w:left="0" w:right="0" w:hanging="0"/>
              <w:rPr/>
            </w:pPr>
            <w:r>
              <w:rPr/>
              <w:t>​</w:t>
            </w:r>
          </w:p>
        </w:tc>
        <w:tc>
          <w:tcPr>
            <w:tcW w:w="212"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18,669</w:t>
            </w:r>
          </w:p>
        </w:tc>
      </w:tr>
      <w:tr>
        <w:trPr/>
        <w:tc>
          <w:tcPr>
            <w:tcW w:w="7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Due to related parties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6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shd w:fill="auto" w:val="clear"/>
            <w:vAlign w:val="center"/>
          </w:tcPr>
          <w:p>
            <w:pPr>
              <w:pStyle w:val="TableContents"/>
              <w:spacing w:before="0" w:after="1"/>
              <w:ind w:left="0" w:right="0" w:hanging="0"/>
              <w:rPr/>
            </w:pPr>
            <w:r>
              <w:rPr/>
              <w:t>​</w:t>
            </w:r>
          </w:p>
        </w:tc>
        <w:tc>
          <w:tcPr>
            <w:tcW w:w="212"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r>
      <w:tr>
        <w:trPr/>
        <w:tc>
          <w:tcPr>
            <w:tcW w:w="73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interest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6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3,088</w:t>
            </w:r>
          </w:p>
        </w:tc>
        <w:tc>
          <w:tcPr>
            <w:tcW w:w="326" w:type="dxa"/>
            <w:tcBorders/>
            <w:shd w:fill="CCEEFF" w:val="clear"/>
            <w:vAlign w:val="center"/>
          </w:tcPr>
          <w:p>
            <w:pPr>
              <w:pStyle w:val="TableContents"/>
              <w:spacing w:before="0" w:after="1"/>
              <w:ind w:left="0" w:right="0" w:hanging="0"/>
              <w:rPr/>
            </w:pPr>
            <w:r>
              <w:rPr/>
              <w:t>​</w:t>
            </w:r>
          </w:p>
        </w:tc>
        <w:tc>
          <w:tcPr>
            <w:tcW w:w="212"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3,175</w:t>
            </w:r>
          </w:p>
        </w:tc>
      </w:tr>
      <w:tr>
        <w:trPr/>
        <w:tc>
          <w:tcPr>
            <w:tcW w:w="7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current liabilities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6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484</w:t>
            </w:r>
          </w:p>
        </w:tc>
        <w:tc>
          <w:tcPr>
            <w:tcW w:w="326" w:type="dxa"/>
            <w:tcBorders/>
            <w:shd w:fill="auto" w:val="clear"/>
            <w:vAlign w:val="center"/>
          </w:tcPr>
          <w:p>
            <w:pPr>
              <w:pStyle w:val="TableContents"/>
              <w:spacing w:before="0" w:after="1"/>
              <w:ind w:left="0" w:right="0" w:hanging="0"/>
              <w:rPr/>
            </w:pPr>
            <w:r>
              <w:rPr/>
              <w:t>​</w:t>
            </w:r>
          </w:p>
        </w:tc>
        <w:tc>
          <w:tcPr>
            <w:tcW w:w="21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r>
      <w:tr>
        <w:trPr/>
        <w:tc>
          <w:tcPr>
            <w:tcW w:w="73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28,759</w:t>
            </w:r>
          </w:p>
        </w:tc>
        <w:tc>
          <w:tcPr>
            <w:tcW w:w="326" w:type="dxa"/>
            <w:tcBorders/>
            <w:shd w:fill="CCEEFF" w:val="clear"/>
            <w:vAlign w:val="center"/>
          </w:tcPr>
          <w:p>
            <w:pPr>
              <w:pStyle w:val="TableContents"/>
              <w:spacing w:before="0" w:after="1"/>
              <w:ind w:left="0" w:right="0" w:hanging="0"/>
              <w:rPr/>
            </w:pPr>
            <w:r>
              <w:rPr/>
              <w:t>​</w:t>
            </w:r>
          </w:p>
        </w:tc>
        <w:tc>
          <w:tcPr>
            <w:tcW w:w="21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32,898</w:t>
            </w:r>
          </w:p>
        </w:tc>
      </w:tr>
      <w:tr>
        <w:trPr/>
        <w:tc>
          <w:tcPr>
            <w:tcW w:w="7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Long-term portion of operating lease liabilities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6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703</w:t>
            </w:r>
          </w:p>
        </w:tc>
        <w:tc>
          <w:tcPr>
            <w:tcW w:w="326" w:type="dxa"/>
            <w:tcBorders/>
            <w:shd w:fill="auto" w:val="clear"/>
            <w:vAlign w:val="center"/>
          </w:tcPr>
          <w:p>
            <w:pPr>
              <w:pStyle w:val="TableContents"/>
              <w:spacing w:before="0" w:after="1"/>
              <w:ind w:left="0" w:right="0" w:hanging="0"/>
              <w:rPr/>
            </w:pPr>
            <w:r>
              <w:rPr/>
              <w:t>​</w:t>
            </w:r>
          </w:p>
        </w:tc>
        <w:tc>
          <w:tcPr>
            <w:tcW w:w="212"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786</w:t>
            </w:r>
          </w:p>
        </w:tc>
      </w:tr>
      <w:tr>
        <w:trPr/>
        <w:tc>
          <w:tcPr>
            <w:tcW w:w="73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Derivative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6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2,574</w:t>
            </w:r>
          </w:p>
        </w:tc>
        <w:tc>
          <w:tcPr>
            <w:tcW w:w="326" w:type="dxa"/>
            <w:tcBorders/>
            <w:shd w:fill="CCEEFF" w:val="clear"/>
            <w:vAlign w:val="center"/>
          </w:tcPr>
          <w:p>
            <w:pPr>
              <w:pStyle w:val="TableContents"/>
              <w:spacing w:before="0" w:after="1"/>
              <w:ind w:left="0" w:right="0" w:hanging="0"/>
              <w:rPr/>
            </w:pPr>
            <w:r>
              <w:rPr/>
              <w:t>​</w:t>
            </w:r>
          </w:p>
        </w:tc>
        <w:tc>
          <w:tcPr>
            <w:tcW w:w="212"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2,343</w:t>
            </w:r>
          </w:p>
        </w:tc>
      </w:tr>
      <w:tr>
        <w:trPr/>
        <w:tc>
          <w:tcPr>
            <w:tcW w:w="7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Long-term debt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6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95,062</w:t>
            </w:r>
          </w:p>
        </w:tc>
        <w:tc>
          <w:tcPr>
            <w:tcW w:w="326" w:type="dxa"/>
            <w:tcBorders/>
            <w:shd w:fill="auto" w:val="clear"/>
            <w:vAlign w:val="center"/>
          </w:tcPr>
          <w:p>
            <w:pPr>
              <w:pStyle w:val="TableContents"/>
              <w:spacing w:before="0" w:after="1"/>
              <w:ind w:left="0" w:right="0" w:hanging="0"/>
              <w:rPr/>
            </w:pPr>
            <w:r>
              <w:rPr/>
              <w:t>​</w:t>
            </w:r>
          </w:p>
        </w:tc>
        <w:tc>
          <w:tcPr>
            <w:tcW w:w="21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93,051</w:t>
            </w:r>
          </w:p>
        </w:tc>
      </w:tr>
      <w:tr>
        <w:trPr/>
        <w:tc>
          <w:tcPr>
            <w:tcW w:w="73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127,098</w:t>
            </w:r>
          </w:p>
        </w:tc>
        <w:tc>
          <w:tcPr>
            <w:tcW w:w="326" w:type="dxa"/>
            <w:tcBorders/>
            <w:shd w:fill="CCEEFF" w:val="clear"/>
            <w:vAlign w:val="center"/>
          </w:tcPr>
          <w:p>
            <w:pPr>
              <w:pStyle w:val="TableContents"/>
              <w:spacing w:before="0" w:after="1"/>
              <w:ind w:left="0" w:right="0" w:hanging="0"/>
              <w:rPr/>
            </w:pPr>
            <w:r>
              <w:rPr/>
              <w:t>​</w:t>
            </w:r>
          </w:p>
        </w:tc>
        <w:tc>
          <w:tcPr>
            <w:tcW w:w="212"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129,078</w:t>
            </w:r>
          </w:p>
        </w:tc>
      </w:tr>
      <w:tr>
        <w:trPr/>
        <w:tc>
          <w:tcPr>
            <w:tcW w:w="735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6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2"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pPr>
            <w:r>
              <w:rPr/>
              <w:t>​</w:t>
            </w:r>
          </w:p>
        </w:tc>
      </w:tr>
      <w:tr>
        <w:trPr/>
        <w:tc>
          <w:tcPr>
            <w:tcW w:w="73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Commitments and contingencies (Note 15)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6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2"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pPr>
            <w:r>
              <w:rPr/>
              <w:t>​</w:t>
            </w:r>
          </w:p>
        </w:tc>
      </w:tr>
      <w:tr>
        <w:trPr/>
        <w:tc>
          <w:tcPr>
            <w:tcW w:w="7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62"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2"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  </w:t>
            </w:r>
          </w:p>
        </w:tc>
      </w:tr>
      <w:tr>
        <w:trPr/>
        <w:tc>
          <w:tcPr>
            <w:tcW w:w="73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Preferred stock, $0.001 par value, 10,000 shares authorized; no shares issued and outstanding as of March 31, 2023 and December 31, 2022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spacing w:before="0" w:after="1"/>
              <w:ind w:left="0" w:right="0" w:hanging="0"/>
              <w:rPr/>
            </w:pPr>
            <w:r>
              <w:rPr/>
              <w:t>​</w:t>
            </w:r>
          </w:p>
        </w:tc>
        <w:tc>
          <w:tcPr>
            <w:tcW w:w="21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r>
      <w:tr>
        <w:trPr/>
        <w:tc>
          <w:tcPr>
            <w:tcW w:w="7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Common stock, $0.001 par value, 100,000 shares authorized as of March 31, 2023 and December 31, 2022; 29,100 and 28,147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March 31, 2023 and December 31, 2022, respectively</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6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auto" w:val="clear"/>
            <w:vAlign w:val="center"/>
          </w:tcPr>
          <w:p>
            <w:pPr>
              <w:pStyle w:val="TableContents"/>
              <w:spacing w:before="0" w:after="1"/>
              <w:ind w:left="0" w:right="0" w:hanging="0"/>
              <w:rPr/>
            </w:pPr>
            <w:r>
              <w:rPr/>
              <w:t>​</w:t>
            </w:r>
          </w:p>
        </w:tc>
        <w:tc>
          <w:tcPr>
            <w:tcW w:w="212" w:type="dxa"/>
            <w:tcBorders/>
            <w:shd w:fill="auto" w:val="clear"/>
            <w:vAlign w:val="center"/>
          </w:tcPr>
          <w:p>
            <w:pPr>
              <w:pStyle w:val="TableContents"/>
              <w:spacing w:before="0" w:after="1"/>
              <w:ind w:left="0" w:right="0" w:hanging="0"/>
              <w:rPr/>
            </w:pPr>
            <w:r>
              <w:rPr/>
              <w:t>​</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3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Additional paid-in-capital</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6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517,317</w:t>
            </w:r>
          </w:p>
        </w:tc>
        <w:tc>
          <w:tcPr>
            <w:tcW w:w="326" w:type="dxa"/>
            <w:tcBorders/>
            <w:shd w:fill="CCEEFF" w:val="clear"/>
            <w:vAlign w:val="center"/>
          </w:tcPr>
          <w:p>
            <w:pPr>
              <w:pStyle w:val="TableContents"/>
              <w:spacing w:before="0" w:after="1"/>
              <w:ind w:left="0" w:right="0" w:hanging="0"/>
              <w:rPr/>
            </w:pPr>
            <w:r>
              <w:rPr/>
              <w:t>​</w:t>
            </w:r>
          </w:p>
        </w:tc>
        <w:tc>
          <w:tcPr>
            <w:tcW w:w="212"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488,292</w:t>
            </w:r>
          </w:p>
        </w:tc>
      </w:tr>
      <w:tr>
        <w:trPr/>
        <w:tc>
          <w:tcPr>
            <w:tcW w:w="7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6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(464,341)</w:t>
            </w:r>
          </w:p>
        </w:tc>
        <w:tc>
          <w:tcPr>
            <w:tcW w:w="326" w:type="dxa"/>
            <w:tcBorders/>
            <w:shd w:fill="auto" w:val="clear"/>
            <w:vAlign w:val="center"/>
          </w:tcPr>
          <w:p>
            <w:pPr>
              <w:pStyle w:val="TableContents"/>
              <w:spacing w:before="0" w:after="1"/>
              <w:ind w:left="0" w:right="0" w:hanging="0"/>
              <w:rPr/>
            </w:pPr>
            <w:r>
              <w:rPr/>
              <w:t>​</w:t>
            </w:r>
          </w:p>
        </w:tc>
        <w:tc>
          <w:tcPr>
            <w:tcW w:w="21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(411,545)</w:t>
            </w:r>
          </w:p>
        </w:tc>
      </w:tr>
      <w:tr>
        <w:trPr/>
        <w:tc>
          <w:tcPr>
            <w:tcW w:w="73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53,005</w:t>
            </w:r>
          </w:p>
        </w:tc>
        <w:tc>
          <w:tcPr>
            <w:tcW w:w="326" w:type="dxa"/>
            <w:tcBorders/>
            <w:shd w:fill="CCEEFF" w:val="clear"/>
            <w:vAlign w:val="center"/>
          </w:tcPr>
          <w:p>
            <w:pPr>
              <w:pStyle w:val="TableContents"/>
              <w:spacing w:before="0" w:after="1"/>
              <w:ind w:left="0" w:right="0" w:hanging="0"/>
              <w:rPr/>
            </w:pPr>
            <w:r>
              <w:rPr/>
              <w:t>​</w:t>
            </w:r>
          </w:p>
        </w:tc>
        <w:tc>
          <w:tcPr>
            <w:tcW w:w="212"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76,775</w:t>
            </w:r>
          </w:p>
        </w:tc>
      </w:tr>
      <w:tr>
        <w:trPr/>
        <w:tc>
          <w:tcPr>
            <w:tcW w:w="7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180,103</w:t>
            </w:r>
          </w:p>
        </w:tc>
        <w:tc>
          <w:tcPr>
            <w:tcW w:w="326" w:type="dxa"/>
            <w:tcBorders/>
            <w:shd w:fill="auto" w:val="clear"/>
            <w:vAlign w:val="center"/>
          </w:tcPr>
          <w:p>
            <w:pPr>
              <w:pStyle w:val="TableContents"/>
              <w:spacing w:before="0" w:after="1"/>
              <w:ind w:left="0" w:right="0" w:hanging="0"/>
              <w:rPr/>
            </w:pPr>
            <w:r>
              <w:rPr/>
              <w:t>​</w:t>
            </w:r>
          </w:p>
        </w:tc>
        <w:tc>
          <w:tcPr>
            <w:tcW w:w="21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205,853</w:t>
            </w:r>
          </w:p>
        </w:tc>
      </w:tr>
    </w:tbl>
    <w:p>
      <w:pPr>
        <w:pStyle w:val="TextBody"/>
        <w:spacing w:before="0" w:after="240"/>
        <w:ind w:left="0" w:right="0" w:hanging="0"/>
        <w:rPr/>
      </w:pPr>
      <w:r>
        <w:rPr/>
        <w:t>​</w:t>
      </w:r>
    </w:p>
    <w:p>
      <w:pPr>
        <w:pStyle w:val="TextBody"/>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71" w:name="_b98dd286_4317_4d8c_9010_0f7704fbb8f2"/>
      <w:bookmarkEnd w:id="171"/>
      <w:r>
        <w:rPr>
          <w:rFonts w:ascii="Times New Roman;Times;serif" w:hAnsi="Times New Roman;Times;serif"/>
          <w:b/>
          <w:sz w:val="20"/>
        </w:rPr>
        <w:t>BIOXCEL THERAPEUTICS, INC.</w:t>
      </w:r>
    </w:p>
    <w:p>
      <w:pPr>
        <w:pStyle w:val="TextBody"/>
        <w:spacing w:before="0" w:after="240"/>
        <w:ind w:left="0" w:right="0" w:hanging="0"/>
        <w:jc w:val="center"/>
        <w:rPr>
          <w:rFonts w:ascii="Times New Roman;Times;serif" w:hAnsi="Times New Roman;Times;serif"/>
          <w:b/>
          <w:sz w:val="20"/>
        </w:rPr>
      </w:pPr>
      <w:bookmarkStart w:id="172" w:name="STATEMENTSOFOPERATIONS_842353"/>
      <w:bookmarkEnd w:id="172"/>
      <w:r>
        <w:rPr>
          <w:rFonts w:ascii="Times New Roman;Times;serif" w:hAnsi="Times New Roman;Times;serif"/>
          <w:b/>
          <w:sz w:val="20"/>
        </w:rPr>
        <w:t>CONDENSED CONSOLIDATED STATEMENTS OF OPERATIONS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per share amounts)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spacing w:before="0" w:after="0"/>
        <w:rPr>
          <w:sz w:val="4"/>
          <w:szCs w:val="4"/>
        </w:rPr>
      </w:pPr>
      <w:r>
        <w:rPr>
          <w:sz w:val="4"/>
          <w:szCs w:val="4"/>
        </w:rPr>
      </w:r>
      <w:bookmarkStart w:id="173" w:name="Tc_5yFGkGFitUCKK1Jg7UVQ6g_19_0"/>
      <w:bookmarkStart w:id="174" w:name="Tc_gUXXVpjGEk-AWa_yeLFsZw_18_5"/>
      <w:bookmarkStart w:id="175" w:name="Tc_lS5MEXKAuEK0bFVr7dqSTg_18_2"/>
      <w:bookmarkStart w:id="176" w:name="Tc_K15C0uvVbEGeLoo_rJpi9Q_18_0"/>
      <w:bookmarkStart w:id="177" w:name="Tc_lqk9CDwabE6rN1QmQZKwaQ_17_5"/>
      <w:bookmarkStart w:id="178" w:name="Tc_3pbpgF2mQE6ABaulG51Sbg_17_2"/>
      <w:bookmarkStart w:id="179" w:name="Tc_XCwpq7wCFUClBr0edoYiNw_17_0"/>
      <w:bookmarkStart w:id="180" w:name="Tc_9uiFzAd0_0mRvPLyMEaAnw_16_6"/>
      <w:bookmarkStart w:id="181" w:name="Tc__uYCSOazGUeaDXMScUvlRg_16_0"/>
      <w:bookmarkStart w:id="182" w:name="Tc_uH5uAe4AL0-Iy8hV2Uu2SA_15_0"/>
      <w:bookmarkStart w:id="183" w:name="Tc_T_pfOFYchUSX4gHcgBywfQ_14_0"/>
      <w:bookmarkStart w:id="184" w:name="Tc_hWgHuNDJck6VGg8Q_bb9SA_13_0"/>
      <w:bookmarkStart w:id="185" w:name="Tc_W6QNgpH1okGbQoSRh_gJqA_12_5"/>
      <w:bookmarkStart w:id="186" w:name="Tc_Xldr2TctK0eCL1K88rDIfQ_12_2"/>
      <w:bookmarkStart w:id="187" w:name="Tc_yd6VFZ1mcEyaYkdC9_K4zw_12_0"/>
      <w:bookmarkStart w:id="188" w:name="Tc_uE36XTCWbk-tYzxS6BKByA_11_5"/>
      <w:bookmarkStart w:id="189" w:name="Tc_eIbT_u2040qneGxtPslLUQ_11_2"/>
      <w:bookmarkStart w:id="190" w:name="Tc_Y-vQSfKXEECLj7YB9Kge9Q_11_0"/>
      <w:bookmarkStart w:id="191" w:name="Tc_YepC5g62Dk2rH3-IyFYesQ_10_0"/>
      <w:bookmarkStart w:id="192" w:name="Tc_dVg-lav6W0i5XfMa6ZLO8A_9_0"/>
      <w:bookmarkStart w:id="193" w:name="Tc_5lcFQoslj02_wz7rx2JQZg_8_6"/>
      <w:bookmarkStart w:id="194" w:name="Tc_LxoIz9Z-ikaKg81c0AJoWQ_8_5"/>
      <w:bookmarkStart w:id="195" w:name="Tc_WE-cBaOpZkK-HUsqZb60yw_8_2"/>
      <w:bookmarkStart w:id="196" w:name="Tc_wfmuMihMF0uUy3IYTwccTw_8_0"/>
      <w:bookmarkStart w:id="197" w:name="Tc_nxScdxsnc0y57tO46u-DqA_7_0"/>
      <w:bookmarkStart w:id="198" w:name="Tc_37Vzk4X1WUadlNu-l2FtJg_5_6"/>
      <w:bookmarkStart w:id="199" w:name="Tc_iJXY91490EG6Uv1eMXC6gg_5_5"/>
      <w:bookmarkStart w:id="200" w:name="Tc_Pz7bRGnxKEmRXrZlHPVYKw_5_2"/>
      <w:bookmarkStart w:id="201" w:name="Tc_jvD3BlIdx0C0IJX56gRHqQ_5_0"/>
      <w:bookmarkStart w:id="202" w:name="Tc_6mScHdLeW0yYRNL6oVIlFw_4_0"/>
      <w:bookmarkStart w:id="203" w:name="Tc_GEd3Ca4gM069P6nz-1rgMQ_2_5"/>
      <w:bookmarkStart w:id="204" w:name="Tc_yK4SEGCBFE6lLmRl8tUgpA_2_2"/>
      <w:bookmarkStart w:id="205" w:name="Tc_eiv3mowFVk23j62NHrbzaQ_1_2"/>
      <w:bookmarkStart w:id="206" w:name="_075bd9ed_50a5_4472_bcc4_fcab4a3012c4"/>
      <w:bookmarkStart w:id="207" w:name="Tc_5yFGkGFitUCKK1Jg7UVQ6g_19_0"/>
      <w:bookmarkStart w:id="208" w:name="Tc_gUXXVpjGEk-AWa_yeLFsZw_18_5"/>
      <w:bookmarkStart w:id="209" w:name="Tc_lS5MEXKAuEK0bFVr7dqSTg_18_2"/>
      <w:bookmarkStart w:id="210" w:name="Tc_K15C0uvVbEGeLoo_rJpi9Q_18_0"/>
      <w:bookmarkStart w:id="211" w:name="Tc_lqk9CDwabE6rN1QmQZKwaQ_17_5"/>
      <w:bookmarkStart w:id="212" w:name="Tc_3pbpgF2mQE6ABaulG51Sbg_17_2"/>
      <w:bookmarkStart w:id="213" w:name="Tc_XCwpq7wCFUClBr0edoYiNw_17_0"/>
      <w:bookmarkStart w:id="214" w:name="Tc_9uiFzAd0_0mRvPLyMEaAnw_16_6"/>
      <w:bookmarkStart w:id="215" w:name="Tc__uYCSOazGUeaDXMScUvlRg_16_0"/>
      <w:bookmarkStart w:id="216" w:name="Tc_uH5uAe4AL0-Iy8hV2Uu2SA_15_0"/>
      <w:bookmarkStart w:id="217" w:name="Tc_T_pfOFYchUSX4gHcgBywfQ_14_0"/>
      <w:bookmarkStart w:id="218" w:name="Tc_hWgHuNDJck6VGg8Q_bb9SA_13_0"/>
      <w:bookmarkStart w:id="219" w:name="Tc_W6QNgpH1okGbQoSRh_gJqA_12_5"/>
      <w:bookmarkStart w:id="220" w:name="Tc_Xldr2TctK0eCL1K88rDIfQ_12_2"/>
      <w:bookmarkStart w:id="221" w:name="Tc_yd6VFZ1mcEyaYkdC9_K4zw_12_0"/>
      <w:bookmarkStart w:id="222" w:name="Tc_uE36XTCWbk-tYzxS6BKByA_11_5"/>
      <w:bookmarkStart w:id="223" w:name="Tc_eIbT_u2040qneGxtPslLUQ_11_2"/>
      <w:bookmarkStart w:id="224" w:name="Tc_Y-vQSfKXEECLj7YB9Kge9Q_11_0"/>
      <w:bookmarkStart w:id="225" w:name="Tc_YepC5g62Dk2rH3-IyFYesQ_10_0"/>
      <w:bookmarkStart w:id="226" w:name="Tc_dVg-lav6W0i5XfMa6ZLO8A_9_0"/>
      <w:bookmarkStart w:id="227" w:name="Tc_5lcFQoslj02_wz7rx2JQZg_8_6"/>
      <w:bookmarkStart w:id="228" w:name="Tc_LxoIz9Z-ikaKg81c0AJoWQ_8_5"/>
      <w:bookmarkStart w:id="229" w:name="Tc_WE-cBaOpZkK-HUsqZb60yw_8_2"/>
      <w:bookmarkStart w:id="230" w:name="Tc_wfmuMihMF0uUy3IYTwccTw_8_0"/>
      <w:bookmarkStart w:id="231" w:name="Tc_nxScdxsnc0y57tO46u-DqA_7_0"/>
      <w:bookmarkStart w:id="232" w:name="Tc_37Vzk4X1WUadlNu-l2FtJg_5_6"/>
      <w:bookmarkStart w:id="233" w:name="Tc_iJXY91490EG6Uv1eMXC6gg_5_5"/>
      <w:bookmarkStart w:id="234" w:name="Tc_Pz7bRGnxKEmRXrZlHPVYKw_5_2"/>
      <w:bookmarkStart w:id="235" w:name="Tc_jvD3BlIdx0C0IJX56gRHqQ_5_0"/>
      <w:bookmarkStart w:id="236" w:name="Tc_6mScHdLeW0yYRNL6oVIlFw_4_0"/>
      <w:bookmarkStart w:id="237" w:name="Tc_GEd3Ca4gM069P6nz-1rgMQ_2_5"/>
      <w:bookmarkStart w:id="238" w:name="Tc_yK4SEGCBFE6lLmRl8tUgpA_2_2"/>
      <w:bookmarkStart w:id="239" w:name="Tc_eiv3mowFVk23j62NHrbzaQ_1_2"/>
      <w:bookmarkStart w:id="240" w:name="_075bd9ed_50a5_4472_bcc4_fcab4a3012c4"/>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tbl>
      <w:tblPr>
        <w:tblW w:w="9142" w:type="dxa"/>
        <w:jc w:val="left"/>
        <w:tblInd w:w="0" w:type="dxa"/>
        <w:tblCellMar>
          <w:top w:w="0" w:type="dxa"/>
          <w:left w:w="0" w:type="dxa"/>
          <w:bottom w:w="0" w:type="dxa"/>
          <w:right w:w="0" w:type="dxa"/>
        </w:tblCellMar>
      </w:tblPr>
      <w:tblGrid>
        <w:gridCol w:w="6001"/>
        <w:gridCol w:w="326"/>
        <w:gridCol w:w="220"/>
        <w:gridCol w:w="832"/>
        <w:gridCol w:w="340"/>
        <w:gridCol w:w="220"/>
        <w:gridCol w:w="832"/>
        <w:gridCol w:w="371"/>
      </w:tblGrid>
      <w:tr>
        <w:trPr/>
        <w:tc>
          <w:tcPr>
            <w:tcW w:w="60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810635" cy="175260"/>
                      <wp:effectExtent l="0" t="0" r="0" b="0"/>
                      <wp:wrapNone/>
                      <wp:docPr id="11" name="Frame11"/>
                      <a:graphic xmlns:a="http://schemas.openxmlformats.org/drawingml/2006/main">
                        <a:graphicData uri="http://schemas.microsoft.com/office/word/2010/wordprocessingShape">
                          <wps:wsp>
                            <wps:cNvSpPr txBox="1"/>
                            <wps:spPr>
                              <a:xfrm>
                                <a:off x="0" y="0"/>
                                <a:ext cx="3810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9700" cy="175260"/>
                      <wp:effectExtent l="0" t="0" r="0" b="0"/>
                      <wp:wrapNone/>
                      <wp:docPr id="13" name="Frame13"/>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28320" cy="175260"/>
                      <wp:effectExtent l="0" t="0" r="0" b="0"/>
                      <wp:wrapNone/>
                      <wp:docPr id="14" name="Frame14"/>
                      <a:graphic xmlns:a="http://schemas.openxmlformats.org/drawingml/2006/main">
                        <a:graphicData uri="http://schemas.microsoft.com/office/word/2010/wordprocessingShape">
                          <wps:wsp>
                            <wps:cNvSpPr txBox="1"/>
                            <wps:spPr>
                              <a:xfrm>
                                <a:off x="0" y="0"/>
                                <a:ext cx="5283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5900" cy="175260"/>
                      <wp:effectExtent l="0" t="0" r="0" b="0"/>
                      <wp:wrapNone/>
                      <wp:docPr id="15" name="Frame15"/>
                      <a:graphic xmlns:a="http://schemas.openxmlformats.org/drawingml/2006/main">
                        <a:graphicData uri="http://schemas.microsoft.com/office/word/2010/wordprocessingShape">
                          <wps:wsp>
                            <wps:cNvSpPr txBox="1"/>
                            <wps:spPr>
                              <a:xfrm>
                                <a:off x="0" y="0"/>
                                <a:ext cx="2159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9700" cy="175260"/>
                      <wp:effectExtent l="0" t="0" r="0" b="0"/>
                      <wp:wrapNone/>
                      <wp:docPr id="16" name="Frame16"/>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28320" cy="175260"/>
                      <wp:effectExtent l="0" t="0" r="0" b="0"/>
                      <wp:wrapNone/>
                      <wp:docPr id="17" name="Frame17"/>
                      <a:graphic xmlns:a="http://schemas.openxmlformats.org/drawingml/2006/main">
                        <a:graphicData uri="http://schemas.microsoft.com/office/word/2010/wordprocessingShape">
                          <wps:wsp>
                            <wps:cNvSpPr txBox="1"/>
                            <wps:spPr>
                              <a:xfrm>
                                <a:off x="0" y="0"/>
                                <a:ext cx="5283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35585" cy="175260"/>
                      <wp:effectExtent l="0" t="0" r="0" b="0"/>
                      <wp:wrapNone/>
                      <wp:docPr id="18" name="Frame18"/>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0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4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71" w:type="dxa"/>
            <w:tcBorders/>
            <w:shd w:fill="auto" w:val="clear"/>
            <w:vAlign w:val="center"/>
          </w:tcPr>
          <w:p>
            <w:pPr>
              <w:pStyle w:val="TableContents"/>
              <w:spacing w:before="0" w:after="1"/>
              <w:ind w:left="0" w:right="0" w:hanging="0"/>
              <w:rPr/>
            </w:pPr>
            <w:r>
              <w:rPr/>
              <w:t>​</w:t>
            </w:r>
          </w:p>
        </w:tc>
      </w:tr>
      <w:tr>
        <w:trPr/>
        <w:tc>
          <w:tcPr>
            <w:tcW w:w="60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0" w:type="dxa"/>
            <w:tcBorders/>
            <w:shd w:fill="auto" w:val="clear"/>
            <w:vAlign w:val="center"/>
          </w:tcPr>
          <w:p>
            <w:pPr>
              <w:pStyle w:val="TableContents"/>
              <w:spacing w:before="0" w:after="1"/>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shd w:fill="auto" w:val="clear"/>
            <w:vAlign w:val="center"/>
          </w:tcPr>
          <w:p>
            <w:pPr>
              <w:pStyle w:val="TableContents"/>
              <w:spacing w:before="0" w:after="1"/>
              <w:ind w:left="0" w:right="0" w:hanging="0"/>
              <w:rPr/>
            </w:pPr>
            <w:r>
              <w:rPr/>
              <w:t>    </w:t>
            </w:r>
          </w:p>
        </w:tc>
      </w:tr>
      <w:tr>
        <w:trPr/>
        <w:tc>
          <w:tcPr>
            <w:tcW w:w="60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w:t>
            </w:r>
          </w:p>
        </w:tc>
        <w:tc>
          <w:tcPr>
            <w:tcW w:w="832" w:type="dxa"/>
            <w:tcBorders/>
            <w:shd w:fill="auto" w:val="clear"/>
            <w:vAlign w:val="center"/>
          </w:tcPr>
          <w:p>
            <w:pPr>
              <w:pStyle w:val="TableContents"/>
              <w:spacing w:before="0" w:after="1"/>
              <w:ind w:left="0" w:right="0" w:hanging="0"/>
              <w:jc w:val="center"/>
              <w:rPr/>
            </w:pPr>
            <w:r>
              <w:rPr/>
              <w:t>​</w:t>
            </w:r>
          </w:p>
        </w:tc>
        <w:tc>
          <w:tcPr>
            <w:tcW w:w="340"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w:t>
            </w:r>
          </w:p>
        </w:tc>
        <w:tc>
          <w:tcPr>
            <w:tcW w:w="832" w:type="dxa"/>
            <w:tcBorders/>
            <w:shd w:fill="auto" w:val="clear"/>
            <w:vAlign w:val="center"/>
          </w:tcPr>
          <w:p>
            <w:pPr>
              <w:pStyle w:val="TableContents"/>
              <w:spacing w:before="0" w:after="1"/>
              <w:ind w:left="0" w:right="0" w:hanging="0"/>
              <w:jc w:val="center"/>
              <w:rPr/>
            </w:pPr>
            <w:r>
              <w:rPr/>
              <w:t>​</w:t>
            </w:r>
          </w:p>
        </w:tc>
        <w:tc>
          <w:tcPr>
            <w:tcW w:w="371" w:type="dxa"/>
            <w:tcBorders/>
            <w:shd w:fill="auto" w:val="clear"/>
            <w:vAlign w:val="center"/>
          </w:tcPr>
          <w:p>
            <w:pPr>
              <w:pStyle w:val="TableContents"/>
              <w:spacing w:before="0" w:after="1"/>
              <w:ind w:left="0" w:right="0" w:hanging="0"/>
              <w:rPr/>
            </w:pPr>
            <w:r>
              <w:rPr/>
              <w:t>​</w:t>
            </w:r>
          </w:p>
        </w:tc>
      </w:tr>
      <w:tr>
        <w:trPr/>
        <w:tc>
          <w:tcPr>
            <w:tcW w:w="60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Revenues</w:t>
            </w:r>
          </w:p>
        </w:tc>
        <w:tc>
          <w:tcPr>
            <w:tcW w:w="32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w:t>
            </w:r>
          </w:p>
        </w:tc>
        <w:tc>
          <w:tcPr>
            <w:tcW w:w="832" w:type="dxa"/>
            <w:tcBorders/>
            <w:shd w:fill="auto" w:val="clear"/>
            <w:vAlign w:val="center"/>
          </w:tcPr>
          <w:p>
            <w:pPr>
              <w:pStyle w:val="TableContents"/>
              <w:spacing w:before="0" w:after="1"/>
              <w:ind w:left="0" w:right="0" w:hanging="0"/>
              <w:jc w:val="center"/>
              <w:rPr/>
            </w:pPr>
            <w:r>
              <w:rPr/>
              <w:t>​</w:t>
            </w:r>
          </w:p>
        </w:tc>
        <w:tc>
          <w:tcPr>
            <w:tcW w:w="340"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w:t>
            </w:r>
          </w:p>
        </w:tc>
        <w:tc>
          <w:tcPr>
            <w:tcW w:w="832" w:type="dxa"/>
            <w:tcBorders/>
            <w:shd w:fill="auto" w:val="clear"/>
            <w:vAlign w:val="center"/>
          </w:tcPr>
          <w:p>
            <w:pPr>
              <w:pStyle w:val="TableContents"/>
              <w:spacing w:before="0" w:after="1"/>
              <w:ind w:left="0" w:right="0" w:hanging="0"/>
              <w:jc w:val="center"/>
              <w:rPr/>
            </w:pPr>
            <w:r>
              <w:rPr/>
              <w:t>​</w:t>
            </w:r>
          </w:p>
        </w:tc>
        <w:tc>
          <w:tcPr>
            <w:tcW w:w="371" w:type="dxa"/>
            <w:tcBorders/>
            <w:shd w:fill="auto" w:val="clear"/>
            <w:vAlign w:val="center"/>
          </w:tcPr>
          <w:p>
            <w:pPr>
              <w:pStyle w:val="TableContents"/>
              <w:spacing w:before="0" w:after="1"/>
              <w:ind w:left="0" w:right="0" w:hanging="0"/>
              <w:rPr/>
            </w:pPr>
            <w:r>
              <w:rPr/>
              <w:t>​</w:t>
            </w:r>
          </w:p>
        </w:tc>
      </w:tr>
      <w:tr>
        <w:trPr/>
        <w:tc>
          <w:tcPr>
            <w:tcW w:w="60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Product revenue, net</w:t>
            </w:r>
          </w:p>
        </w:tc>
        <w:tc>
          <w:tcPr>
            <w:tcW w:w="326" w:type="dxa"/>
            <w:tcBorders/>
            <w:shd w:fill="CCEEFF" w:val="clear"/>
            <w:vAlign w:val="center"/>
          </w:tcPr>
          <w:p>
            <w:pPr>
              <w:pStyle w:val="TableContents"/>
              <w:spacing w:before="0" w:after="1"/>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340" w:type="dxa"/>
            <w:tcBorders/>
            <w:shd w:fill="CCEEFF" w:val="clear"/>
            <w:vAlign w:val="center"/>
          </w:tcPr>
          <w:p>
            <w:pPr>
              <w:pStyle w:val="TableContents"/>
              <w:spacing w:before="0" w:after="1"/>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71" w:type="dxa"/>
            <w:tcBorders/>
            <w:shd w:fill="CCEEFF" w:val="clear"/>
            <w:vAlign w:val="center"/>
          </w:tcPr>
          <w:p>
            <w:pPr>
              <w:pStyle w:val="TableContents"/>
              <w:spacing w:before="0" w:after="1"/>
              <w:ind w:left="0" w:right="0" w:hanging="0"/>
              <w:rPr/>
            </w:pPr>
            <w:r>
              <w:rPr/>
              <w:t>​</w:t>
            </w:r>
          </w:p>
        </w:tc>
      </w:tr>
      <w:tr>
        <w:trPr/>
        <w:tc>
          <w:tcPr>
            <w:tcW w:w="60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w:t>
            </w:r>
          </w:p>
        </w:tc>
        <w:tc>
          <w:tcPr>
            <w:tcW w:w="832" w:type="dxa"/>
            <w:tcBorders/>
            <w:shd w:fill="auto" w:val="clear"/>
            <w:vAlign w:val="center"/>
          </w:tcPr>
          <w:p>
            <w:pPr>
              <w:pStyle w:val="TableContents"/>
              <w:spacing w:before="0" w:after="1"/>
              <w:ind w:left="0" w:right="0" w:hanging="0"/>
              <w:jc w:val="center"/>
              <w:rPr/>
            </w:pPr>
            <w:r>
              <w:rPr/>
              <w:t>​</w:t>
            </w:r>
          </w:p>
        </w:tc>
        <w:tc>
          <w:tcPr>
            <w:tcW w:w="340"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w:t>
            </w:r>
          </w:p>
        </w:tc>
        <w:tc>
          <w:tcPr>
            <w:tcW w:w="832" w:type="dxa"/>
            <w:tcBorders/>
            <w:shd w:fill="auto" w:val="clear"/>
            <w:vAlign w:val="center"/>
          </w:tcPr>
          <w:p>
            <w:pPr>
              <w:pStyle w:val="TableContents"/>
              <w:spacing w:before="0" w:after="1"/>
              <w:ind w:left="0" w:right="0" w:hanging="0"/>
              <w:jc w:val="center"/>
              <w:rPr/>
            </w:pPr>
            <w:r>
              <w:rPr/>
              <w:t>​</w:t>
            </w:r>
          </w:p>
        </w:tc>
        <w:tc>
          <w:tcPr>
            <w:tcW w:w="371" w:type="dxa"/>
            <w:tcBorders/>
            <w:shd w:fill="auto" w:val="clear"/>
            <w:vAlign w:val="center"/>
          </w:tcPr>
          <w:p>
            <w:pPr>
              <w:pStyle w:val="TableContents"/>
              <w:spacing w:before="0" w:after="1"/>
              <w:ind w:left="0" w:right="0" w:hanging="0"/>
              <w:rPr/>
            </w:pPr>
            <w:r>
              <w:rPr/>
              <w:t>​</w:t>
            </w:r>
          </w:p>
        </w:tc>
      </w:tr>
      <w:tr>
        <w:trPr/>
        <w:tc>
          <w:tcPr>
            <w:tcW w:w="60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832" w:type="dxa"/>
            <w:tcBorders/>
            <w:shd w:fill="CCEEFF" w:val="clear"/>
            <w:vAlign w:val="center"/>
          </w:tcPr>
          <w:p>
            <w:pPr>
              <w:pStyle w:val="TableContents"/>
              <w:spacing w:before="0" w:after="1"/>
              <w:ind w:left="0" w:right="0" w:hanging="0"/>
              <w:jc w:val="right"/>
              <w:rPr/>
            </w:pPr>
            <w:r>
              <w:rPr/>
              <w:t>​</w:t>
            </w:r>
          </w:p>
        </w:tc>
        <w:tc>
          <w:tcPr>
            <w:tcW w:w="340"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832" w:type="dxa"/>
            <w:tcBorders/>
            <w:shd w:fill="CCEEFF" w:val="clear"/>
            <w:vAlign w:val="center"/>
          </w:tcPr>
          <w:p>
            <w:pPr>
              <w:pStyle w:val="TableContents"/>
              <w:spacing w:before="0" w:after="1"/>
              <w:ind w:left="0" w:right="0" w:hanging="0"/>
              <w:jc w:val="right"/>
              <w:rPr/>
            </w:pPr>
            <w:r>
              <w:rPr/>
              <w:t>​</w:t>
            </w:r>
          </w:p>
        </w:tc>
        <w:tc>
          <w:tcPr>
            <w:tcW w:w="371" w:type="dxa"/>
            <w:tcBorders/>
            <w:shd w:fill="CCEEFF" w:val="clear"/>
            <w:vAlign w:val="center"/>
          </w:tcPr>
          <w:p>
            <w:pPr>
              <w:pStyle w:val="TableContents"/>
              <w:spacing w:before="0" w:after="1"/>
              <w:ind w:left="0" w:right="0" w:hanging="0"/>
              <w:rPr/>
            </w:pPr>
            <w:r>
              <w:rPr/>
              <w:t>​</w:t>
            </w:r>
          </w:p>
        </w:tc>
      </w:tr>
      <w:tr>
        <w:trPr/>
        <w:tc>
          <w:tcPr>
            <w:tcW w:w="60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 of goods sold</w:t>
            </w:r>
          </w:p>
        </w:tc>
        <w:tc>
          <w:tcPr>
            <w:tcW w:w="32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0"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2" w:type="dxa"/>
            <w:tcBorders/>
            <w:shd w:fill="auto" w:val="clear"/>
            <w:vAlign w:val="center"/>
          </w:tcPr>
          <w:p>
            <w:pPr>
              <w:pStyle w:val="TableContents"/>
              <w:spacing w:before="0" w:after="1"/>
              <w:ind w:left="0" w:right="0" w:hanging="0"/>
              <w:jc w:val="right"/>
              <w:rPr/>
            </w:pPr>
            <w:r>
              <w:rPr/>
              <w:t>—</w:t>
            </w:r>
          </w:p>
        </w:tc>
        <w:tc>
          <w:tcPr>
            <w:tcW w:w="371" w:type="dxa"/>
            <w:tcBorders/>
            <w:shd w:fill="auto" w:val="clear"/>
            <w:vAlign w:val="center"/>
          </w:tcPr>
          <w:p>
            <w:pPr>
              <w:pStyle w:val="TableContents"/>
              <w:spacing w:before="0" w:after="1"/>
              <w:ind w:left="0" w:right="0" w:hanging="0"/>
              <w:rPr/>
            </w:pPr>
            <w:r>
              <w:rPr/>
              <w:t>​</w:t>
            </w:r>
          </w:p>
        </w:tc>
      </w:tr>
      <w:tr>
        <w:trPr/>
        <w:tc>
          <w:tcPr>
            <w:tcW w:w="60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w:t>
            </w:r>
          </w:p>
        </w:tc>
        <w:tc>
          <w:tcPr>
            <w:tcW w:w="83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27,800</w:t>
            </w:r>
          </w:p>
        </w:tc>
        <w:tc>
          <w:tcPr>
            <w:tcW w:w="340"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w:t>
            </w:r>
          </w:p>
        </w:tc>
        <w:tc>
          <w:tcPr>
            <w:tcW w:w="83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18,559</w:t>
            </w:r>
          </w:p>
        </w:tc>
        <w:tc>
          <w:tcPr>
            <w:tcW w:w="371" w:type="dxa"/>
            <w:tcBorders/>
            <w:shd w:fill="CCEEFF" w:val="clear"/>
            <w:vAlign w:val="center"/>
          </w:tcPr>
          <w:p>
            <w:pPr>
              <w:pStyle w:val="TableContents"/>
              <w:spacing w:before="0" w:after="1"/>
              <w:ind w:left="0" w:right="0" w:hanging="0"/>
              <w:rPr/>
            </w:pPr>
            <w:r>
              <w:rPr/>
              <w:t>​</w:t>
            </w:r>
          </w:p>
        </w:tc>
      </w:tr>
      <w:tr>
        <w:trPr/>
        <w:tc>
          <w:tcPr>
            <w:tcW w:w="60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auto" w:val="clear"/>
            <w:vAlign w:val="center"/>
          </w:tcPr>
          <w:p>
            <w:pPr>
              <w:pStyle w:val="TableContents"/>
              <w:spacing w:before="0" w:after="1"/>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3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23,595</w:t>
            </w:r>
          </w:p>
        </w:tc>
        <w:tc>
          <w:tcPr>
            <w:tcW w:w="340" w:type="dxa"/>
            <w:tcBorders/>
            <w:shd w:fill="auto" w:val="clear"/>
            <w:vAlign w:val="center"/>
          </w:tcPr>
          <w:p>
            <w:pPr>
              <w:pStyle w:val="TableContents"/>
              <w:spacing w:before="0" w:after="1"/>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3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12,921</w:t>
            </w:r>
          </w:p>
        </w:tc>
        <w:tc>
          <w:tcPr>
            <w:tcW w:w="371" w:type="dxa"/>
            <w:tcBorders/>
            <w:shd w:fill="auto" w:val="clear"/>
            <w:vAlign w:val="center"/>
          </w:tcPr>
          <w:p>
            <w:pPr>
              <w:pStyle w:val="TableContents"/>
              <w:spacing w:before="0" w:after="1"/>
              <w:ind w:left="0" w:right="0" w:hanging="0"/>
              <w:rPr/>
            </w:pPr>
            <w:r>
              <w:rPr/>
              <w:t>​</w:t>
            </w:r>
          </w:p>
        </w:tc>
      </w:tr>
      <w:tr>
        <w:trPr/>
        <w:tc>
          <w:tcPr>
            <w:tcW w:w="60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spacing w:before="0" w:after="1"/>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51,404</w:t>
            </w:r>
          </w:p>
        </w:tc>
        <w:tc>
          <w:tcPr>
            <w:tcW w:w="340" w:type="dxa"/>
            <w:tcBorders/>
            <w:shd w:fill="CCEEFF" w:val="clear"/>
            <w:vAlign w:val="center"/>
          </w:tcPr>
          <w:p>
            <w:pPr>
              <w:pStyle w:val="TableContents"/>
              <w:spacing w:before="0" w:after="1"/>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31,480</w:t>
            </w:r>
          </w:p>
        </w:tc>
        <w:tc>
          <w:tcPr>
            <w:tcW w:w="371" w:type="dxa"/>
            <w:tcBorders/>
            <w:shd w:fill="CCEEFF" w:val="clear"/>
            <w:vAlign w:val="center"/>
          </w:tcPr>
          <w:p>
            <w:pPr>
              <w:pStyle w:val="TableContents"/>
              <w:spacing w:before="0" w:after="1"/>
              <w:ind w:left="0" w:right="0" w:hanging="0"/>
              <w:rPr/>
            </w:pPr>
            <w:r>
              <w:rPr/>
              <w:t>​</w:t>
            </w:r>
          </w:p>
        </w:tc>
      </w:tr>
      <w:tr>
        <w:trPr/>
        <w:tc>
          <w:tcPr>
            <w:tcW w:w="60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(51,198)</w:t>
            </w:r>
          </w:p>
        </w:tc>
        <w:tc>
          <w:tcPr>
            <w:tcW w:w="340"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(31,480)</w:t>
            </w:r>
          </w:p>
        </w:tc>
        <w:tc>
          <w:tcPr>
            <w:tcW w:w="371" w:type="dxa"/>
            <w:tcBorders/>
            <w:shd w:fill="auto" w:val="clear"/>
            <w:vAlign w:val="center"/>
          </w:tcPr>
          <w:p>
            <w:pPr>
              <w:pStyle w:val="TableContents"/>
              <w:spacing w:before="0" w:after="1"/>
              <w:ind w:left="0" w:right="0" w:hanging="0"/>
              <w:rPr/>
            </w:pPr>
            <w:r>
              <w:rPr/>
              <w:t>​</w:t>
            </w:r>
          </w:p>
        </w:tc>
      </w:tr>
      <w:tr>
        <w:trPr/>
        <w:tc>
          <w:tcPr>
            <w:tcW w:w="60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expense (income)</w:t>
            </w:r>
          </w:p>
        </w:tc>
        <w:tc>
          <w:tcPr>
            <w:tcW w:w="32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832" w:type="dxa"/>
            <w:tcBorders/>
            <w:shd w:fill="CCEEFF" w:val="clear"/>
            <w:vAlign w:val="center"/>
          </w:tcPr>
          <w:p>
            <w:pPr>
              <w:pStyle w:val="TableContents"/>
              <w:spacing w:before="0" w:after="1"/>
              <w:ind w:left="0" w:right="0" w:hanging="0"/>
              <w:jc w:val="right"/>
              <w:rPr/>
            </w:pPr>
            <w:r>
              <w:rPr/>
              <w:t>​</w:t>
            </w:r>
          </w:p>
        </w:tc>
        <w:tc>
          <w:tcPr>
            <w:tcW w:w="340"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832" w:type="dxa"/>
            <w:tcBorders/>
            <w:shd w:fill="CCEEFF" w:val="clear"/>
            <w:vAlign w:val="center"/>
          </w:tcPr>
          <w:p>
            <w:pPr>
              <w:pStyle w:val="TableContents"/>
              <w:spacing w:before="0" w:after="1"/>
              <w:ind w:left="0" w:right="0" w:hanging="0"/>
              <w:jc w:val="right"/>
              <w:rPr/>
            </w:pPr>
            <w:r>
              <w:rPr/>
              <w:t>​</w:t>
            </w:r>
          </w:p>
        </w:tc>
        <w:tc>
          <w:tcPr>
            <w:tcW w:w="371" w:type="dxa"/>
            <w:tcBorders/>
            <w:shd w:fill="CCEEFF" w:val="clear"/>
            <w:vAlign w:val="center"/>
          </w:tcPr>
          <w:p>
            <w:pPr>
              <w:pStyle w:val="TableContents"/>
              <w:spacing w:before="0" w:after="1"/>
              <w:ind w:left="0" w:right="0" w:hanging="0"/>
              <w:rPr/>
            </w:pPr>
            <w:r>
              <w:rPr/>
              <w:t>​</w:t>
            </w:r>
          </w:p>
        </w:tc>
      </w:tr>
      <w:tr>
        <w:trPr/>
        <w:tc>
          <w:tcPr>
            <w:tcW w:w="60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83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3,367</w:t>
            </w:r>
          </w:p>
        </w:tc>
        <w:tc>
          <w:tcPr>
            <w:tcW w:w="340"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pPr>
            <w:r>
              <w:rPr/>
              <w:t> </w:t>
            </w:r>
          </w:p>
        </w:tc>
        <w:tc>
          <w:tcPr>
            <w:tcW w:w="83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71" w:type="dxa"/>
            <w:tcBorders/>
            <w:shd w:fill="auto" w:val="clear"/>
            <w:vAlign w:val="center"/>
          </w:tcPr>
          <w:p>
            <w:pPr>
              <w:pStyle w:val="TableContents"/>
              <w:spacing w:before="0" w:after="1"/>
              <w:ind w:left="0" w:right="0" w:hanging="0"/>
              <w:rPr/>
            </w:pPr>
            <w:r>
              <w:rPr/>
              <w:t>​</w:t>
            </w:r>
          </w:p>
        </w:tc>
      </w:tr>
      <w:tr>
        <w:trPr/>
        <w:tc>
          <w:tcPr>
            <w:tcW w:w="60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w:t>
            </w:r>
          </w:p>
        </w:tc>
        <w:tc>
          <w:tcPr>
            <w:tcW w:w="83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(2,015)</w:t>
            </w:r>
          </w:p>
        </w:tc>
        <w:tc>
          <w:tcPr>
            <w:tcW w:w="340"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w:t>
            </w:r>
          </w:p>
        </w:tc>
        <w:tc>
          <w:tcPr>
            <w:tcW w:w="83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71" w:type="dxa"/>
            <w:tcBorders/>
            <w:shd w:fill="CCEEFF" w:val="clear"/>
            <w:vAlign w:val="center"/>
          </w:tcPr>
          <w:p>
            <w:pPr>
              <w:pStyle w:val="TableContents"/>
              <w:spacing w:before="0" w:after="1"/>
              <w:ind w:left="0" w:right="0" w:hanging="0"/>
              <w:rPr/>
            </w:pPr>
            <w:r>
              <w:rPr/>
              <w:t>​</w:t>
            </w:r>
          </w:p>
        </w:tc>
      </w:tr>
      <w:tr>
        <w:trPr/>
        <w:tc>
          <w:tcPr>
            <w:tcW w:w="60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expense, net</w:t>
            </w:r>
          </w:p>
        </w:tc>
        <w:tc>
          <w:tcPr>
            <w:tcW w:w="326" w:type="dxa"/>
            <w:tcBorders/>
            <w:shd w:fill="auto" w:val="clear"/>
            <w:vAlign w:val="center"/>
          </w:tcPr>
          <w:p>
            <w:pPr>
              <w:pStyle w:val="TableContents"/>
              <w:spacing w:before="0" w:after="1"/>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3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246</w:t>
            </w:r>
          </w:p>
        </w:tc>
        <w:tc>
          <w:tcPr>
            <w:tcW w:w="340" w:type="dxa"/>
            <w:tcBorders/>
            <w:shd w:fill="auto" w:val="clear"/>
            <w:vAlign w:val="center"/>
          </w:tcPr>
          <w:p>
            <w:pPr>
              <w:pStyle w:val="TableContents"/>
              <w:spacing w:before="0" w:after="1"/>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32"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71" w:type="dxa"/>
            <w:tcBorders/>
            <w:shd w:fill="auto" w:val="clear"/>
            <w:vAlign w:val="center"/>
          </w:tcPr>
          <w:p>
            <w:pPr>
              <w:pStyle w:val="TableContents"/>
              <w:spacing w:before="0" w:after="1"/>
              <w:ind w:left="0" w:right="0" w:hanging="0"/>
              <w:rPr/>
            </w:pPr>
            <w:r>
              <w:rPr/>
              <w:t>​</w:t>
            </w:r>
          </w:p>
        </w:tc>
      </w:tr>
      <w:tr>
        <w:trPr/>
        <w:tc>
          <w:tcPr>
            <w:tcW w:w="60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spacing w:before="0" w:after="1"/>
              <w:ind w:left="0" w:right="0" w:hanging="0"/>
              <w:rPr/>
            </w:pPr>
            <w:r>
              <w:rPr/>
              <w:t>​</w:t>
            </w:r>
          </w:p>
        </w:tc>
        <w:tc>
          <w:tcPr>
            <w:tcW w:w="22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(52,796)</w:t>
            </w:r>
          </w:p>
        </w:tc>
        <w:tc>
          <w:tcPr>
            <w:tcW w:w="340" w:type="dxa"/>
            <w:tcBorders/>
            <w:shd w:fill="CCEEFF" w:val="clear"/>
            <w:vAlign w:val="center"/>
          </w:tcPr>
          <w:p>
            <w:pPr>
              <w:pStyle w:val="TableContents"/>
              <w:spacing w:before="0" w:after="1"/>
              <w:ind w:left="0" w:right="0" w:hanging="0"/>
              <w:rPr/>
            </w:pPr>
            <w:r>
              <w:rPr/>
              <w:t>​</w:t>
            </w:r>
          </w:p>
        </w:tc>
        <w:tc>
          <w:tcPr>
            <w:tcW w:w="22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(31,472)</w:t>
            </w:r>
          </w:p>
        </w:tc>
        <w:tc>
          <w:tcPr>
            <w:tcW w:w="371" w:type="dxa"/>
            <w:tcBorders/>
            <w:shd w:fill="CCEEFF" w:val="clear"/>
            <w:vAlign w:val="center"/>
          </w:tcPr>
          <w:p>
            <w:pPr>
              <w:pStyle w:val="TableContents"/>
              <w:spacing w:before="0" w:after="1"/>
              <w:ind w:left="0" w:right="0" w:hanging="0"/>
              <w:rPr/>
            </w:pPr>
            <w:r>
              <w:rPr/>
              <w:t>​</w:t>
            </w:r>
          </w:p>
        </w:tc>
      </w:tr>
      <w:tr>
        <w:trPr/>
        <w:tc>
          <w:tcPr>
            <w:tcW w:w="60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 and diluted net loss per share attributable to common stockholders</w:t>
            </w:r>
          </w:p>
        </w:tc>
        <w:tc>
          <w:tcPr>
            <w:tcW w:w="326"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340" w:type="dxa"/>
            <w:tcBorders/>
            <w:shd w:fill="auto" w:val="clear"/>
            <w:vAlign w:val="center"/>
          </w:tcPr>
          <w:p>
            <w:pPr>
              <w:pStyle w:val="TableContents"/>
              <w:spacing w:before="0" w:after="1"/>
              <w:ind w:left="0" w:right="0" w:hanging="0"/>
              <w:rPr/>
            </w:pPr>
            <w:r>
              <w:rPr/>
              <w:t>​</w:t>
            </w:r>
          </w:p>
        </w:tc>
        <w:tc>
          <w:tcPr>
            <w:tcW w:w="22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71" w:type="dxa"/>
            <w:tcBorders/>
            <w:shd w:fill="auto" w:val="clear"/>
            <w:vAlign w:val="center"/>
          </w:tcPr>
          <w:p>
            <w:pPr>
              <w:pStyle w:val="TableContents"/>
              <w:spacing w:before="0" w:after="1"/>
              <w:ind w:left="0" w:right="0" w:hanging="0"/>
              <w:rPr/>
            </w:pPr>
            <w:r>
              <w:rPr/>
              <w:t>​</w:t>
            </w:r>
          </w:p>
        </w:tc>
      </w:tr>
      <w:tr>
        <w:trPr/>
        <w:tc>
          <w:tcPr>
            <w:tcW w:w="60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 average shares outstanding - basic and diluted</w:t>
            </w:r>
          </w:p>
        </w:tc>
        <w:tc>
          <w:tcPr>
            <w:tcW w:w="326"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83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28,616</w:t>
            </w:r>
          </w:p>
        </w:tc>
        <w:tc>
          <w:tcPr>
            <w:tcW w:w="340" w:type="dxa"/>
            <w:tcBorders/>
            <w:shd w:fill="CCEEFF" w:val="clear"/>
            <w:vAlign w:val="center"/>
          </w:tcPr>
          <w:p>
            <w:pPr>
              <w:pStyle w:val="TableContents"/>
              <w:spacing w:before="0" w:after="1"/>
              <w:ind w:left="0" w:right="0" w:hanging="0"/>
              <w:rPr/>
            </w:pPr>
            <w:r>
              <w:rPr/>
              <w:t>​</w:t>
            </w:r>
          </w:p>
        </w:tc>
        <w:tc>
          <w:tcPr>
            <w:tcW w:w="220" w:type="dxa"/>
            <w:tcBorders/>
            <w:shd w:fill="CCEEFF" w:val="clear"/>
            <w:vAlign w:val="center"/>
          </w:tcPr>
          <w:p>
            <w:pPr>
              <w:pStyle w:val="TableContents"/>
              <w:spacing w:before="0" w:after="1"/>
              <w:ind w:left="0" w:right="0" w:hanging="0"/>
              <w:rPr/>
            </w:pPr>
            <w:r>
              <w:rPr/>
              <w:t> </w:t>
            </w:r>
          </w:p>
        </w:tc>
        <w:tc>
          <w:tcPr>
            <w:tcW w:w="83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27,980</w:t>
            </w:r>
          </w:p>
        </w:tc>
        <w:tc>
          <w:tcPr>
            <w:tcW w:w="371"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241" w:name="_a9cf17ca_aec6_4204_9023_041fc18c4bcd"/>
      <w:bookmarkEnd w:id="241"/>
      <w:r>
        <w:rPr>
          <w:rFonts w:ascii="Times New Roman;Times;serif" w:hAnsi="Times New Roman;Times;serif"/>
          <w:b/>
          <w:sz w:val="20"/>
        </w:rPr>
        <w:t>BIOXCEL THERAPEUTICS, INC.</w:t>
      </w:r>
    </w:p>
    <w:p>
      <w:pPr>
        <w:pStyle w:val="TextBody"/>
        <w:spacing w:before="0" w:after="240"/>
        <w:ind w:left="0" w:right="0" w:hanging="0"/>
        <w:jc w:val="center"/>
        <w:rPr>
          <w:rFonts w:ascii="Times New Roman;Times;serif" w:hAnsi="Times New Roman;Times;serif"/>
          <w:sz w:val="20"/>
        </w:rPr>
      </w:pPr>
      <w:bookmarkStart w:id="242" w:name="STATEMENTSOFCHANGESINSTOCKHOLDERSEQUITY_"/>
      <w:bookmarkEnd w:id="242"/>
      <w:r>
        <w:rPr>
          <w:rFonts w:ascii="Times New Roman;Times;serif" w:hAnsi="Times New Roman;Times;serif"/>
          <w:b/>
          <w:sz w:val="20"/>
        </w:rPr>
        <w:t>CONDENSED CONSOLIDATED STATEMENTS OF CHANGES IN STOCKHOLDERS’ EQUITY</w:t>
      </w:r>
      <w:r>
        <w:rPr>
          <w:rFonts w:ascii="Times New Roman;Times;serif" w:hAnsi="Times New Roman;Times;serif"/>
          <w:sz w:val="20"/>
        </w:rPr>
        <w:t xml:space="preserve">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spacing w:before="0" w:after="0"/>
        <w:rPr>
          <w:sz w:val="4"/>
          <w:szCs w:val="4"/>
        </w:rPr>
      </w:pPr>
      <w:r>
        <w:rPr>
          <w:sz w:val="4"/>
          <w:szCs w:val="4"/>
        </w:rPr>
      </w:r>
      <w:bookmarkStart w:id="243" w:name="Tc_CpM3D67shkaR95e9Dx3uUA_18_13"/>
      <w:bookmarkStart w:id="244" w:name="Tc_RQ6E5MvopE-njlbM-48IOw_18_10"/>
      <w:bookmarkStart w:id="245" w:name="Tc_ciL1i6KujEGf74cMotglww_18_7"/>
      <w:bookmarkStart w:id="246" w:name="Tc_gIQkn8JoAkKC5QHDLiF2xw_18_4"/>
      <w:bookmarkStart w:id="247" w:name="Tc_QWGckbAcp0uN8lj3gjmUCg_18_0"/>
      <w:bookmarkStart w:id="248" w:name="Tc_-d7LfEK9DECdGjvTR2TqjA_17_8"/>
      <w:bookmarkStart w:id="249" w:name="Tc_ZleBHNOAWUSH85CrevI_iQ_17_5"/>
      <w:bookmarkStart w:id="250" w:name="Tc_T8beOK5Hn02A80wvLOf_EA_17_2"/>
      <w:bookmarkStart w:id="251" w:name="Tc_dqdN2HQf80iRbPJ2Cxa23w_17_0"/>
      <w:bookmarkStart w:id="252" w:name="Tc_wbO16sZYhUmiZ8g2_ra8tw_16_11"/>
      <w:bookmarkStart w:id="253" w:name="Tc_qY0oVh9lbkSjYMZ0CyqvgQ_16_5"/>
      <w:bookmarkStart w:id="254" w:name="Tc_J8E5Lf2vKkOxNAtg4LLarA_16_0"/>
      <w:bookmarkStart w:id="255" w:name="Tc_mDdRMWgMDky1iCu_qLdyPw_15_11"/>
      <w:bookmarkStart w:id="256" w:name="Tc_hnWhJbBcF0aXXpXgZLSSkQ_15_5"/>
      <w:bookmarkStart w:id="257" w:name="Tc_aShJ0cMGQkuzUtJ8noSTig_15_0"/>
      <w:bookmarkStart w:id="258" w:name="Tc_8ucxOtEVEEmMXJGLhPj8Hw_14_11"/>
      <w:bookmarkStart w:id="259" w:name="Tc_b_E41iPE30uwHF0UnHWoQg_14_5"/>
      <w:bookmarkStart w:id="260" w:name="Tc_blLqGa9uokCYsGbSOymCnQ_14_2"/>
      <w:bookmarkStart w:id="261" w:name="Tc_54k-FEACC0ShLdHjUzyTEA_14_0"/>
      <w:bookmarkStart w:id="262" w:name="Tc_-IYNm_CcGkai32INc57uKA_13_11"/>
      <w:bookmarkStart w:id="263" w:name="Tc_JplEoSEFmUyDlj3ag0MDVw_13_0"/>
      <w:bookmarkStart w:id="264" w:name="Tc_x4SyTmQWZ0mc2KiFTNN6nA_12_13"/>
      <w:bookmarkStart w:id="265" w:name="Tc_H-okAxJD9kSODEU45pKONg_12_10"/>
      <w:bookmarkStart w:id="266" w:name="Tc_slZy5kv87UCYKRbbWWWYdA_12_7"/>
      <w:bookmarkStart w:id="267" w:name="Tc_W9sDqxyWLkel9oDvcFT7-g_12_4"/>
      <w:bookmarkStart w:id="268" w:name="Tc_1JU7bJkqCkyVz6wVdQeVow_12_0"/>
      <w:bookmarkStart w:id="269" w:name="Tc_KogLLGCx3UWgfuKlztxMog_11_13"/>
      <w:bookmarkStart w:id="270" w:name="Tc_23IPfNaT80OboZ_tJIpRUQ_11_10"/>
      <w:bookmarkStart w:id="271" w:name="Tc_79mzKTTdVECFTHQ3o1S2_A_11_7"/>
      <w:bookmarkStart w:id="272" w:name="Tc_iFzSYmdYjEGhQVKglQtAPg_11_4"/>
      <w:bookmarkStart w:id="273" w:name="Tc_oKjCQLF-TUy_h5vbV5JQNA_11_2"/>
      <w:bookmarkStart w:id="274" w:name="Tc_ExT1-HJx2Eed4G-B1kfKFg_10_10"/>
      <w:bookmarkStart w:id="275" w:name="Tc_ljyV7wyZ2EWFLl0JDHczsw_10_7"/>
      <w:bookmarkStart w:id="276" w:name="Tc_anhjbckxHUmM84R4f2tQEQ_10_2"/>
      <w:bookmarkStart w:id="277" w:name="Tc_7zAE0vWIRU2O1xCHkF_0_A_9_7"/>
      <w:bookmarkStart w:id="278" w:name="Tc_bLWDgtiHJk2VuZBSa76qhg_7_13"/>
      <w:bookmarkStart w:id="279" w:name="Tc_TUV2DzDEaUq-ssdbQcaw8w_7_10"/>
      <w:bookmarkStart w:id="280" w:name="Tc_nvj0n1a6N0iMW6E4P6wdFA_7_7"/>
      <w:bookmarkStart w:id="281" w:name="Tc_y0xZMh65QUKua7pU7hthjQ_7_4"/>
      <w:bookmarkStart w:id="282" w:name="Tc_arqXoWgUqkefGKGttk3tQg_7_0"/>
      <w:bookmarkStart w:id="283" w:name="Tc_LACmlDKvs0a7QRChCqkCKQ_6_8"/>
      <w:bookmarkStart w:id="284" w:name="Tc__OimOGCmbEGmxZDRgDPWTg_6_5"/>
      <w:bookmarkStart w:id="285" w:name="Tc_JQUcQe55JEWg5LC1ICo2Sg_6_2"/>
      <w:bookmarkStart w:id="286" w:name="Tc_-s7lkIxcy02wto_TofS8tw_6_0"/>
      <w:bookmarkStart w:id="287" w:name="Tc_obnPlGLli02El5uc_O2ZDg_5_11"/>
      <w:bookmarkStart w:id="288" w:name="Tc_OMUMG2Z3TU-K-BovQp87MA_5_5"/>
      <w:bookmarkStart w:id="289" w:name="Tc_RpE_SwE9JEu0uFm6lI0sAw_5_2"/>
      <w:bookmarkStart w:id="290" w:name="Tc_kKxQjSAeREmZ-sIQDJnndA_5_0"/>
      <w:bookmarkStart w:id="291" w:name="Tc_K5UJ24f1fUeheUQlso_NCA_4_13"/>
      <w:bookmarkStart w:id="292" w:name="Tc_ziN3WW0jW0GbGLvLgByGjw_4_10"/>
      <w:bookmarkStart w:id="293" w:name="Tc_iBMylLGAOkqtRl5EVxlqag_4_7"/>
      <w:bookmarkStart w:id="294" w:name="Tc_IMQefj__cEiX7ap5oGgIwQ_4_4"/>
      <w:bookmarkStart w:id="295" w:name="Tc_hBBMgXtDREW6Z5Dad_IdrQ_4_0"/>
      <w:bookmarkStart w:id="296" w:name="Tc_CUauiCi6CEm7cAZrSTUAsQ_3_13"/>
      <w:bookmarkStart w:id="297" w:name="Tc_0dfQto1230aEPkhTvYx19Q_3_10"/>
      <w:bookmarkStart w:id="298" w:name="Tc_1t3eVqEHrUur9OHT3BEiCw_3_7"/>
      <w:bookmarkStart w:id="299" w:name="Tc_haiTIk3BzkK8gG5liXb_ww_3_4"/>
      <w:bookmarkStart w:id="300" w:name="Tc_Gu_3gAEa9ECFu4Qkt4_3aw_3_2"/>
      <w:bookmarkStart w:id="301" w:name="Tc_fzA-1B8M4kysNjJD_r3ERw_2_10"/>
      <w:bookmarkStart w:id="302" w:name="Tc_a4TInca8JECEzhHYLomkmA_2_7"/>
      <w:bookmarkStart w:id="303" w:name="Tc_-sVM_9tZ0UaqeDXU7RfaOg_2_2"/>
      <w:bookmarkStart w:id="304" w:name="Tc_5HfWhOSXUESaOHep0fgIIw_1_7"/>
      <w:bookmarkStart w:id="305" w:name="_a03717f8_08f6_4876_baa9_dd271f2b2e08"/>
      <w:bookmarkStart w:id="306" w:name="Tc_CpM3D67shkaR95e9Dx3uUA_18_13"/>
      <w:bookmarkStart w:id="307" w:name="Tc_RQ6E5MvopE-njlbM-48IOw_18_10"/>
      <w:bookmarkStart w:id="308" w:name="Tc_ciL1i6KujEGf74cMotglww_18_7"/>
      <w:bookmarkStart w:id="309" w:name="Tc_gIQkn8JoAkKC5QHDLiF2xw_18_4"/>
      <w:bookmarkStart w:id="310" w:name="Tc_QWGckbAcp0uN8lj3gjmUCg_18_0"/>
      <w:bookmarkStart w:id="311" w:name="Tc_-d7LfEK9DECdGjvTR2TqjA_17_8"/>
      <w:bookmarkStart w:id="312" w:name="Tc_ZleBHNOAWUSH85CrevI_iQ_17_5"/>
      <w:bookmarkStart w:id="313" w:name="Tc_T8beOK5Hn02A80wvLOf_EA_17_2"/>
      <w:bookmarkStart w:id="314" w:name="Tc_dqdN2HQf80iRbPJ2Cxa23w_17_0"/>
      <w:bookmarkStart w:id="315" w:name="Tc_wbO16sZYhUmiZ8g2_ra8tw_16_11"/>
      <w:bookmarkStart w:id="316" w:name="Tc_qY0oVh9lbkSjYMZ0CyqvgQ_16_5"/>
      <w:bookmarkStart w:id="317" w:name="Tc_J8E5Lf2vKkOxNAtg4LLarA_16_0"/>
      <w:bookmarkStart w:id="318" w:name="Tc_mDdRMWgMDky1iCu_qLdyPw_15_11"/>
      <w:bookmarkStart w:id="319" w:name="Tc_hnWhJbBcF0aXXpXgZLSSkQ_15_5"/>
      <w:bookmarkStart w:id="320" w:name="Tc_aShJ0cMGQkuzUtJ8noSTig_15_0"/>
      <w:bookmarkStart w:id="321" w:name="Tc_8ucxOtEVEEmMXJGLhPj8Hw_14_11"/>
      <w:bookmarkStart w:id="322" w:name="Tc_b_E41iPE30uwHF0UnHWoQg_14_5"/>
      <w:bookmarkStart w:id="323" w:name="Tc_blLqGa9uokCYsGbSOymCnQ_14_2"/>
      <w:bookmarkStart w:id="324" w:name="Tc_54k-FEACC0ShLdHjUzyTEA_14_0"/>
      <w:bookmarkStart w:id="325" w:name="Tc_-IYNm_CcGkai32INc57uKA_13_11"/>
      <w:bookmarkStart w:id="326" w:name="Tc_JplEoSEFmUyDlj3ag0MDVw_13_0"/>
      <w:bookmarkStart w:id="327" w:name="Tc_x4SyTmQWZ0mc2KiFTNN6nA_12_13"/>
      <w:bookmarkStart w:id="328" w:name="Tc_H-okAxJD9kSODEU45pKONg_12_10"/>
      <w:bookmarkStart w:id="329" w:name="Tc_slZy5kv87UCYKRbbWWWYdA_12_7"/>
      <w:bookmarkStart w:id="330" w:name="Tc_W9sDqxyWLkel9oDvcFT7-g_12_4"/>
      <w:bookmarkStart w:id="331" w:name="Tc_1JU7bJkqCkyVz6wVdQeVow_12_0"/>
      <w:bookmarkStart w:id="332" w:name="Tc_KogLLGCx3UWgfuKlztxMog_11_13"/>
      <w:bookmarkStart w:id="333" w:name="Tc_23IPfNaT80OboZ_tJIpRUQ_11_10"/>
      <w:bookmarkStart w:id="334" w:name="Tc_79mzKTTdVECFTHQ3o1S2_A_11_7"/>
      <w:bookmarkStart w:id="335" w:name="Tc_iFzSYmdYjEGhQVKglQtAPg_11_4"/>
      <w:bookmarkStart w:id="336" w:name="Tc_oKjCQLF-TUy_h5vbV5JQNA_11_2"/>
      <w:bookmarkStart w:id="337" w:name="Tc_ExT1-HJx2Eed4G-B1kfKFg_10_10"/>
      <w:bookmarkStart w:id="338" w:name="Tc_ljyV7wyZ2EWFLl0JDHczsw_10_7"/>
      <w:bookmarkStart w:id="339" w:name="Tc_anhjbckxHUmM84R4f2tQEQ_10_2"/>
      <w:bookmarkStart w:id="340" w:name="Tc_7zAE0vWIRU2O1xCHkF_0_A_9_7"/>
      <w:bookmarkStart w:id="341" w:name="Tc_bLWDgtiHJk2VuZBSa76qhg_7_13"/>
      <w:bookmarkStart w:id="342" w:name="Tc_TUV2DzDEaUq-ssdbQcaw8w_7_10"/>
      <w:bookmarkStart w:id="343" w:name="Tc_nvj0n1a6N0iMW6E4P6wdFA_7_7"/>
      <w:bookmarkStart w:id="344" w:name="Tc_y0xZMh65QUKua7pU7hthjQ_7_4"/>
      <w:bookmarkStart w:id="345" w:name="Tc_arqXoWgUqkefGKGttk3tQg_7_0"/>
      <w:bookmarkStart w:id="346" w:name="Tc_LACmlDKvs0a7QRChCqkCKQ_6_8"/>
      <w:bookmarkStart w:id="347" w:name="Tc__OimOGCmbEGmxZDRgDPWTg_6_5"/>
      <w:bookmarkStart w:id="348" w:name="Tc_JQUcQe55JEWg5LC1ICo2Sg_6_2"/>
      <w:bookmarkStart w:id="349" w:name="Tc_-s7lkIxcy02wto_TofS8tw_6_0"/>
      <w:bookmarkStart w:id="350" w:name="Tc_obnPlGLli02El5uc_O2ZDg_5_11"/>
      <w:bookmarkStart w:id="351" w:name="Tc_OMUMG2Z3TU-K-BovQp87MA_5_5"/>
      <w:bookmarkStart w:id="352" w:name="Tc_RpE_SwE9JEu0uFm6lI0sAw_5_2"/>
      <w:bookmarkStart w:id="353" w:name="Tc_kKxQjSAeREmZ-sIQDJnndA_5_0"/>
      <w:bookmarkStart w:id="354" w:name="Tc_K5UJ24f1fUeheUQlso_NCA_4_13"/>
      <w:bookmarkStart w:id="355" w:name="Tc_ziN3WW0jW0GbGLvLgByGjw_4_10"/>
      <w:bookmarkStart w:id="356" w:name="Tc_iBMylLGAOkqtRl5EVxlqag_4_7"/>
      <w:bookmarkStart w:id="357" w:name="Tc_IMQefj__cEiX7ap5oGgIwQ_4_4"/>
      <w:bookmarkStart w:id="358" w:name="Tc_hBBMgXtDREW6Z5Dad_IdrQ_4_0"/>
      <w:bookmarkStart w:id="359" w:name="Tc_CUauiCi6CEm7cAZrSTUAsQ_3_13"/>
      <w:bookmarkStart w:id="360" w:name="Tc_0dfQto1230aEPkhTvYx19Q_3_10"/>
      <w:bookmarkStart w:id="361" w:name="Tc_1t3eVqEHrUur9OHT3BEiCw_3_7"/>
      <w:bookmarkStart w:id="362" w:name="Tc_haiTIk3BzkK8gG5liXb_ww_3_4"/>
      <w:bookmarkStart w:id="363" w:name="Tc_Gu_3gAEa9ECFu4Qkt4_3aw_3_2"/>
      <w:bookmarkStart w:id="364" w:name="Tc_fzA-1B8M4kysNjJD_r3ERw_2_10"/>
      <w:bookmarkStart w:id="365" w:name="Tc_a4TInca8JECEzhHYLomkmA_2_7"/>
      <w:bookmarkStart w:id="366" w:name="Tc_-sVM_9tZ0UaqeDXU7RfaOg_2_2"/>
      <w:bookmarkStart w:id="367" w:name="Tc_5HfWhOSXUESaOHep0fgIIw_1_7"/>
      <w:bookmarkStart w:id="368" w:name="_a03717f8_08f6_4876_baa9_dd271f2b2e08"/>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tbl>
      <w:tblPr>
        <w:tblW w:w="10205" w:type="dxa"/>
        <w:jc w:val="left"/>
        <w:tblInd w:w="0" w:type="dxa"/>
        <w:tblCellMar>
          <w:top w:w="0" w:type="dxa"/>
          <w:left w:w="0" w:type="dxa"/>
          <w:bottom w:w="0" w:type="dxa"/>
          <w:right w:w="0" w:type="dxa"/>
        </w:tblCellMar>
      </w:tblPr>
      <w:tblGrid>
        <w:gridCol w:w="4075"/>
        <w:gridCol w:w="326"/>
        <w:gridCol w:w="676"/>
        <w:gridCol w:w="326"/>
        <w:gridCol w:w="261"/>
        <w:gridCol w:w="430"/>
        <w:gridCol w:w="326"/>
        <w:gridCol w:w="211"/>
        <w:gridCol w:w="781"/>
        <w:gridCol w:w="326"/>
        <w:gridCol w:w="211"/>
        <w:gridCol w:w="882"/>
        <w:gridCol w:w="326"/>
        <w:gridCol w:w="211"/>
        <w:gridCol w:w="837"/>
      </w:tblGrid>
      <w:tr>
        <w:trPr/>
        <w:tc>
          <w:tcPr>
            <w:tcW w:w="40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587625" cy="175260"/>
                      <wp:effectExtent l="0" t="0" r="0" b="0"/>
                      <wp:wrapNone/>
                      <wp:docPr id="19" name="Frame19"/>
                      <a:graphic xmlns:a="http://schemas.openxmlformats.org/drawingml/2006/main">
                        <a:graphicData uri="http://schemas.microsoft.com/office/word/2010/wordprocessingShape">
                          <wps:wsp>
                            <wps:cNvSpPr txBox="1"/>
                            <wps:spPr>
                              <a:xfrm>
                                <a:off x="0" y="0"/>
                                <a:ext cx="2587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29260" cy="175260"/>
                      <wp:effectExtent l="0" t="0" r="0" b="0"/>
                      <wp:wrapNone/>
                      <wp:docPr id="21" name="Frame2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65735" cy="175260"/>
                      <wp:effectExtent l="0" t="0" r="0" b="0"/>
                      <wp:wrapNone/>
                      <wp:docPr id="23" name="Frame23"/>
                      <a:graphic xmlns:a="http://schemas.openxmlformats.org/drawingml/2006/main">
                        <a:graphicData uri="http://schemas.microsoft.com/office/word/2010/wordprocessingShape">
                          <wps:wsp>
                            <wps:cNvSpPr txBox="1"/>
                            <wps:spPr>
                              <a:xfrm>
                                <a:off x="0" y="0"/>
                                <a:ext cx="165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73050" cy="175260"/>
                      <wp:effectExtent l="0" t="0" r="0" b="0"/>
                      <wp:wrapNone/>
                      <wp:docPr id="24" name="Frame24"/>
                      <a:graphic xmlns:a="http://schemas.openxmlformats.org/drawingml/2006/main">
                        <a:graphicData uri="http://schemas.microsoft.com/office/word/2010/wordprocessingShape">
                          <wps:wsp>
                            <wps:cNvSpPr txBox="1"/>
                            <wps:spPr>
                              <a:xfrm>
                                <a:off x="0" y="0"/>
                                <a:ext cx="273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95935" cy="175260"/>
                      <wp:effectExtent l="0" t="0" r="0" b="0"/>
                      <wp:wrapNone/>
                      <wp:docPr id="27" name="Frame2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60070" cy="175260"/>
                      <wp:effectExtent l="0" t="0" r="0" b="0"/>
                      <wp:wrapNone/>
                      <wp:docPr id="30" name="Frame30"/>
                      <a:graphic xmlns:a="http://schemas.openxmlformats.org/drawingml/2006/main">
                        <a:graphicData uri="http://schemas.microsoft.com/office/word/2010/wordprocessingShape">
                          <wps:wsp>
                            <wps:cNvSpPr txBox="1"/>
                            <wps:spPr>
                              <a:xfrm>
                                <a:off x="0" y="0"/>
                                <a:ext cx="560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31495" cy="175260"/>
                      <wp:effectExtent l="0" t="0" r="0" b="0"/>
                      <wp:wrapNone/>
                      <wp:docPr id="33" name="Frame33"/>
                      <a:graphic xmlns:a="http://schemas.openxmlformats.org/drawingml/2006/main">
                        <a:graphicData uri="http://schemas.microsoft.com/office/word/2010/wordprocessingShape">
                          <wps:wsp>
                            <wps:cNvSpPr txBox="1"/>
                            <wps:spPr>
                              <a:xfrm>
                                <a:off x="0" y="0"/>
                                <a:ext cx="531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7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43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37" w:type="dxa"/>
            <w:tcBorders/>
            <w:shd w:fill="auto" w:val="clear"/>
            <w:vAlign w:val="center"/>
          </w:tcPr>
          <w:p>
            <w:pPr>
              <w:pStyle w:val="TableContents"/>
              <w:spacing w:before="0" w:after="0"/>
              <w:ind w:left="0" w:right="0" w:hanging="0"/>
              <w:jc w:val="center"/>
              <w:rPr/>
            </w:pPr>
            <w:r>
              <w:rPr/>
              <w:t>​</w:t>
            </w:r>
          </w:p>
        </w:tc>
      </w:tr>
      <w:tr>
        <w:trPr/>
        <w:tc>
          <w:tcPr>
            <w:tcW w:w="407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9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shd w:fill="auto" w:val="clear"/>
            <w:vAlign w:val="center"/>
          </w:tcPr>
          <w:p>
            <w:pPr>
              <w:pStyle w:val="TableContents"/>
              <w:spacing w:before="0" w:after="0"/>
              <w:ind w:left="0" w:right="0" w:hanging="0"/>
              <w:rPr/>
            </w:pPr>
            <w:r>
              <w:rPr/>
              <w:t>​</w:t>
            </w:r>
          </w:p>
        </w:tc>
        <w:tc>
          <w:tcPr>
            <w:tcW w:w="1093"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37" w:type="dxa"/>
            <w:tcBorders/>
            <w:shd w:fill="auto" w:val="clear"/>
            <w:vAlign w:val="center"/>
          </w:tcPr>
          <w:p>
            <w:pPr>
              <w:pStyle w:val="TableContents"/>
              <w:spacing w:before="0" w:after="0"/>
              <w:ind w:left="0" w:right="0" w:hanging="0"/>
              <w:jc w:val="center"/>
              <w:rPr/>
            </w:pPr>
            <w:r>
              <w:rPr/>
              <w:t>​</w:t>
            </w:r>
          </w:p>
        </w:tc>
      </w:tr>
      <w:tr>
        <w:trPr/>
        <w:tc>
          <w:tcPr>
            <w:tcW w:w="407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0"/>
              <w:ind w:left="0" w:right="0" w:hanging="0"/>
              <w:rPr/>
            </w:pPr>
            <w:r>
              <w:rPr/>
              <w:t>    </w:t>
            </w:r>
          </w:p>
        </w:tc>
        <w:tc>
          <w:tcPr>
            <w:tcW w:w="109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shd w:fill="auto" w:val="clear"/>
            <w:vAlign w:val="center"/>
          </w:tcPr>
          <w:p>
            <w:pPr>
              <w:pStyle w:val="TableContents"/>
              <w:spacing w:before="0" w:after="0"/>
              <w:ind w:left="0" w:right="0" w:hanging="0"/>
              <w:rPr/>
            </w:pPr>
            <w:r>
              <w:rPr/>
              <w:t>    </w:t>
            </w:r>
          </w:p>
        </w:tc>
        <w:tc>
          <w:tcPr>
            <w:tcW w:w="104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as of December 31, 2021</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27,980</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467,427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(245,788)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221,667</w:t>
            </w:r>
          </w:p>
        </w:tc>
      </w:tr>
      <w:tr>
        <w:trPr/>
        <w:tc>
          <w:tcPr>
            <w:tcW w:w="40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43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3,825</w:t>
            </w:r>
          </w:p>
        </w:tc>
      </w:tr>
      <w:tr>
        <w:trPr/>
        <w:tc>
          <w:tcPr>
            <w:tcW w:w="40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3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(31,472)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3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(31,472)</w:t>
            </w:r>
          </w:p>
        </w:tc>
      </w:tr>
      <w:tr>
        <w:trPr/>
        <w:tc>
          <w:tcPr>
            <w:tcW w:w="40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as of March 31, 2022</w:t>
            </w:r>
          </w:p>
        </w:tc>
        <w:tc>
          <w:tcPr>
            <w:tcW w:w="326" w:type="dxa"/>
            <w:tcBorders/>
            <w:shd w:fill="auto" w:val="clear"/>
            <w:vAlign w:val="center"/>
          </w:tcPr>
          <w:p>
            <w:pPr>
              <w:pStyle w:val="TableContents"/>
              <w:spacing w:before="0" w:after="0"/>
              <w:ind w:left="0" w:right="0" w:hanging="0"/>
              <w:rPr/>
            </w:pPr>
            <w:r>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27,980</w:t>
            </w:r>
          </w:p>
        </w:tc>
        <w:tc>
          <w:tcPr>
            <w:tcW w:w="326" w:type="dxa"/>
            <w:tcBorders/>
            <w:shd w:fill="auto" w:val="clear"/>
            <w:vAlign w:val="center"/>
          </w:tcPr>
          <w:p>
            <w:pPr>
              <w:pStyle w:val="TableContents"/>
              <w:spacing w:before="0" w:after="0"/>
              <w:ind w:left="0" w:right="0" w:hanging="0"/>
              <w:jc w:val="right"/>
              <w:rPr/>
            </w:pPr>
            <w:r>
              <w:rPr/>
              <w:t>​</w:t>
            </w:r>
          </w:p>
        </w:tc>
        <w:tc>
          <w:tcPr>
            <w:tcW w:w="26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471,252</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(277,260)</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194,020</w:t>
            </w:r>
          </w:p>
        </w:tc>
      </w:tr>
      <w:tr>
        <w:trPr/>
        <w:tc>
          <w:tcPr>
            <w:tcW w:w="407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pPr>
            <w:r>
              <w:rPr/>
              <w:t>​</w:t>
            </w:r>
          </w:p>
        </w:tc>
        <w:tc>
          <w:tcPr>
            <w:tcW w:w="430"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37" w:type="dxa"/>
            <w:tcBorders/>
            <w:shd w:fill="CCEEFF" w:val="clear"/>
            <w:vAlign w:val="center"/>
          </w:tcPr>
          <w:p>
            <w:pPr>
              <w:pStyle w:val="TableContents"/>
              <w:spacing w:before="0" w:after="0"/>
              <w:ind w:left="0" w:right="0" w:hanging="0"/>
              <w:rPr/>
            </w:pPr>
            <w:r>
              <w:rPr/>
              <w:t>​</w:t>
            </w:r>
          </w:p>
        </w:tc>
      </w:tr>
      <w:tr>
        <w:trPr/>
        <w:tc>
          <w:tcPr>
            <w:tcW w:w="407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43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37" w:type="dxa"/>
            <w:tcBorders/>
            <w:shd w:fill="auto" w:val="clear"/>
            <w:vAlign w:val="center"/>
          </w:tcPr>
          <w:p>
            <w:pPr>
              <w:pStyle w:val="TableContents"/>
              <w:spacing w:before="0" w:after="0"/>
              <w:ind w:left="0" w:right="0" w:hanging="0"/>
              <w:jc w:val="center"/>
              <w:rPr/>
            </w:pPr>
            <w:r>
              <w:rPr/>
              <w:t>​</w:t>
            </w:r>
          </w:p>
        </w:tc>
      </w:tr>
      <w:tr>
        <w:trPr/>
        <w:tc>
          <w:tcPr>
            <w:tcW w:w="407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9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shd w:fill="auto" w:val="clear"/>
            <w:vAlign w:val="center"/>
          </w:tcPr>
          <w:p>
            <w:pPr>
              <w:pStyle w:val="TableContents"/>
              <w:spacing w:before="0" w:after="0"/>
              <w:ind w:left="0" w:right="0" w:hanging="0"/>
              <w:rPr/>
            </w:pPr>
            <w:r>
              <w:rPr/>
              <w:t>​</w:t>
            </w:r>
          </w:p>
        </w:tc>
        <w:tc>
          <w:tcPr>
            <w:tcW w:w="1093"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37" w:type="dxa"/>
            <w:tcBorders/>
            <w:shd w:fill="auto" w:val="clear"/>
            <w:vAlign w:val="center"/>
          </w:tcPr>
          <w:p>
            <w:pPr>
              <w:pStyle w:val="TableContents"/>
              <w:spacing w:before="0" w:after="0"/>
              <w:ind w:left="0" w:right="0" w:hanging="0"/>
              <w:jc w:val="center"/>
              <w:rPr/>
            </w:pPr>
            <w:r>
              <w:rPr/>
              <w:t>​</w:t>
            </w:r>
          </w:p>
        </w:tc>
      </w:tr>
      <w:tr>
        <w:trPr/>
        <w:tc>
          <w:tcPr>
            <w:tcW w:w="407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0"/>
              <w:ind w:left="0" w:right="0" w:hanging="0"/>
              <w:rPr/>
            </w:pPr>
            <w:r>
              <w:rPr/>
              <w:t>    </w:t>
            </w:r>
          </w:p>
        </w:tc>
        <w:tc>
          <w:tcPr>
            <w:tcW w:w="109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shd w:fill="auto" w:val="clear"/>
            <w:vAlign w:val="center"/>
          </w:tcPr>
          <w:p>
            <w:pPr>
              <w:pStyle w:val="TableContents"/>
              <w:spacing w:before="0" w:after="0"/>
              <w:ind w:left="0" w:right="0" w:hanging="0"/>
              <w:rPr/>
            </w:pPr>
            <w:r>
              <w:rPr/>
              <w:t>    </w:t>
            </w:r>
          </w:p>
        </w:tc>
        <w:tc>
          <w:tcPr>
            <w:tcW w:w="104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as of December 31, 2022</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28,147</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488,292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(411,545)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76,775</w:t>
            </w:r>
          </w:p>
        </w:tc>
      </w:tr>
      <w:tr>
        <w:trPr/>
        <w:tc>
          <w:tcPr>
            <w:tcW w:w="40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Issuance of common shares, net of offering costs</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4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23,917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23,918</w:t>
            </w:r>
          </w:p>
        </w:tc>
      </w:tr>
      <w:tr>
        <w:trPr/>
        <w:tc>
          <w:tcPr>
            <w:tcW w:w="40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pPr>
            <w:r>
              <w:rPr/>
              <w:t>​</w:t>
            </w:r>
          </w:p>
        </w:tc>
        <w:tc>
          <w:tcPr>
            <w:tcW w:w="43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4,877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4,877</w:t>
            </w:r>
          </w:p>
        </w:tc>
      </w:tr>
      <w:tr>
        <w:trPr/>
        <w:tc>
          <w:tcPr>
            <w:tcW w:w="40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 of stock options</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43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40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Vesting of restricted stock units, net of employee tax obligations</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pPr>
            <w:r>
              <w:rPr/>
              <w:t>​</w:t>
            </w:r>
          </w:p>
        </w:tc>
        <w:tc>
          <w:tcPr>
            <w:tcW w:w="43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40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3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(52,796)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3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(52,796)</w:t>
            </w:r>
          </w:p>
        </w:tc>
      </w:tr>
      <w:tr>
        <w:trPr/>
        <w:tc>
          <w:tcPr>
            <w:tcW w:w="40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as of March 31, 2023</w:t>
            </w:r>
          </w:p>
        </w:tc>
        <w:tc>
          <w:tcPr>
            <w:tcW w:w="326" w:type="dxa"/>
            <w:tcBorders/>
            <w:shd w:fill="CCEEFF" w:val="clear"/>
            <w:vAlign w:val="center"/>
          </w:tcPr>
          <w:p>
            <w:pPr>
              <w:pStyle w:val="TableContents"/>
              <w:spacing w:before="0" w:after="0"/>
              <w:ind w:left="0" w:right="0" w:hanging="0"/>
              <w:rPr/>
            </w:pPr>
            <w:r>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29,100</w:t>
            </w:r>
          </w:p>
        </w:tc>
        <w:tc>
          <w:tcPr>
            <w:tcW w:w="326" w:type="dxa"/>
            <w:tcBorders/>
            <w:shd w:fill="CCEEFF" w:val="clear"/>
            <w:vAlign w:val="center"/>
          </w:tcPr>
          <w:p>
            <w:pPr>
              <w:pStyle w:val="TableContents"/>
              <w:spacing w:before="0" w:after="0"/>
              <w:ind w:left="0" w:right="0" w:hanging="0"/>
              <w:jc w:val="right"/>
              <w:rPr/>
            </w:pPr>
            <w:r>
              <w:rPr/>
              <w:t>​</w:t>
            </w:r>
          </w:p>
        </w:tc>
        <w:tc>
          <w:tcPr>
            <w:tcW w:w="26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517,317</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(464,341)</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53,005</w:t>
            </w:r>
          </w:p>
        </w:tc>
      </w:tr>
    </w:tbl>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bookmarkStart w:id="369" w:name="_408e8910_a1a4_4130_93e7_3b49edb83d86"/>
      <w:bookmarkEnd w:id="369"/>
      <w:r>
        <w:rPr>
          <w:rFonts w:ascii="Times New Roman;Times;serif" w:hAnsi="Times New Roman;Times;serif"/>
          <w:b/>
          <w:sz w:val="20"/>
        </w:rPr>
        <w:t>BIOXCEL THERAPEUTICS, INC.</w:t>
      </w:r>
    </w:p>
    <w:p>
      <w:pPr>
        <w:pStyle w:val="TextBody"/>
        <w:spacing w:before="0" w:after="200"/>
        <w:ind w:left="0" w:right="0" w:hanging="0"/>
        <w:jc w:val="center"/>
        <w:rPr>
          <w:rFonts w:ascii="Times New Roman;Times;serif" w:hAnsi="Times New Roman;Times;serif"/>
          <w:b/>
          <w:sz w:val="20"/>
        </w:rPr>
      </w:pPr>
      <w:bookmarkStart w:id="370" w:name="STATEMENTSOFCASHFLOWS_929012"/>
      <w:bookmarkEnd w:id="370"/>
      <w:r>
        <w:rPr>
          <w:rFonts w:ascii="Times New Roman;Times;serif" w:hAnsi="Times New Roman;Times;serif"/>
          <w:b/>
          <w:sz w:val="20"/>
        </w:rPr>
        <w:t>CONDENSED CONSOLIDATED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spacing w:before="0" w:after="0"/>
        <w:rPr>
          <w:sz w:val="4"/>
          <w:szCs w:val="4"/>
        </w:rPr>
      </w:pPr>
      <w:r>
        <w:rPr>
          <w:sz w:val="4"/>
          <w:szCs w:val="4"/>
        </w:rPr>
      </w:r>
      <w:bookmarkStart w:id="371" w:name="Tc_Noz6gOyo7UGvbC_bLCeVVw_37_6"/>
      <w:bookmarkStart w:id="372" w:name="Tc_UeQcHoHQUkCvGlN5imOmnw_37_5"/>
      <w:bookmarkStart w:id="373" w:name="Tc_mlcSq6Ak_E-8-dIG0tDi4w_37_2"/>
      <w:bookmarkStart w:id="374" w:name="Tc_MQaQdLn6R06YINoZV3tDjA_37_0"/>
      <w:bookmarkStart w:id="375" w:name="Tc_rzQrw_o9K0qTJY9DcbNi-g_36_0"/>
      <w:bookmarkStart w:id="376" w:name="Tc_Gc7o5yW600u6dmPoUlMLPg_34_5"/>
      <w:bookmarkStart w:id="377" w:name="Tc_pYjHcysIw0-r9Q8kOAU5HA_34_2"/>
      <w:bookmarkStart w:id="378" w:name="Tc_fhSC6bfFO0GTohZObnWN0w_34_0"/>
      <w:bookmarkStart w:id="379" w:name="Tc_twKfHccBFk-O5XaIpe0mSg_33_0"/>
      <w:bookmarkStart w:id="380" w:name="Tc_w3btWiyav0CoSCI0ft5f7w_32_5"/>
      <w:bookmarkStart w:id="381" w:name="Tc_cNIwfCnPaE2_C0B3XoIL2Q_32_2"/>
      <w:bookmarkStart w:id="382" w:name="Tc_CvqdmMee0kmXPMoC8PBZhQ_32_0"/>
      <w:bookmarkStart w:id="383" w:name="Tc_N5aA00eLVEmiYOfwznyrpg_30_6"/>
      <w:bookmarkStart w:id="384" w:name="Tc_bTgDzcsk_UqfigiObPvNSw_30_5"/>
      <w:bookmarkStart w:id="385" w:name="Tc_agFb_KcCBUaaEGBh_Iryvw_30_2"/>
      <w:bookmarkStart w:id="386" w:name="Tc_iYfxx9oSOE-3ZJiImfsA8g_30_0"/>
      <w:bookmarkStart w:id="387" w:name="Tc_G0PdUJNnlkGZG0E1BW33nA_29_6"/>
      <w:bookmarkStart w:id="388" w:name="Tc_pgewQqAftkq9rKRGnX_pwA_29_0"/>
      <w:bookmarkStart w:id="389" w:name="Tc_qips6zOOeU2hGAr0lHEuDg_28_6"/>
      <w:bookmarkStart w:id="390" w:name="Tc_sqw4KE_7cU6gmveVTTDstA_28_0"/>
      <w:bookmarkStart w:id="391" w:name="Tc_xDuIyXBpNUaXSSNiTT3oCA_27_6"/>
      <w:bookmarkStart w:id="392" w:name="Tc_jEKvQx5gLUeER3P1DLn89w_27_0"/>
      <w:bookmarkStart w:id="393" w:name="Tc_VOeXB_7aa02AOD011nRWVg_26_6"/>
      <w:bookmarkStart w:id="394" w:name="Tc_vt6w8oyHM0-1jVX-uumwUg_26_5"/>
      <w:bookmarkStart w:id="395" w:name="Tc_cPH2DuSdAEmRFcPriqKj4Q_26_2"/>
      <w:bookmarkStart w:id="396" w:name="Tc_tvSdZ5vHQUCTxISrumHDAw_26_0"/>
      <w:bookmarkStart w:id="397" w:name="Tc_f_4OuiF9gEKQGyezYRXhCA_25_0"/>
      <w:bookmarkStart w:id="398" w:name="Tc_ACHDzRcsnUe4-05bqNBlxA_23_5"/>
      <w:bookmarkStart w:id="399" w:name="Tc_57G7zDBJnkCSuy5SEeBoaQ_23_3"/>
      <w:bookmarkStart w:id="400" w:name="Tc_-yTuqTsnC0W6jTlxF-8UmA_23_2"/>
      <w:bookmarkStart w:id="401" w:name="Tc_qovCqXAL_kubzhlWRRG7Vg_23_0"/>
      <w:bookmarkStart w:id="402" w:name="Tc_4cc0_q_1ukuZN2CCr1Qfbw_22_5"/>
      <w:bookmarkStart w:id="403" w:name="Tc_HbuwroVyjUGPin_WBy-8DA_22_3"/>
      <w:bookmarkStart w:id="404" w:name="Tc_pcZmn-qGTkaJjTBMlamuFw_22_2"/>
      <w:bookmarkStart w:id="405" w:name="Tc_wKSNHZ7UvUaTzycdZwesJA_22_0"/>
      <w:bookmarkStart w:id="406" w:name="Tc__gUX2cD80E-EFhu6EMJNnQ_21_0"/>
      <w:bookmarkStart w:id="407" w:name="Tc_UHgV2jWpNkSNQC6nvE8tng_19_5"/>
      <w:bookmarkStart w:id="408" w:name="Tc_RbZE2gOTs0uZLlhzxVaMTA_19_2"/>
      <w:bookmarkStart w:id="409" w:name="Tc_N74vclS_o061ni1Bk6d40w_19_0"/>
      <w:bookmarkStart w:id="410" w:name="Tc_GI4cC4MPeUeGrF93t6tsMw_18_0"/>
      <w:bookmarkStart w:id="411" w:name="Tc_JxorXlZL5USzV6jzF7MBkg_17_6"/>
      <w:bookmarkStart w:id="412" w:name="Tc_20kTRTIrnUekicWjsw8HQw_17_0"/>
      <w:bookmarkStart w:id="413" w:name="Tc_KiFQugluEk2uCjHBRnRaFg_16_0"/>
      <w:bookmarkStart w:id="414" w:name="Tc_bXocrPYooUGpHW5ZAzpQtA_15_0"/>
      <w:bookmarkStart w:id="415" w:name="Tc_1nwqbdPAKU2gm_vaBYb5MA_14_0"/>
      <w:bookmarkStart w:id="416" w:name="Tc_XY9S0EaPske1i1uzlHEa5g_13_6"/>
      <w:bookmarkStart w:id="417" w:name="Tc_VoEUqBI2Okyg-9puLsIeHA_13_0"/>
      <w:bookmarkStart w:id="418" w:name="Tc_ywN9fhs5A0Om42LMuww4xA_12_0"/>
      <w:bookmarkStart w:id="419" w:name="Tc_DuSd8DtQGE-6Qy84d2yv0w_11_0"/>
      <w:bookmarkStart w:id="420" w:name="Tc_HQ4gu2YoCECWChEPtyawAg_10_6"/>
      <w:bookmarkStart w:id="421" w:name="Tc_2B7fPLzA6k2e7XS6FLD0_A_10_0"/>
      <w:bookmarkStart w:id="422" w:name="Tc_zQBneFyrbkG84FnvGRxb5Q_9_0"/>
      <w:bookmarkStart w:id="423" w:name="Tc_gpsBvFE1NUuUKA6JerAQRw_8_6"/>
      <w:bookmarkStart w:id="424" w:name="Tc_m1hL4Ngg2U6rm0FYpZVB2w_8_0"/>
      <w:bookmarkStart w:id="425" w:name="Tc_q7M_HHWdpEOa64PFLv4O5g_7_6"/>
      <w:bookmarkStart w:id="426" w:name="Tc_-5Enf7mCbEqNK-mla15-Qw_7_0"/>
      <w:bookmarkStart w:id="427" w:name="Tc_OEnxbfyGgki_b4Zcmy9snA_6_0"/>
      <w:bookmarkStart w:id="428" w:name="Tc_gk4bItNp1keAK5c45WqMLQ_5_0"/>
      <w:bookmarkStart w:id="429" w:name="Tc_9UoDJ9kU_U6UvZAez02WPQ_4_5"/>
      <w:bookmarkStart w:id="430" w:name="Tc_6xUsU9W_mUubrBtfzToSWA_4_2"/>
      <w:bookmarkStart w:id="431" w:name="Tc_7kVLK_CmrkmoxSSd6_wprw_4_0"/>
      <w:bookmarkStart w:id="432" w:name="Tc_IFt8t0Hhvk6Fkuhz0qMtBA_3_0"/>
      <w:bookmarkStart w:id="433" w:name="Tc_TqzDCIv47EWMuCCn6AdrmA_2_5"/>
      <w:bookmarkStart w:id="434" w:name="Tc_TOVsY5bV602MBGTa0F1GGA_2_2"/>
      <w:bookmarkStart w:id="435" w:name="Tc_skJiiTT-wEeDXrSf68Nj3g_1_2"/>
      <w:bookmarkStart w:id="436" w:name="_c42f751b_e921_4abf_948e_33e23a0a9bd2"/>
      <w:bookmarkStart w:id="437" w:name="Tc_Noz6gOyo7UGvbC_bLCeVVw_37_6"/>
      <w:bookmarkStart w:id="438" w:name="Tc_UeQcHoHQUkCvGlN5imOmnw_37_5"/>
      <w:bookmarkStart w:id="439" w:name="Tc_mlcSq6Ak_E-8-dIG0tDi4w_37_2"/>
      <w:bookmarkStart w:id="440" w:name="Tc_MQaQdLn6R06YINoZV3tDjA_37_0"/>
      <w:bookmarkStart w:id="441" w:name="Tc_rzQrw_o9K0qTJY9DcbNi-g_36_0"/>
      <w:bookmarkStart w:id="442" w:name="Tc_Gc7o5yW600u6dmPoUlMLPg_34_5"/>
      <w:bookmarkStart w:id="443" w:name="Tc_pYjHcysIw0-r9Q8kOAU5HA_34_2"/>
      <w:bookmarkStart w:id="444" w:name="Tc_fhSC6bfFO0GTohZObnWN0w_34_0"/>
      <w:bookmarkStart w:id="445" w:name="Tc_twKfHccBFk-O5XaIpe0mSg_33_0"/>
      <w:bookmarkStart w:id="446" w:name="Tc_w3btWiyav0CoSCI0ft5f7w_32_5"/>
      <w:bookmarkStart w:id="447" w:name="Tc_cNIwfCnPaE2_C0B3XoIL2Q_32_2"/>
      <w:bookmarkStart w:id="448" w:name="Tc_CvqdmMee0kmXPMoC8PBZhQ_32_0"/>
      <w:bookmarkStart w:id="449" w:name="Tc_N5aA00eLVEmiYOfwznyrpg_30_6"/>
      <w:bookmarkStart w:id="450" w:name="Tc_bTgDzcsk_UqfigiObPvNSw_30_5"/>
      <w:bookmarkStart w:id="451" w:name="Tc_agFb_KcCBUaaEGBh_Iryvw_30_2"/>
      <w:bookmarkStart w:id="452" w:name="Tc_iYfxx9oSOE-3ZJiImfsA8g_30_0"/>
      <w:bookmarkStart w:id="453" w:name="Tc_G0PdUJNnlkGZG0E1BW33nA_29_6"/>
      <w:bookmarkStart w:id="454" w:name="Tc_pgewQqAftkq9rKRGnX_pwA_29_0"/>
      <w:bookmarkStart w:id="455" w:name="Tc_qips6zOOeU2hGAr0lHEuDg_28_6"/>
      <w:bookmarkStart w:id="456" w:name="Tc_sqw4KE_7cU6gmveVTTDstA_28_0"/>
      <w:bookmarkStart w:id="457" w:name="Tc_xDuIyXBpNUaXSSNiTT3oCA_27_6"/>
      <w:bookmarkStart w:id="458" w:name="Tc_jEKvQx5gLUeER3P1DLn89w_27_0"/>
      <w:bookmarkStart w:id="459" w:name="Tc_VOeXB_7aa02AOD011nRWVg_26_6"/>
      <w:bookmarkStart w:id="460" w:name="Tc_vt6w8oyHM0-1jVX-uumwUg_26_5"/>
      <w:bookmarkStart w:id="461" w:name="Tc_cPH2DuSdAEmRFcPriqKj4Q_26_2"/>
      <w:bookmarkStart w:id="462" w:name="Tc_tvSdZ5vHQUCTxISrumHDAw_26_0"/>
      <w:bookmarkStart w:id="463" w:name="Tc_f_4OuiF9gEKQGyezYRXhCA_25_0"/>
      <w:bookmarkStart w:id="464" w:name="Tc_ACHDzRcsnUe4-05bqNBlxA_23_5"/>
      <w:bookmarkStart w:id="465" w:name="Tc_57G7zDBJnkCSuy5SEeBoaQ_23_3"/>
      <w:bookmarkStart w:id="466" w:name="Tc_-yTuqTsnC0W6jTlxF-8UmA_23_2"/>
      <w:bookmarkStart w:id="467" w:name="Tc_qovCqXAL_kubzhlWRRG7Vg_23_0"/>
      <w:bookmarkStart w:id="468" w:name="Tc_4cc0_q_1ukuZN2CCr1Qfbw_22_5"/>
      <w:bookmarkStart w:id="469" w:name="Tc_HbuwroVyjUGPin_WBy-8DA_22_3"/>
      <w:bookmarkStart w:id="470" w:name="Tc_pcZmn-qGTkaJjTBMlamuFw_22_2"/>
      <w:bookmarkStart w:id="471" w:name="Tc_wKSNHZ7UvUaTzycdZwesJA_22_0"/>
      <w:bookmarkStart w:id="472" w:name="Tc__gUX2cD80E-EFhu6EMJNnQ_21_0"/>
      <w:bookmarkStart w:id="473" w:name="Tc_UHgV2jWpNkSNQC6nvE8tng_19_5"/>
      <w:bookmarkStart w:id="474" w:name="Tc_RbZE2gOTs0uZLlhzxVaMTA_19_2"/>
      <w:bookmarkStart w:id="475" w:name="Tc_N74vclS_o061ni1Bk6d40w_19_0"/>
      <w:bookmarkStart w:id="476" w:name="Tc_GI4cC4MPeUeGrF93t6tsMw_18_0"/>
      <w:bookmarkStart w:id="477" w:name="Tc_JxorXlZL5USzV6jzF7MBkg_17_6"/>
      <w:bookmarkStart w:id="478" w:name="Tc_20kTRTIrnUekicWjsw8HQw_17_0"/>
      <w:bookmarkStart w:id="479" w:name="Tc_KiFQugluEk2uCjHBRnRaFg_16_0"/>
      <w:bookmarkStart w:id="480" w:name="Tc_bXocrPYooUGpHW5ZAzpQtA_15_0"/>
      <w:bookmarkStart w:id="481" w:name="Tc_1nwqbdPAKU2gm_vaBYb5MA_14_0"/>
      <w:bookmarkStart w:id="482" w:name="Tc_XY9S0EaPske1i1uzlHEa5g_13_6"/>
      <w:bookmarkStart w:id="483" w:name="Tc_VoEUqBI2Okyg-9puLsIeHA_13_0"/>
      <w:bookmarkStart w:id="484" w:name="Tc_ywN9fhs5A0Om42LMuww4xA_12_0"/>
      <w:bookmarkStart w:id="485" w:name="Tc_DuSd8DtQGE-6Qy84d2yv0w_11_0"/>
      <w:bookmarkStart w:id="486" w:name="Tc_HQ4gu2YoCECWChEPtyawAg_10_6"/>
      <w:bookmarkStart w:id="487" w:name="Tc_2B7fPLzA6k2e7XS6FLD0_A_10_0"/>
      <w:bookmarkStart w:id="488" w:name="Tc_zQBneFyrbkG84FnvGRxb5Q_9_0"/>
      <w:bookmarkStart w:id="489" w:name="Tc_gpsBvFE1NUuUKA6JerAQRw_8_6"/>
      <w:bookmarkStart w:id="490" w:name="Tc_m1hL4Ngg2U6rm0FYpZVB2w_8_0"/>
      <w:bookmarkStart w:id="491" w:name="Tc_q7M_HHWdpEOa64PFLv4O5g_7_6"/>
      <w:bookmarkStart w:id="492" w:name="Tc_-5Enf7mCbEqNK-mla15-Qw_7_0"/>
      <w:bookmarkStart w:id="493" w:name="Tc_OEnxbfyGgki_b4Zcmy9snA_6_0"/>
      <w:bookmarkStart w:id="494" w:name="Tc_gk4bItNp1keAK5c45WqMLQ_5_0"/>
      <w:bookmarkStart w:id="495" w:name="Tc_9UoDJ9kU_U6UvZAez02WPQ_4_5"/>
      <w:bookmarkStart w:id="496" w:name="Tc_6xUsU9W_mUubrBtfzToSWA_4_2"/>
      <w:bookmarkStart w:id="497" w:name="Tc_7kVLK_CmrkmoxSSd6_wprw_4_0"/>
      <w:bookmarkStart w:id="498" w:name="Tc_IFt8t0Hhvk6Fkuhz0qMtBA_3_0"/>
      <w:bookmarkStart w:id="499" w:name="Tc_TqzDCIv47EWMuCCn6AdrmA_2_5"/>
      <w:bookmarkStart w:id="500" w:name="Tc_TOVsY5bV602MBGTa0F1GGA_2_2"/>
      <w:bookmarkStart w:id="501" w:name="Tc_skJiiTT-wEeDXrSf68Nj3g_1_2"/>
      <w:bookmarkStart w:id="502" w:name="_c42f751b_e921_4abf_948e_33e23a0a9bd2"/>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tbl>
      <w:tblPr>
        <w:tblW w:w="9926" w:type="dxa"/>
        <w:jc w:val="left"/>
        <w:tblInd w:w="0" w:type="dxa"/>
        <w:tblCellMar>
          <w:top w:w="0" w:type="dxa"/>
          <w:left w:w="0" w:type="dxa"/>
          <w:bottom w:w="0" w:type="dxa"/>
          <w:right w:w="0" w:type="dxa"/>
        </w:tblCellMar>
      </w:tblPr>
      <w:tblGrid>
        <w:gridCol w:w="7156"/>
        <w:gridCol w:w="326"/>
        <w:gridCol w:w="216"/>
        <w:gridCol w:w="816"/>
        <w:gridCol w:w="334"/>
        <w:gridCol w:w="216"/>
        <w:gridCol w:w="862"/>
      </w:tblGrid>
      <w:tr>
        <w:trPr/>
        <w:tc>
          <w:tcPr>
            <w:tcW w:w="7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544060" cy="175260"/>
                      <wp:effectExtent l="0" t="0" r="0" b="0"/>
                      <wp:wrapNone/>
                      <wp:docPr id="34" name="Frame34"/>
                      <a:graphic xmlns:a="http://schemas.openxmlformats.org/drawingml/2006/main">
                        <a:graphicData uri="http://schemas.microsoft.com/office/word/2010/wordprocessingShape">
                          <wps:wsp>
                            <wps:cNvSpPr txBox="1"/>
                            <wps:spPr>
                              <a:xfrm>
                                <a:off x="0" y="0"/>
                                <a:ext cx="4544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7160" cy="175260"/>
                      <wp:effectExtent l="0" t="0" r="0" b="0"/>
                      <wp:wrapNone/>
                      <wp:docPr id="36" name="Frame36"/>
                      <a:graphic xmlns:a="http://schemas.openxmlformats.org/drawingml/2006/main">
                        <a:graphicData uri="http://schemas.microsoft.com/office/word/2010/wordprocessingShape">
                          <wps:wsp>
                            <wps:cNvSpPr txBox="1"/>
                            <wps:spPr>
                              <a:xfrm>
                                <a:off x="0" y="0"/>
                                <a:ext cx="137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18160" cy="175260"/>
                      <wp:effectExtent l="0" t="0" r="0" b="0"/>
                      <wp:wrapNone/>
                      <wp:docPr id="37" name="Frame37"/>
                      <a:graphic xmlns:a="http://schemas.openxmlformats.org/drawingml/2006/main">
                        <a:graphicData uri="http://schemas.microsoft.com/office/word/2010/wordprocessingShape">
                          <wps:wsp>
                            <wps:cNvSpPr txBox="1"/>
                            <wps:spPr>
                              <a:xfrm>
                                <a:off x="0" y="0"/>
                                <a:ext cx="518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2090" cy="175260"/>
                      <wp:effectExtent l="0" t="0" r="0" b="0"/>
                      <wp:wrapNone/>
                      <wp:docPr id="38" name="Frame38"/>
                      <a:graphic xmlns:a="http://schemas.openxmlformats.org/drawingml/2006/main">
                        <a:graphicData uri="http://schemas.microsoft.com/office/word/2010/wordprocessingShape">
                          <wps:wsp>
                            <wps:cNvSpPr txBox="1"/>
                            <wps:spPr>
                              <a:xfrm>
                                <a:off x="0" y="0"/>
                                <a:ext cx="2120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7160" cy="175260"/>
                      <wp:effectExtent l="0" t="0" r="0" b="0"/>
                      <wp:wrapNone/>
                      <wp:docPr id="39" name="Frame39"/>
                      <a:graphic xmlns:a="http://schemas.openxmlformats.org/drawingml/2006/main">
                        <a:graphicData uri="http://schemas.microsoft.com/office/word/2010/wordprocessingShape">
                          <wps:wsp>
                            <wps:cNvSpPr txBox="1"/>
                            <wps:spPr>
                              <a:xfrm>
                                <a:off x="0" y="0"/>
                                <a:ext cx="137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47370" cy="175260"/>
                      <wp:effectExtent l="0" t="0" r="0" b="0"/>
                      <wp:wrapNone/>
                      <wp:docPr id="40" name="Frame40"/>
                      <a:graphic xmlns:a="http://schemas.openxmlformats.org/drawingml/2006/main">
                        <a:graphicData uri="http://schemas.microsoft.com/office/word/2010/wordprocessingShape">
                          <wps:wsp>
                            <wps:cNvSpPr txBox="1"/>
                            <wps:spPr>
                              <a:xfrm>
                                <a:off x="0" y="0"/>
                                <a:ext cx="5473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4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7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3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4" w:type="dxa"/>
            <w:tcBorders/>
            <w:shd w:fill="auto" w:val="clear"/>
            <w:vAlign w:val="center"/>
          </w:tcPr>
          <w:p>
            <w:pPr>
              <w:pStyle w:val="TableContents"/>
              <w:spacing w:before="0" w:after="1"/>
              <w:ind w:left="0" w:right="0" w:hanging="0"/>
              <w:rPr/>
            </w:pPr>
            <w:r>
              <w:rPr/>
              <w:t>    </w:t>
            </w:r>
          </w:p>
        </w:tc>
        <w:tc>
          <w:tcPr>
            <w:tcW w:w="107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15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OPERATING CASH FLOW ACTIVITIES:</w:t>
            </w:r>
          </w:p>
        </w:tc>
        <w:tc>
          <w:tcPr>
            <w:tcW w:w="326" w:type="dxa"/>
            <w:tcBorders/>
            <w:shd w:fill="CCEEFF" w:val="clear"/>
            <w:vAlign w:val="center"/>
          </w:tcPr>
          <w:p>
            <w:pPr>
              <w:pStyle w:val="TableContents"/>
              <w:spacing w:before="0" w:after="1"/>
              <w:ind w:left="0" w:right="0" w:hanging="0"/>
              <w:rPr/>
            </w:pPr>
            <w:r>
              <w:rPr/>
              <w:t> </w:t>
            </w:r>
          </w:p>
        </w:tc>
        <w:tc>
          <w:tcPr>
            <w:tcW w:w="216" w:type="dxa"/>
            <w:tcBorders/>
            <w:shd w:fill="CCEEFF" w:val="clear"/>
            <w:vAlign w:val="center"/>
          </w:tcPr>
          <w:p>
            <w:pPr>
              <w:pStyle w:val="TableContents"/>
              <w:spacing w:before="0" w:after="1"/>
              <w:ind w:left="0" w:right="0" w:hanging="0"/>
              <w:rPr/>
            </w:pPr>
            <w:r>
              <w:rPr/>
              <w:t>​</w:t>
            </w:r>
          </w:p>
        </w:tc>
        <w:tc>
          <w:tcPr>
            <w:tcW w:w="816" w:type="dxa"/>
            <w:tcBorders/>
            <w:shd w:fill="CCEEFF" w:val="clear"/>
            <w:vAlign w:val="center"/>
          </w:tcPr>
          <w:p>
            <w:pPr>
              <w:pStyle w:val="TableContents"/>
              <w:spacing w:before="0" w:after="1"/>
              <w:ind w:left="0" w:right="0" w:hanging="0"/>
              <w:jc w:val="right"/>
              <w:rPr/>
            </w:pPr>
            <w:r>
              <w:rPr/>
              <w:t>  </w:t>
            </w:r>
          </w:p>
        </w:tc>
        <w:tc>
          <w:tcPr>
            <w:tcW w:w="334" w:type="dxa"/>
            <w:tcBorders/>
            <w:shd w:fill="CCEEFF" w:val="clear"/>
            <w:vAlign w:val="center"/>
          </w:tcPr>
          <w:p>
            <w:pPr>
              <w:pStyle w:val="TableContents"/>
              <w:spacing w:before="0" w:after="1"/>
              <w:ind w:left="0" w:right="0" w:hanging="0"/>
              <w:rPr/>
            </w:pPr>
            <w:r>
              <w:rPr/>
              <w:t> </w:t>
            </w:r>
          </w:p>
        </w:tc>
        <w:tc>
          <w:tcPr>
            <w:tcW w:w="216" w:type="dxa"/>
            <w:tcBorders/>
            <w:shd w:fill="CCEEFF" w:val="clear"/>
            <w:vAlign w:val="center"/>
          </w:tcPr>
          <w:p>
            <w:pPr>
              <w:pStyle w:val="TableContents"/>
              <w:spacing w:before="0" w:after="1"/>
              <w:ind w:left="0" w:right="0" w:hanging="0"/>
              <w:rPr/>
            </w:pPr>
            <w:r>
              <w:rPr/>
              <w:t>​</w:t>
            </w:r>
          </w:p>
        </w:tc>
        <w:tc>
          <w:tcPr>
            <w:tcW w:w="862" w:type="dxa"/>
            <w:tcBorders/>
            <w:shd w:fill="CCEEFF" w:val="clear"/>
            <w:vAlign w:val="center"/>
          </w:tcPr>
          <w:p>
            <w:pPr>
              <w:pStyle w:val="TableContents"/>
              <w:spacing w:before="0" w:after="1"/>
              <w:ind w:left="0" w:right="0" w:hanging="0"/>
              <w:jc w:val="right"/>
              <w:rPr/>
            </w:pPr>
            <w:r>
              <w:rPr/>
              <w:t>  </w:t>
            </w:r>
          </w:p>
        </w:tc>
      </w:tr>
      <w:tr>
        <w:trPr/>
        <w:tc>
          <w:tcPr>
            <w:tcW w:w="7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(52,796)</w:t>
            </w:r>
          </w:p>
        </w:tc>
        <w:tc>
          <w:tcPr>
            <w:tcW w:w="334"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(31,472)</w:t>
            </w:r>
          </w:p>
        </w:tc>
      </w:tr>
      <w:tr>
        <w:trPr/>
        <w:tc>
          <w:tcPr>
            <w:tcW w:w="7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Reconciliation of net loss to net cash used in operating activities</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 </w:t>
            </w:r>
          </w:p>
        </w:tc>
        <w:tc>
          <w:tcPr>
            <w:tcW w:w="816" w:type="dxa"/>
            <w:tcBorders/>
            <w:shd w:fill="CCEEFF" w:val="clear"/>
            <w:vAlign w:val="center"/>
          </w:tcPr>
          <w:p>
            <w:pPr>
              <w:pStyle w:val="TableContents"/>
              <w:spacing w:before="0" w:after="1"/>
              <w:ind w:left="0" w:right="0" w:hanging="0"/>
              <w:jc w:val="right"/>
              <w:rPr/>
            </w:pPr>
            <w:r>
              <w:rPr/>
              <w:t>​</w:t>
            </w:r>
          </w:p>
        </w:tc>
        <w:tc>
          <w:tcPr>
            <w:tcW w:w="334"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 </w:t>
            </w:r>
          </w:p>
        </w:tc>
        <w:tc>
          <w:tcPr>
            <w:tcW w:w="862" w:type="dxa"/>
            <w:tcBorders/>
            <w:shd w:fill="CCEEFF" w:val="clear"/>
            <w:vAlign w:val="center"/>
          </w:tcPr>
          <w:p>
            <w:pPr>
              <w:pStyle w:val="TableContents"/>
              <w:spacing w:before="0" w:after="1"/>
              <w:ind w:left="0" w:right="0" w:hanging="0"/>
              <w:jc w:val="right"/>
              <w:rPr/>
            </w:pPr>
            <w:r>
              <w:rPr/>
              <w:t>​</w:t>
            </w:r>
          </w:p>
        </w:tc>
      </w:tr>
      <w:tr>
        <w:trPr/>
        <w:tc>
          <w:tcPr>
            <w:tcW w:w="7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Depreciation</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 </w:t>
            </w:r>
          </w:p>
        </w:tc>
        <w:tc>
          <w:tcPr>
            <w:tcW w:w="8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34"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 </w:t>
            </w:r>
          </w:p>
        </w:tc>
        <w:tc>
          <w:tcPr>
            <w:tcW w:w="86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7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Accretion of debt discount and amortization of financing costs</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8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34"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862" w:type="dxa"/>
            <w:tcBorders/>
            <w:shd w:fill="CCEEFF" w:val="clear"/>
            <w:vAlign w:val="center"/>
          </w:tcPr>
          <w:p>
            <w:pPr>
              <w:pStyle w:val="TableContents"/>
              <w:spacing w:before="0" w:after="1"/>
              <w:ind w:left="0" w:right="0" w:hanging="0"/>
              <w:jc w:val="right"/>
              <w:rPr/>
            </w:pPr>
            <w:r>
              <w:rPr/>
              <w:t>—</w:t>
            </w:r>
          </w:p>
        </w:tc>
      </w:tr>
      <w:tr>
        <w:trPr/>
        <w:tc>
          <w:tcPr>
            <w:tcW w:w="7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fair value of derivative liabilities</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8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34"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862" w:type="dxa"/>
            <w:tcBorders/>
            <w:shd w:fill="auto" w:val="clear"/>
            <w:vAlign w:val="center"/>
          </w:tcPr>
          <w:p>
            <w:pPr>
              <w:pStyle w:val="TableContents"/>
              <w:spacing w:before="0" w:after="1"/>
              <w:ind w:left="0" w:right="0" w:hanging="0"/>
              <w:jc w:val="right"/>
              <w:rPr/>
            </w:pPr>
            <w:r>
              <w:rPr/>
              <w:t>—</w:t>
            </w:r>
          </w:p>
        </w:tc>
      </w:tr>
      <w:tr>
        <w:trPr/>
        <w:tc>
          <w:tcPr>
            <w:tcW w:w="7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 </w:t>
            </w:r>
          </w:p>
        </w:tc>
        <w:tc>
          <w:tcPr>
            <w:tcW w:w="8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4,877</w:t>
            </w:r>
          </w:p>
        </w:tc>
        <w:tc>
          <w:tcPr>
            <w:tcW w:w="334"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 </w:t>
            </w:r>
          </w:p>
        </w:tc>
        <w:tc>
          <w:tcPr>
            <w:tcW w:w="86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3,825</w:t>
            </w:r>
          </w:p>
        </w:tc>
      </w:tr>
      <w:tr>
        <w:trPr/>
        <w:tc>
          <w:tcPr>
            <w:tcW w:w="7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Payable-in-kind interest on Credit Agreement</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8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398</w:t>
            </w:r>
          </w:p>
        </w:tc>
        <w:tc>
          <w:tcPr>
            <w:tcW w:w="334"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862" w:type="dxa"/>
            <w:tcBorders/>
            <w:shd w:fill="auto" w:val="clear"/>
            <w:vAlign w:val="center"/>
          </w:tcPr>
          <w:p>
            <w:pPr>
              <w:pStyle w:val="TableContents"/>
              <w:spacing w:before="0" w:after="1"/>
              <w:ind w:left="0" w:right="0" w:hanging="0"/>
              <w:jc w:val="right"/>
              <w:rPr/>
            </w:pPr>
            <w:r>
              <w:rPr/>
              <w:t>—</w:t>
            </w:r>
          </w:p>
        </w:tc>
      </w:tr>
      <w:tr>
        <w:trPr/>
        <w:tc>
          <w:tcPr>
            <w:tcW w:w="7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8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34"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86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7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 </w:t>
            </w:r>
          </w:p>
        </w:tc>
        <w:tc>
          <w:tcPr>
            <w:tcW w:w="816" w:type="dxa"/>
            <w:tcBorders/>
            <w:shd w:fill="auto" w:val="clear"/>
            <w:vAlign w:val="center"/>
          </w:tcPr>
          <w:p>
            <w:pPr>
              <w:pStyle w:val="TableContents"/>
              <w:spacing w:before="0" w:after="1"/>
              <w:ind w:left="0" w:right="0" w:hanging="0"/>
              <w:jc w:val="right"/>
              <w:rPr/>
            </w:pPr>
            <w:r>
              <w:rPr/>
              <w:t>​</w:t>
            </w:r>
          </w:p>
        </w:tc>
        <w:tc>
          <w:tcPr>
            <w:tcW w:w="334"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 </w:t>
            </w:r>
          </w:p>
        </w:tc>
        <w:tc>
          <w:tcPr>
            <w:tcW w:w="862" w:type="dxa"/>
            <w:tcBorders/>
            <w:shd w:fill="auto" w:val="clear"/>
            <w:vAlign w:val="center"/>
          </w:tcPr>
          <w:p>
            <w:pPr>
              <w:pStyle w:val="TableContents"/>
              <w:spacing w:before="0" w:after="1"/>
              <w:ind w:left="0" w:right="0" w:hanging="0"/>
              <w:jc w:val="right"/>
              <w:rPr/>
            </w:pPr>
            <w:r>
              <w:rPr/>
              <w:t>​</w:t>
            </w:r>
          </w:p>
        </w:tc>
      </w:tr>
      <w:tr>
        <w:trPr/>
        <w:tc>
          <w:tcPr>
            <w:tcW w:w="7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8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34"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 </w:t>
            </w:r>
          </w:p>
        </w:tc>
        <w:tc>
          <w:tcPr>
            <w:tcW w:w="862" w:type="dxa"/>
            <w:tcBorders/>
            <w:shd w:fill="CCEEFF" w:val="clear"/>
            <w:vAlign w:val="center"/>
          </w:tcPr>
          <w:p>
            <w:pPr>
              <w:pStyle w:val="TableContents"/>
              <w:spacing w:before="0" w:after="1"/>
              <w:ind w:left="0" w:right="0" w:hanging="0"/>
              <w:jc w:val="right"/>
              <w:rPr/>
            </w:pPr>
            <w:r>
              <w:rPr/>
              <w:t>—</w:t>
            </w:r>
          </w:p>
        </w:tc>
      </w:tr>
      <w:tr>
        <w:trPr/>
        <w:tc>
          <w:tcPr>
            <w:tcW w:w="7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Inventory</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 </w:t>
            </w:r>
          </w:p>
        </w:tc>
        <w:tc>
          <w:tcPr>
            <w:tcW w:w="8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34"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 </w:t>
            </w:r>
          </w:p>
        </w:tc>
        <w:tc>
          <w:tcPr>
            <w:tcW w:w="86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(682)</w:t>
            </w:r>
          </w:p>
        </w:tc>
      </w:tr>
      <w:tr>
        <w:trPr/>
        <w:tc>
          <w:tcPr>
            <w:tcW w:w="7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Prepaid expenses, other current assets and other assets </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 </w:t>
            </w:r>
          </w:p>
        </w:tc>
        <w:tc>
          <w:tcPr>
            <w:tcW w:w="8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(2,006)</w:t>
            </w:r>
          </w:p>
        </w:tc>
        <w:tc>
          <w:tcPr>
            <w:tcW w:w="334"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 </w:t>
            </w:r>
          </w:p>
        </w:tc>
        <w:tc>
          <w:tcPr>
            <w:tcW w:w="86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(3,480)</w:t>
            </w:r>
          </w:p>
        </w:tc>
      </w:tr>
      <w:tr>
        <w:trPr/>
        <w:tc>
          <w:tcPr>
            <w:tcW w:w="7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payable, accrued expenses, due to related parties, and other current liabilities</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 </w:t>
            </w:r>
          </w:p>
        </w:tc>
        <w:tc>
          <w:tcPr>
            <w:tcW w:w="8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(4,654)</w:t>
            </w:r>
          </w:p>
        </w:tc>
        <w:tc>
          <w:tcPr>
            <w:tcW w:w="334"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 </w:t>
            </w:r>
          </w:p>
        </w:tc>
        <w:tc>
          <w:tcPr>
            <w:tcW w:w="86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(676)</w:t>
            </w:r>
          </w:p>
        </w:tc>
      </w:tr>
      <w:tr>
        <w:trPr/>
        <w:tc>
          <w:tcPr>
            <w:tcW w:w="7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interest</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8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1,193</w:t>
            </w:r>
          </w:p>
        </w:tc>
        <w:tc>
          <w:tcPr>
            <w:tcW w:w="334"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862" w:type="dxa"/>
            <w:tcBorders/>
            <w:shd w:fill="CCEEFF" w:val="clear"/>
            <w:vAlign w:val="center"/>
          </w:tcPr>
          <w:p>
            <w:pPr>
              <w:pStyle w:val="TableContents"/>
              <w:spacing w:before="0" w:after="1"/>
              <w:ind w:left="0" w:right="0" w:hanging="0"/>
              <w:jc w:val="right"/>
              <w:rPr/>
            </w:pPr>
            <w:r>
              <w:rPr/>
              <w:t>—</w:t>
            </w:r>
          </w:p>
        </w:tc>
      </w:tr>
      <w:tr>
        <w:trPr/>
        <w:tc>
          <w:tcPr>
            <w:tcW w:w="7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auto" w:val="clear"/>
            <w:vAlign w:val="center"/>
          </w:tcPr>
          <w:p>
            <w:pPr>
              <w:pStyle w:val="TableContents"/>
              <w:spacing w:before="0" w:after="1"/>
              <w:ind w:left="0" w:right="0" w:hanging="0"/>
              <w:rPr/>
            </w:pPr>
            <w:r>
              <w:rPr/>
              <w:t>​</w:t>
            </w:r>
          </w:p>
        </w:tc>
        <w:tc>
          <w:tcPr>
            <w:tcW w:w="21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34" w:type="dxa"/>
            <w:tcBorders/>
            <w:shd w:fill="auto" w:val="clear"/>
            <w:vAlign w:val="center"/>
          </w:tcPr>
          <w:p>
            <w:pPr>
              <w:pStyle w:val="TableContents"/>
              <w:spacing w:before="0" w:after="1"/>
              <w:ind w:left="0" w:right="0" w:hanging="0"/>
              <w:rPr/>
            </w:pPr>
            <w:r>
              <w:rPr/>
              <w:t>​</w:t>
            </w:r>
          </w:p>
        </w:tc>
        <w:tc>
          <w:tcPr>
            <w:tcW w:w="21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6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7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spacing w:before="0" w:after="1"/>
              <w:ind w:left="0" w:right="0" w:hanging="0"/>
              <w:rPr/>
            </w:pPr>
            <w:r>
              <w:rPr/>
              <w:t>​</w:t>
            </w:r>
          </w:p>
        </w:tc>
        <w:tc>
          <w:tcPr>
            <w:tcW w:w="216"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(52,353)</w:t>
            </w:r>
          </w:p>
        </w:tc>
        <w:tc>
          <w:tcPr>
            <w:tcW w:w="334" w:type="dxa"/>
            <w:tcBorders/>
            <w:shd w:fill="CCEEFF" w:val="clear"/>
            <w:vAlign w:val="center"/>
          </w:tcPr>
          <w:p>
            <w:pPr>
              <w:pStyle w:val="TableContents"/>
              <w:spacing w:before="0" w:after="1"/>
              <w:ind w:left="0" w:right="0" w:hanging="0"/>
              <w:rPr/>
            </w:pPr>
            <w:r>
              <w:rPr/>
              <w:t>​</w:t>
            </w:r>
          </w:p>
        </w:tc>
        <w:tc>
          <w:tcPr>
            <w:tcW w:w="216"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(32,413)</w:t>
            </w:r>
          </w:p>
        </w:tc>
      </w:tr>
      <w:tr>
        <w:trPr/>
        <w:tc>
          <w:tcPr>
            <w:tcW w:w="7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816" w:type="dxa"/>
            <w:tcBorders/>
            <w:shd w:fill="auto" w:val="clear"/>
            <w:vAlign w:val="center"/>
          </w:tcPr>
          <w:p>
            <w:pPr>
              <w:pStyle w:val="TableContents"/>
              <w:spacing w:before="0" w:after="1"/>
              <w:ind w:left="0" w:right="0" w:hanging="0"/>
              <w:jc w:val="right"/>
              <w:rPr/>
            </w:pPr>
            <w:r>
              <w:rPr/>
              <w:t>​</w:t>
            </w:r>
          </w:p>
        </w:tc>
        <w:tc>
          <w:tcPr>
            <w:tcW w:w="334"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862" w:type="dxa"/>
            <w:tcBorders/>
            <w:shd w:fill="auto" w:val="clear"/>
            <w:vAlign w:val="center"/>
          </w:tcPr>
          <w:p>
            <w:pPr>
              <w:pStyle w:val="TableContents"/>
              <w:spacing w:before="0" w:after="1"/>
              <w:ind w:left="0" w:right="0" w:hanging="0"/>
              <w:jc w:val="right"/>
              <w:rPr/>
            </w:pPr>
            <w:r>
              <w:rPr/>
              <w:t>​</w:t>
            </w:r>
          </w:p>
        </w:tc>
      </w:tr>
      <w:tr>
        <w:trPr/>
        <w:tc>
          <w:tcPr>
            <w:tcW w:w="715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INVESTING CASH FLOW ACTIVITIES:</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 </w:t>
            </w:r>
          </w:p>
        </w:tc>
        <w:tc>
          <w:tcPr>
            <w:tcW w:w="816" w:type="dxa"/>
            <w:tcBorders/>
            <w:shd w:fill="CCEEFF" w:val="clear"/>
            <w:vAlign w:val="center"/>
          </w:tcPr>
          <w:p>
            <w:pPr>
              <w:pStyle w:val="TableContents"/>
              <w:spacing w:before="0" w:after="1"/>
              <w:ind w:left="0" w:right="0" w:hanging="0"/>
              <w:jc w:val="right"/>
              <w:rPr/>
            </w:pPr>
            <w:r>
              <w:rPr/>
              <w:t>  </w:t>
            </w:r>
          </w:p>
        </w:tc>
        <w:tc>
          <w:tcPr>
            <w:tcW w:w="334"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 </w:t>
            </w:r>
          </w:p>
        </w:tc>
        <w:tc>
          <w:tcPr>
            <w:tcW w:w="862" w:type="dxa"/>
            <w:tcBorders/>
            <w:shd w:fill="CCEEFF" w:val="clear"/>
            <w:vAlign w:val="center"/>
          </w:tcPr>
          <w:p>
            <w:pPr>
              <w:pStyle w:val="TableContents"/>
              <w:spacing w:before="0" w:after="1"/>
              <w:ind w:left="0" w:right="0" w:hanging="0"/>
              <w:jc w:val="right"/>
              <w:rPr/>
            </w:pPr>
            <w:r>
              <w:rPr/>
              <w:t>  </w:t>
            </w:r>
          </w:p>
        </w:tc>
      </w:tr>
      <w:tr>
        <w:trPr/>
        <w:tc>
          <w:tcPr>
            <w:tcW w:w="7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Purchases of property and equipment</w:t>
            </w:r>
          </w:p>
        </w:tc>
        <w:tc>
          <w:tcPr>
            <w:tcW w:w="326" w:type="dxa"/>
            <w:tcBorders/>
            <w:shd w:fill="auto" w:val="clear"/>
            <w:vAlign w:val="center"/>
          </w:tcPr>
          <w:p>
            <w:pPr>
              <w:pStyle w:val="TableContents"/>
              <w:spacing w:before="0" w:after="1"/>
              <w:ind w:left="0" w:right="0" w:hanging="0"/>
              <w:rPr/>
            </w:pPr>
            <w:r>
              <w:rPr/>
              <w:t>​</w:t>
            </w:r>
          </w:p>
        </w:tc>
        <w:tc>
          <w:tcPr>
            <w:tcW w:w="21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34" w:type="dxa"/>
            <w:tcBorders/>
            <w:shd w:fill="auto" w:val="clear"/>
            <w:vAlign w:val="center"/>
          </w:tcPr>
          <w:p>
            <w:pPr>
              <w:pStyle w:val="TableContents"/>
              <w:spacing w:before="0" w:after="1"/>
              <w:ind w:left="0" w:right="0" w:hanging="0"/>
              <w:rPr/>
            </w:pPr>
            <w:r>
              <w:rPr/>
              <w:t>​</w:t>
            </w:r>
          </w:p>
        </w:tc>
        <w:tc>
          <w:tcPr>
            <w:tcW w:w="21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7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spacing w:before="0" w:after="1"/>
              <w:ind w:left="0" w:right="0" w:hanging="0"/>
              <w:rPr/>
            </w:pPr>
            <w:r>
              <w:rPr/>
              <w:t>​</w:t>
            </w:r>
          </w:p>
        </w:tc>
        <w:tc>
          <w:tcPr>
            <w:tcW w:w="216"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34" w:type="dxa"/>
            <w:tcBorders/>
            <w:shd w:fill="CCEEFF" w:val="clear"/>
            <w:vAlign w:val="center"/>
          </w:tcPr>
          <w:p>
            <w:pPr>
              <w:pStyle w:val="TableContents"/>
              <w:spacing w:before="0" w:after="1"/>
              <w:ind w:left="0" w:right="0" w:hanging="0"/>
              <w:rPr/>
            </w:pPr>
            <w:r>
              <w:rPr/>
              <w:t>​</w:t>
            </w:r>
          </w:p>
        </w:tc>
        <w:tc>
          <w:tcPr>
            <w:tcW w:w="216"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71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816" w:type="dxa"/>
            <w:tcBorders/>
            <w:shd w:fill="auto" w:val="clear"/>
            <w:vAlign w:val="center"/>
          </w:tcPr>
          <w:p>
            <w:pPr>
              <w:pStyle w:val="TableContents"/>
              <w:spacing w:before="0" w:after="1"/>
              <w:ind w:left="0" w:right="0" w:hanging="0"/>
              <w:jc w:val="right"/>
              <w:rPr/>
            </w:pPr>
            <w:r>
              <w:rPr/>
              <w:t>​</w:t>
            </w:r>
          </w:p>
        </w:tc>
        <w:tc>
          <w:tcPr>
            <w:tcW w:w="334"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862" w:type="dxa"/>
            <w:tcBorders/>
            <w:shd w:fill="auto" w:val="clear"/>
            <w:vAlign w:val="center"/>
          </w:tcPr>
          <w:p>
            <w:pPr>
              <w:pStyle w:val="TableContents"/>
              <w:spacing w:before="0" w:after="1"/>
              <w:ind w:left="0" w:right="0" w:hanging="0"/>
              <w:jc w:val="right"/>
              <w:rPr/>
            </w:pPr>
            <w:r>
              <w:rPr/>
              <w:t>​</w:t>
            </w:r>
          </w:p>
        </w:tc>
      </w:tr>
      <w:tr>
        <w:trPr/>
        <w:tc>
          <w:tcPr>
            <w:tcW w:w="715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FINANCING CASH FLOW ACTIVITIES:</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 </w:t>
            </w:r>
          </w:p>
        </w:tc>
        <w:tc>
          <w:tcPr>
            <w:tcW w:w="816" w:type="dxa"/>
            <w:tcBorders/>
            <w:shd w:fill="CCEEFF" w:val="clear"/>
            <w:vAlign w:val="center"/>
          </w:tcPr>
          <w:p>
            <w:pPr>
              <w:pStyle w:val="TableContents"/>
              <w:spacing w:before="0" w:after="1"/>
              <w:ind w:left="0" w:right="0" w:hanging="0"/>
              <w:jc w:val="right"/>
              <w:rPr/>
            </w:pPr>
            <w:r>
              <w:rPr/>
              <w:t>  </w:t>
            </w:r>
          </w:p>
        </w:tc>
        <w:tc>
          <w:tcPr>
            <w:tcW w:w="334"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 </w:t>
            </w:r>
          </w:p>
        </w:tc>
        <w:tc>
          <w:tcPr>
            <w:tcW w:w="862" w:type="dxa"/>
            <w:tcBorders/>
            <w:shd w:fill="CCEEFF" w:val="clear"/>
            <w:vAlign w:val="center"/>
          </w:tcPr>
          <w:p>
            <w:pPr>
              <w:pStyle w:val="TableContents"/>
              <w:spacing w:before="0" w:after="1"/>
              <w:ind w:left="0" w:right="0" w:hanging="0"/>
              <w:jc w:val="right"/>
              <w:rPr/>
            </w:pPr>
            <w:r>
              <w:rPr/>
              <w:t>  </w:t>
            </w:r>
          </w:p>
        </w:tc>
      </w:tr>
      <w:tr>
        <w:trPr/>
        <w:tc>
          <w:tcPr>
            <w:tcW w:w="7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Proceeds from issuance of common stock</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24,657</w:t>
            </w:r>
          </w:p>
        </w:tc>
        <w:tc>
          <w:tcPr>
            <w:tcW w:w="334"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shd w:fill="auto" w:val="clear"/>
            <w:vAlign w:val="center"/>
          </w:tcPr>
          <w:p>
            <w:pPr>
              <w:pStyle w:val="TableContents"/>
              <w:spacing w:before="0" w:after="1"/>
              <w:ind w:left="0" w:right="0" w:hanging="0"/>
              <w:jc w:val="right"/>
              <w:rPr/>
            </w:pPr>
            <w:r>
              <w:rPr/>
              <w:t>—</w:t>
            </w:r>
          </w:p>
        </w:tc>
      </w:tr>
      <w:tr>
        <w:trPr/>
        <w:tc>
          <w:tcPr>
            <w:tcW w:w="7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Offering costs for stock issuance</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8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(739)</w:t>
            </w:r>
          </w:p>
        </w:tc>
        <w:tc>
          <w:tcPr>
            <w:tcW w:w="334"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862" w:type="dxa"/>
            <w:tcBorders/>
            <w:shd w:fill="CCEEFF" w:val="clear"/>
            <w:vAlign w:val="center"/>
          </w:tcPr>
          <w:p>
            <w:pPr>
              <w:pStyle w:val="TableContents"/>
              <w:spacing w:before="0" w:after="1"/>
              <w:ind w:left="0" w:right="0" w:hanging="0"/>
              <w:jc w:val="right"/>
              <w:rPr/>
            </w:pPr>
            <w:r>
              <w:rPr/>
              <w:t>—</w:t>
            </w:r>
          </w:p>
        </w:tc>
      </w:tr>
      <w:tr>
        <w:trPr/>
        <w:tc>
          <w:tcPr>
            <w:tcW w:w="7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Payment of employee tax obligations related to vesting restricted stock units</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8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34"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w:t>
            </w:r>
          </w:p>
        </w:tc>
        <w:tc>
          <w:tcPr>
            <w:tcW w:w="862" w:type="dxa"/>
            <w:tcBorders/>
            <w:shd w:fill="auto" w:val="clear"/>
            <w:vAlign w:val="center"/>
          </w:tcPr>
          <w:p>
            <w:pPr>
              <w:pStyle w:val="TableContents"/>
              <w:spacing w:before="0" w:after="1"/>
              <w:ind w:left="0" w:right="0" w:hanging="0"/>
              <w:jc w:val="right"/>
              <w:rPr/>
            </w:pPr>
            <w:r>
              <w:rPr/>
              <w:t>—</w:t>
            </w:r>
          </w:p>
        </w:tc>
      </w:tr>
      <w:tr>
        <w:trPr/>
        <w:tc>
          <w:tcPr>
            <w:tcW w:w="7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 of stock options</w:t>
            </w:r>
          </w:p>
        </w:tc>
        <w:tc>
          <w:tcPr>
            <w:tcW w:w="326" w:type="dxa"/>
            <w:tcBorders/>
            <w:shd w:fill="CCEEFF" w:val="clear"/>
            <w:vAlign w:val="center"/>
          </w:tcPr>
          <w:p>
            <w:pPr>
              <w:pStyle w:val="TableContents"/>
              <w:spacing w:before="0" w:after="1"/>
              <w:ind w:left="0" w:right="0" w:hanging="0"/>
              <w:rPr/>
            </w:pPr>
            <w:r>
              <w:rPr/>
              <w:t>​</w:t>
            </w:r>
          </w:p>
        </w:tc>
        <w:tc>
          <w:tcPr>
            <w:tcW w:w="21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34" w:type="dxa"/>
            <w:tcBorders/>
            <w:shd w:fill="CCEEFF" w:val="clear"/>
            <w:vAlign w:val="center"/>
          </w:tcPr>
          <w:p>
            <w:pPr>
              <w:pStyle w:val="TableContents"/>
              <w:spacing w:before="0" w:after="1"/>
              <w:ind w:left="0" w:right="0" w:hanging="0"/>
              <w:rPr/>
            </w:pPr>
            <w:r>
              <w:rPr/>
              <w:t>​</w:t>
            </w:r>
          </w:p>
        </w:tc>
        <w:tc>
          <w:tcPr>
            <w:tcW w:w="21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6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7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auto" w:val="clear"/>
            <w:vAlign w:val="center"/>
          </w:tcPr>
          <w:p>
            <w:pPr>
              <w:pStyle w:val="TableContents"/>
              <w:spacing w:before="0" w:after="1"/>
              <w:ind w:left="0" w:right="0" w:hanging="0"/>
              <w:rPr/>
            </w:pPr>
            <w:r>
              <w:rPr/>
              <w:t>​</w:t>
            </w:r>
          </w:p>
        </w:tc>
        <w:tc>
          <w:tcPr>
            <w:tcW w:w="21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24,149</w:t>
            </w:r>
          </w:p>
        </w:tc>
        <w:tc>
          <w:tcPr>
            <w:tcW w:w="334" w:type="dxa"/>
            <w:tcBorders/>
            <w:shd w:fill="auto" w:val="clear"/>
            <w:vAlign w:val="center"/>
          </w:tcPr>
          <w:p>
            <w:pPr>
              <w:pStyle w:val="TableContents"/>
              <w:spacing w:before="0" w:after="1"/>
              <w:ind w:left="0" w:right="0" w:hanging="0"/>
              <w:rPr/>
            </w:pPr>
            <w:r>
              <w:rPr/>
              <w:t>​</w:t>
            </w:r>
          </w:p>
        </w:tc>
        <w:tc>
          <w:tcPr>
            <w:tcW w:w="21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715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816" w:type="dxa"/>
            <w:tcBorders/>
            <w:shd w:fill="CCEEFF" w:val="clear"/>
            <w:vAlign w:val="center"/>
          </w:tcPr>
          <w:p>
            <w:pPr>
              <w:pStyle w:val="TableContents"/>
              <w:spacing w:before="0" w:after="1"/>
              <w:ind w:left="0" w:right="0" w:hanging="0"/>
              <w:jc w:val="right"/>
              <w:rPr/>
            </w:pPr>
            <w:r>
              <w:rPr/>
              <w:t>​</w:t>
            </w:r>
          </w:p>
        </w:tc>
        <w:tc>
          <w:tcPr>
            <w:tcW w:w="334"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862" w:type="dxa"/>
            <w:tcBorders/>
            <w:shd w:fill="CCEEFF" w:val="clear"/>
            <w:vAlign w:val="center"/>
          </w:tcPr>
          <w:p>
            <w:pPr>
              <w:pStyle w:val="TableContents"/>
              <w:spacing w:before="0" w:after="1"/>
              <w:ind w:left="0" w:right="0" w:hanging="0"/>
              <w:jc w:val="right"/>
              <w:rPr/>
            </w:pPr>
            <w:r>
              <w:rPr/>
              <w:t>​</w:t>
            </w:r>
          </w:p>
        </w:tc>
      </w:tr>
      <w:tr>
        <w:trPr/>
        <w:tc>
          <w:tcPr>
            <w:tcW w:w="7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decrease in cash and cash equivalents</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(28,204)</w:t>
            </w:r>
          </w:p>
        </w:tc>
        <w:tc>
          <w:tcPr>
            <w:tcW w:w="334"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(32,533)</w:t>
            </w:r>
          </w:p>
        </w:tc>
      </w:tr>
      <w:tr>
        <w:trPr/>
        <w:tc>
          <w:tcPr>
            <w:tcW w:w="7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and cash equivalents, beginning of the period</w:t>
            </w:r>
          </w:p>
        </w:tc>
        <w:tc>
          <w:tcPr>
            <w:tcW w:w="326" w:type="dxa"/>
            <w:tcBorders/>
            <w:shd w:fill="CCEEFF" w:val="clear"/>
            <w:vAlign w:val="center"/>
          </w:tcPr>
          <w:p>
            <w:pPr>
              <w:pStyle w:val="TableContents"/>
              <w:spacing w:before="0" w:after="1"/>
              <w:ind w:left="0" w:right="0" w:hanging="0"/>
              <w:rPr/>
            </w:pPr>
            <w:r>
              <w:rPr/>
              <w:t>​</w:t>
            </w:r>
          </w:p>
        </w:tc>
        <w:tc>
          <w:tcPr>
            <w:tcW w:w="21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193,725</w:t>
            </w:r>
          </w:p>
        </w:tc>
        <w:tc>
          <w:tcPr>
            <w:tcW w:w="334" w:type="dxa"/>
            <w:tcBorders/>
            <w:shd w:fill="CCEEFF" w:val="clear"/>
            <w:vAlign w:val="center"/>
          </w:tcPr>
          <w:p>
            <w:pPr>
              <w:pStyle w:val="TableContents"/>
              <w:spacing w:before="0" w:after="1"/>
              <w:ind w:left="0" w:right="0" w:hanging="0"/>
              <w:rPr/>
            </w:pPr>
            <w:r>
              <w:rPr/>
              <w:t>​</w:t>
            </w:r>
          </w:p>
        </w:tc>
        <w:tc>
          <w:tcPr>
            <w:tcW w:w="21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6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232,968</w:t>
            </w:r>
          </w:p>
        </w:tc>
      </w:tr>
      <w:tr>
        <w:trPr/>
        <w:tc>
          <w:tcPr>
            <w:tcW w:w="71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and cash equivalents, end of the period</w:t>
            </w:r>
          </w:p>
        </w:tc>
        <w:tc>
          <w:tcPr>
            <w:tcW w:w="326" w:type="dxa"/>
            <w:tcBorders/>
            <w:shd w:fill="auto" w:val="clear"/>
            <w:vAlign w:val="center"/>
          </w:tcPr>
          <w:p>
            <w:pPr>
              <w:pStyle w:val="TableContents"/>
              <w:spacing w:before="0" w:after="1"/>
              <w:ind w:left="0" w:right="0" w:hanging="0"/>
              <w:rPr/>
            </w:pPr>
            <w:r>
              <w:rPr/>
              <w:t>​</w:t>
            </w:r>
          </w:p>
        </w:tc>
        <w:tc>
          <w:tcPr>
            <w:tcW w:w="21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165,521</w:t>
            </w:r>
          </w:p>
        </w:tc>
        <w:tc>
          <w:tcPr>
            <w:tcW w:w="334" w:type="dxa"/>
            <w:tcBorders/>
            <w:shd w:fill="auto" w:val="clear"/>
            <w:vAlign w:val="center"/>
          </w:tcPr>
          <w:p>
            <w:pPr>
              <w:pStyle w:val="TableContents"/>
              <w:spacing w:before="0" w:after="1"/>
              <w:ind w:left="0" w:right="0" w:hanging="0"/>
              <w:rPr/>
            </w:pPr>
            <w:r>
              <w:rPr/>
              <w:t>​</w:t>
            </w:r>
          </w:p>
        </w:tc>
        <w:tc>
          <w:tcPr>
            <w:tcW w:w="21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200,435</w:t>
            </w:r>
          </w:p>
        </w:tc>
      </w:tr>
      <w:tr>
        <w:trPr/>
        <w:tc>
          <w:tcPr>
            <w:tcW w:w="715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816" w:type="dxa"/>
            <w:tcBorders/>
            <w:shd w:fill="CCEEFF" w:val="clear"/>
            <w:vAlign w:val="center"/>
          </w:tcPr>
          <w:p>
            <w:pPr>
              <w:pStyle w:val="TableContents"/>
              <w:spacing w:before="0" w:after="1"/>
              <w:ind w:left="0" w:right="0" w:hanging="0"/>
              <w:jc w:val="right"/>
              <w:rPr/>
            </w:pPr>
            <w:r>
              <w:rPr/>
              <w:t>​</w:t>
            </w:r>
          </w:p>
        </w:tc>
        <w:tc>
          <w:tcPr>
            <w:tcW w:w="334"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w:t>
            </w:r>
          </w:p>
        </w:tc>
        <w:tc>
          <w:tcPr>
            <w:tcW w:w="862" w:type="dxa"/>
            <w:tcBorders/>
            <w:shd w:fill="CCEEFF" w:val="clear"/>
            <w:vAlign w:val="center"/>
          </w:tcPr>
          <w:p>
            <w:pPr>
              <w:pStyle w:val="TableContents"/>
              <w:spacing w:before="0" w:after="1"/>
              <w:ind w:left="0" w:right="0" w:hanging="0"/>
              <w:jc w:val="right"/>
              <w:rPr/>
            </w:pPr>
            <w:r>
              <w:rPr/>
              <w:t>​</w:t>
            </w:r>
          </w:p>
        </w:tc>
      </w:tr>
      <w:tr>
        <w:trPr/>
        <w:tc>
          <w:tcPr>
            <w:tcW w:w="715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Supplemental cash flow information:</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 </w:t>
            </w:r>
          </w:p>
        </w:tc>
        <w:tc>
          <w:tcPr>
            <w:tcW w:w="816" w:type="dxa"/>
            <w:tcBorders/>
            <w:shd w:fill="auto" w:val="clear"/>
            <w:vAlign w:val="center"/>
          </w:tcPr>
          <w:p>
            <w:pPr>
              <w:pStyle w:val="TableContents"/>
              <w:spacing w:before="0" w:after="1"/>
              <w:ind w:left="0" w:right="0" w:hanging="0"/>
              <w:jc w:val="right"/>
              <w:rPr/>
            </w:pPr>
            <w:r>
              <w:rPr/>
              <w:t>  </w:t>
            </w:r>
          </w:p>
        </w:tc>
        <w:tc>
          <w:tcPr>
            <w:tcW w:w="334"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 </w:t>
            </w:r>
          </w:p>
        </w:tc>
        <w:tc>
          <w:tcPr>
            <w:tcW w:w="862" w:type="dxa"/>
            <w:tcBorders/>
            <w:shd w:fill="auto" w:val="clear"/>
            <w:vAlign w:val="center"/>
          </w:tcPr>
          <w:p>
            <w:pPr>
              <w:pStyle w:val="TableContents"/>
              <w:spacing w:before="0" w:after="1"/>
              <w:ind w:left="0" w:right="0" w:hanging="0"/>
              <w:jc w:val="right"/>
              <w:rPr/>
            </w:pPr>
            <w:r>
              <w:rPr/>
              <w:t>  </w:t>
            </w:r>
          </w:p>
        </w:tc>
      </w:tr>
      <w:tr>
        <w:trPr/>
        <w:tc>
          <w:tcPr>
            <w:tcW w:w="71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initial public offering costs in accrued expenses</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596</w:t>
            </w:r>
          </w:p>
        </w:tc>
        <w:tc>
          <w:tcPr>
            <w:tcW w:w="334"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spacing w:before="0" w:after="1"/>
              <w:ind w:left="0" w:right="60" w:hanging="0"/>
              <w:jc w:val="right"/>
              <w:rPr/>
            </w:pPr>
            <w:r>
              <w:rPr/>
              <w:t>—</w:t>
            </w:r>
          </w:p>
        </w:tc>
      </w:tr>
    </w:tbl>
    <w:p>
      <w:pPr>
        <w:pStyle w:val="TextBody"/>
        <w:spacing w:before="0" w:after="240"/>
        <w:ind w:left="0" w:right="0" w:hanging="0"/>
        <w:jc w:val="center"/>
        <w:rPr/>
      </w:pPr>
      <w:r>
        <w:rPr/>
        <w:t>​</w:t>
      </w:r>
    </w:p>
    <w:p>
      <w:pPr>
        <w:pStyle w:val="TextBody"/>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503" w:name="_6ba3c598_515c_4b93_857d_687f6b4e4353"/>
      <w:bookmarkEnd w:id="503"/>
      <w:r>
        <w:rPr>
          <w:rFonts w:ascii="Times New Roman;Times;serif" w:hAnsi="Times New Roman;Times;serif"/>
          <w:b/>
          <w:sz w:val="20"/>
        </w:rPr>
        <w:t>BIOXCEL THERAPEUTICS, INC.</w:t>
      </w:r>
    </w:p>
    <w:p>
      <w:pPr>
        <w:pStyle w:val="TextBody"/>
        <w:spacing w:before="0" w:after="240"/>
        <w:ind w:left="0" w:right="0" w:hanging="0"/>
        <w:jc w:val="center"/>
        <w:rPr>
          <w:rFonts w:ascii="Times New Roman;Times;serif" w:hAnsi="Times New Roman;Times;serif"/>
          <w:b/>
          <w:sz w:val="20"/>
        </w:rPr>
      </w:pPr>
      <w:bookmarkStart w:id="504" w:name="NOTESTOFINANCIALSTATEMENTS_349172"/>
      <w:bookmarkEnd w:id="504"/>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per share amounts and where otherwise noted)</w:t>
      </w:r>
    </w:p>
    <w:p>
      <w:pPr>
        <w:pStyle w:val="TextBody"/>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Note 1. Nature of the Business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BioXcel Therapeutics, Inc. (“BTI” or the “Company”) is a biopharmaceutical company utilizing artificial intelligence (“AI”) approaches to develop transformative medicines in neuroscience and immuno-oncology. The Company is focused on utilizing cutting-edge technology and innovative research to develop high-value therapeutics aimed at transforming patients’ lives. BTI employs a unique AI platform designed to reduce therapeutic development costs and potentially accelerate timelines. The Company’s approach leverages existing approved drugs and/or clinically evaluated product candidates together with big data and proprietary machine learning algorithms to identify new therapeutic indices. BTI management believes this differentiated approach has the potential to reduce the expense and time associated with drug development in diseases with substantial unmet medical needs.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As used in these condensed consolidated financial statements, unless otherwise specified or the context otherwise requires, the term “BioXcel LLC” refers to the Company’s former parent and current significant stockholder and its predecessor, BioXcel Corporation. “OnkosXcel” refers to BTI’s wholly owned subsidiary for its advanced immuno-oncology assets, OnkosXcel Therapeutics, LLC.</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On April 6, 2022, BTI announced that the U.S. FDA approved IGALMI (dexmedetomidine or “Dex”) sublingual film for the acute treatment of agitation associated with schizophrenia or bipolar I or II disorder in adults. IGALMI is approved to be self-administrated by patients under the supervision of a healthcare provider. On July 6, 2022, BTI announced that IGALMI, was commercially available in doses of 120 and 180 micrograms through the Company’s third-party logistics provider and was available for order through wholesalers.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Company’s most advanced clinical development program is BXCL501, an investigational proprietary, orally dissolving film formulation of Dex for the treatment of agitation associated with psychiatric and neurological disorders.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BTI is conducting clinical trials for the at-home use of BXCL501 for agitation associated with bipolar disorders and schizophrenia. The Company also continues to conduct clinical trials evaluating BXCL501 for the acute treatment of agitation in patients with Alzheimer’s disease in residential care facilities and nursing homes and for adjunctive treatment of patients with Major Depressive Disorder.</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Company’s advanced immuno-oncology asset, BXCL701, is an investigational, orally administered systemic innate immune activator for the treatment of a rare form of prostate cancer and advanced solid tumors that are refractory or treatment naïve to checkpoint inhibitors.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BTI was incorporated under the laws of the State of Delaware on March 29, 2017. The Company’s principal office is in New Haven, Connecticut.</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Impact of COVID-19 Pandemic</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COVID-19 pandemic and responsive measures have significantly impacted, both directly and indirectly, businesses and commerce.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 continues to work closely with clinical sites to monitor the potential impact of the evolving COVID-19 pandemic and the spread of its variants. To date, BTI has not experienced any significant delays in any of its ongoing or planned clinical trials, except for occasional COVID-19 related disruptions, such as to its TRANQUILITY II trial. However, this could change rapidly.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Note 2. Basis of Presentation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The accompanying unaudited interim condensed consolidated financial statements do not include all the information and notes required by Generally Accepted Accounting Principles (“GAAP”) in the U.S. The accompanying year-end balance sheet was derived from audited financial statements but does not include all disclosures required by U.S. GAAP. The unaudited interim condensed consolidated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March 31, 2023 and the results of its operations and cash flows for the three months ended March 31, 2023 and 2022. The results for the three months ended March 31, 2023 are not necessarily indicative of results to be expected for the year ending December 31, 2023, any other interim periods or any future year or period. The accompanying unaudited interim condensed consolidated financial statements of the Company should be read in conjunction with the audited financial statements and notes thereto included in the Company’s Annual Report on Form 10-K for the year ended December 31, 2022 filed with the Securities and Exchange Commission on March 16, 2023.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accompanying condensed consolidated financial statements include the accounts for the Company and all entities where BTI has a controlling financial interest after elimination of all intercompany accounts and transactions and have been prepared in conformity with U.S. GAAP.</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As of March 31, 2023, the Company had cash and cash equivalents of $165,521 and an accumulated deficit of $464,341. BTI has incurred substantial net losses and negative cash flows from operating activities in nearly every fiscal period since inception and expects this trend to continue for the foreseeable future. The Company recognized net losses of $52,796 and $31,472 for the three months ended March 31, 2023 and 2022, respectively, and had net cash used in operating activities of $52,353 and $32,413 for the three months ended March 31, 2023 and 2022, respectively. The Company believes that its existing cash and cash equivalents will be sufficient to cover its cash flow requirements for at least the next 12 months from the issuance date of these condensed consolidated financial statements. However, the Company’s future requirements may change and will depend on numerous factors.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 xml:space="preserve">Note 3. Summary of Significant Accounting Policies </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Use of Estimates</w:t>
      </w:r>
    </w:p>
    <w:p>
      <w:pPr>
        <w:pStyle w:val="TextBody"/>
        <w:spacing w:before="0" w:after="20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U.S. GAAP requires management to make estimates and assumptions that affect amounts reported in the condensed consolidated financial statements and notes thereto. Although these estimates are based on the Company’s knowledge of current events and actions it may undertake in the future, actual results may ultimately materially differ from these estimates.</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Cash and Cash Equivalents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 considers all highly liquid investments with an original maturity of three months or less at the date of purchase to be cash equivalents. As of March 31, 2023 and December 31, 2022, cash equivalents were comprised primarily of money market funds. Cash and cash equivalents held at financial institutions may at times exceed federally insured amounts. BTI management believes it mitigates such risk by investing in or through major financial institutions.</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Accounts Receivable, Net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Accounts receivable arise from sales of IGALMI and represent amounts due from distributors. Payment terms generally range from 30 to 75 days from the date of the sale transaction, and accordingly, do not involve a significant financing component. Receivables from product sales are recorded net of allowances which generally include distribution fees, prompt payment discounts, chargebacks, and credit losses. Allowances for distribution fees, prompt payment discounts and chargebacks are based on contractual terms. The Company estimated the current expected credit losses of its accounts receivable by assessing the risk of loss and available relevant information about collectability, existing contractual payment terms, actual payment patterns of its customers, individual customer circumstances, and reasonable and supportable forecast of economic conditions expected to exist throughout the contractual life of the receivable. Based on its assessment, as of March 31, 2023, the Company determined that an allowance for credit losses was not required.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360" w:right="0" w:hanging="0"/>
        <w:rPr>
          <w:rFonts w:ascii="Times New Roman;Times;serif" w:hAnsi="Times New Roman;Times;serif"/>
          <w:b/>
          <w:sz w:val="20"/>
        </w:rPr>
      </w:pPr>
      <w:bookmarkStart w:id="505" w:name="Tc_Dgt8g5qO3EaI3e8C4c8KbA_3_1"/>
      <w:bookmarkStart w:id="506" w:name="Tc_APzLXLPBwESre0VOYZkN8g_3_0"/>
      <w:bookmarkStart w:id="507" w:name="Tc_Zlugg8yxdUy26ExUu_yJ8Q_2_0"/>
      <w:bookmarkStart w:id="508" w:name="Tc_yA9HRmtAoEylTUhwcAbJOA_1_1"/>
      <w:bookmarkStart w:id="509" w:name="Tc_iKnfkrQZYECxLdJcp93t8Q_1_0"/>
      <w:bookmarkEnd w:id="505"/>
      <w:bookmarkEnd w:id="506"/>
      <w:bookmarkEnd w:id="507"/>
      <w:bookmarkEnd w:id="508"/>
      <w:bookmarkEnd w:id="509"/>
      <w:r>
        <w:rPr>
          <w:rFonts w:ascii="Times New Roman;Times;serif" w:hAnsi="Times New Roman;Times;serif"/>
          <w:b/>
          <w:sz w:val="20"/>
        </w:rPr>
        <w:t>Concentrations of Credit Risk</w:t>
      </w:r>
    </w:p>
    <w:p>
      <w:pPr>
        <w:pStyle w:val="TextBody"/>
        <w:spacing w:before="0" w:after="200"/>
        <w:ind w:left="0" w:right="0" w:firstLine="360"/>
        <w:rPr>
          <w:rFonts w:ascii="Times New Roman;Times;serif" w:hAnsi="Times New Roman;Times;serif"/>
          <w:b w:val="false"/>
          <w:sz w:val="20"/>
        </w:rPr>
      </w:pPr>
      <w:r>
        <w:rPr>
          <w:rFonts w:ascii="Times New Roman;Times;serif" w:hAnsi="Times New Roman;Times;serif"/>
          <w:b w:val="false"/>
          <w:sz w:val="20"/>
        </w:rPr>
        <w:t>The Company sells IGALMI through a drop-ship program under which orders from hospitals and similar health care institutions are processed through wholesalers, but shipments of the product are sent directly to the individual hospitals and similar health care institutions. BTI also contracts directly with intermediaries such as group purchasing organizations (“GPOs”). All trade accounts receivables are due from the distributor that fulfills orders on behalf of the Company.</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Inventory</w:t>
      </w:r>
    </w:p>
    <w:p>
      <w:pPr>
        <w:pStyle w:val="TextBody"/>
        <w:spacing w:before="0" w:after="200"/>
        <w:ind w:left="0" w:right="0" w:firstLine="360"/>
        <w:rPr>
          <w:rFonts w:ascii="Times New Roman;Times;serif" w:hAnsi="Times New Roman;Times;serif"/>
          <w:b w:val="false"/>
          <w:sz w:val="20"/>
        </w:rPr>
      </w:pPr>
      <w:r>
        <w:rPr>
          <w:rFonts w:ascii="Times New Roman;Times;serif" w:hAnsi="Times New Roman;Times;serif"/>
          <w:b w:val="false"/>
          <w:sz w:val="20"/>
        </w:rPr>
        <w:t>Inventory is stated at the lower of cost or net realizable value. Cost of inventory is determined on a first-in, first-out basis.</w:t>
      </w:r>
    </w:p>
    <w:p>
      <w:pPr>
        <w:pStyle w:val="TextBody"/>
        <w:spacing w:before="0" w:after="200"/>
        <w:ind w:left="0" w:right="0" w:firstLine="360"/>
        <w:rPr>
          <w:rFonts w:ascii="Times New Roman;Times;serif" w:hAnsi="Times New Roman;Times;serif"/>
          <w:b w:val="false"/>
          <w:sz w:val="20"/>
        </w:rPr>
      </w:pPr>
      <w:r>
        <w:rPr>
          <w:rFonts w:ascii="Times New Roman;Times;serif" w:hAnsi="Times New Roman;Times;serif"/>
          <w:b w:val="false"/>
          <w:sz w:val="20"/>
        </w:rPr>
        <w:t>BTI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expense in the Condensed Consolidated Statements of Operations.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 performs an assessment of the recoverability of capitalized inventory during each reporting period and writes down any excess and obsolete inventories to their estimated realizable value in the period in which the impairment is first identified. Such impairment charges, should they occur, will be recorded within Cost of goods sold in the Condensed Consolidated Statements of Operations. The determination of whether inventory costs will be realizable requires estimates by management. If actual market conditions are less favorable than projected, write-downs of inventory may be required.</w:t>
      </w:r>
    </w:p>
    <w:p>
      <w:pPr>
        <w:pStyle w:val="TextBody"/>
        <w:spacing w:before="0" w:after="200"/>
        <w:ind w:left="0" w:right="0" w:firstLine="360"/>
        <w:rPr>
          <w:rFonts w:ascii="Times New Roman;Times;serif" w:hAnsi="Times New Roman;Times;serif"/>
          <w:b/>
          <w:sz w:val="20"/>
        </w:rPr>
      </w:pPr>
      <w:r>
        <w:rPr>
          <w:rFonts w:ascii="Times New Roman;Times;serif" w:hAnsi="Times New Roman;Times;serif"/>
          <w:b/>
          <w:sz w:val="20"/>
        </w:rPr>
        <w:t>Deferred Initial Public Offering Costs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Deferred initial public offering costs consist of legal, accounting, underwriting fees and other costs incurred through the balance sheet date that are directly related to the Company’s proposed initial public offering of OnkosXcel and are included in Other current assets in the Condensed Consolidated Balance Sheets. The deferred initial public offering costs will reduce the proceeds of the proposed initial public offering of OnkosXcel. Should the proposed initial public offering prove to be unsuccessful, these deferred costs, as well as any additional expenses incurred, will be recorded as an expense in the Condensed Consolidated Statements of Operations.</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Property and Equipment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Property and equipment are recorded at cost and depreciated over the shorter of their remaining lease term or their estimated useful life on a straight-line basis as follows: </w:t>
      </w:r>
    </w:p>
    <w:p>
      <w:pPr>
        <w:pStyle w:val="TextBody"/>
        <w:spacing w:before="0" w:after="0"/>
        <w:ind w:left="0" w:right="0" w:hanging="0"/>
        <w:rPr/>
      </w:pPr>
      <w:r>
        <w:rPr/>
        <w:t>​</w:t>
      </w:r>
    </w:p>
    <w:tbl>
      <w:tblPr>
        <w:tblW w:w="5747" w:type="dxa"/>
        <w:jc w:val="left"/>
        <w:tblInd w:w="0" w:type="dxa"/>
        <w:tblCellMar>
          <w:top w:w="0" w:type="dxa"/>
          <w:left w:w="0" w:type="dxa"/>
          <w:bottom w:w="0" w:type="dxa"/>
          <w:right w:w="0" w:type="dxa"/>
        </w:tblCellMar>
      </w:tblPr>
      <w:tblGrid>
        <w:gridCol w:w="2161"/>
        <w:gridCol w:w="3586"/>
      </w:tblGrid>
      <w:tr>
        <w:trPr/>
        <w:tc>
          <w:tcPr>
            <w:tcW w:w="21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72235" cy="175260"/>
                      <wp:effectExtent l="0" t="0" r="0" b="0"/>
                      <wp:wrapNone/>
                      <wp:docPr id="41" name="Frame41"/>
                      <a:graphic xmlns:a="http://schemas.openxmlformats.org/drawingml/2006/main">
                        <a:graphicData uri="http://schemas.microsoft.com/office/word/2010/wordprocessingShape">
                          <wps:wsp>
                            <wps:cNvSpPr txBox="1"/>
                            <wps:spPr>
                              <a:xfrm>
                                <a:off x="0" y="0"/>
                                <a:ext cx="1372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277110" cy="175260"/>
                      <wp:effectExtent l="0" t="0" r="0" b="0"/>
                      <wp:wrapNone/>
                      <wp:docPr id="42" name="Frame42"/>
                      <a:graphic xmlns:a="http://schemas.openxmlformats.org/drawingml/2006/main">
                        <a:graphicData uri="http://schemas.microsoft.com/office/word/2010/wordprocessingShape">
                          <wps:wsp>
                            <wps:cNvSpPr txBox="1"/>
                            <wps:spPr>
                              <a:xfrm>
                                <a:off x="0" y="0"/>
                                <a:ext cx="2277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Equipment</w:t>
            </w:r>
          </w:p>
        </w:tc>
        <w:tc>
          <w:tcPr>
            <w:tcW w:w="3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 years</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Furniture</w:t>
            </w:r>
          </w:p>
        </w:tc>
        <w:tc>
          <w:tcPr>
            <w:tcW w:w="3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 years</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Lesser of life of improvement or lease term</w:t>
            </w:r>
          </w:p>
        </w:tc>
      </w:tr>
    </w:tbl>
    <w:p>
      <w:pPr>
        <w:pStyle w:val="TextBody"/>
        <w:spacing w:before="0" w:after="240"/>
        <w:ind w:left="0" w:right="0" w:firstLine="360"/>
        <w:rPr/>
      </w:pPr>
      <w:r>
        <w:rPr/>
        <w: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Expenditures for maintenance and repairs which do not improve or extend the useful lives of the respective assets are expensed as incurred. When assets are sold or retired, the related cost and accumulated depreciation are removed from their respective accounts and any resulting gain or loss is included within Selling, general and administrative expenses in the Condensed Consolidated Statements of Operations.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from its use and disposition. Impairment charges are recognized at the amount by which the carrying amount of an asset exceeds the fair value of the asset. Assets to be disposed of are reported at the lower of the carrying amount or the fair value less costs to sell.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Leases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 determines if an arrangement is a lease at inception. Operating leases are included in Operating lease right-of-use (“ROU”) assets, Other current liabilities, and the Long-term portion of operating lease liabilities in the Condensed Consolidated Balance Sheets.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ROU assets represent BTI’s right to use an underlying asset for the lease term and lease liabilities represent the Company’s obligation to make lease payments arising from the lease. Operating lease ROU assets and lease liabilities are recognized at commencement date based on the present value of lease payments over the lease term. The Company uses the implicit rate when readily determinable. As BTI’s leases do not provide an implicit rate, it used an incremental borrowing rate based on the information available at commencement date in determining the present value of lease payments. The operating lease ROU asset also includes any prepaid lease payments made and excludes lease incentives. The Company’s leases may include options to extend the lease; such options are included in determining the lease term when it is reasonably certain that BTI will exercise that option. Lease expense is recognized on a straight-line basis over the lease term.</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Debt and Detachable Warrants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Detachable warrants are evaluated for classification as either equity instruments, derivative liabilities, or liabilities depending on the specific terms of the warrant agreement. The portion of the proceeds allocated to the warrants are accounted for as paid-in capital and a debt discount. The remaining proceeds, as further reduced by discounts created by the bifurcation of any embedded derivatives, are allocated to the debt. Detachable warrants classified as derivative liabilities are accounted for as indicated under “</w:t>
      </w:r>
      <w:r>
        <w:rPr>
          <w:rFonts w:ascii="Times New Roman;Times;serif" w:hAnsi="Times New Roman;Times;serif"/>
          <w:i/>
          <w:sz w:val="20"/>
        </w:rPr>
        <w:t>Derivative Assets and Liabilities</w:t>
      </w:r>
      <w:r>
        <w:rPr>
          <w:rFonts w:ascii="Times New Roman;Times;serif" w:hAnsi="Times New Roman;Times;serif"/>
          <w:sz w:val="20"/>
        </w:rPr>
        <w:t>” section of this Note and as a debt discount. The Company accounts for debt as liabilities measured at amortized cost and amortizes the resulting debt discount from the allocation of proceeds to interest expense using the effective interest method over the expected term of the debt instrument. The Company considers whether there are any embedded features in debt instruments that require bifurcation and separately accounts for them as derivative financial instruments.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 entered into financing arrangements, the terms of which involve significant assumptions and estimates, including future net product sales, in determining interest expense, amortization period of the debt discount, as well as the classification between current and long-term portions. In estimating future net product sales, the Company assesses prevailing market conditions using various external market data against the Company’s anticipated sales and planned commercial activities. Consequently, the Company imputes interest on the carrying value of the debt and records interest expense using an imputed effective interest rate. The Company reassesses the expected payments during each reporting period and accounts for any changes through an adjustment to the effective interest rate on a prospective basis, with a corresponding impact to the classification of the Company’s current and long-term portions of the debt.</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Derivative Assets and Liabilities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Derivative assets and liabilities are recorded on the Company`s Condensed Consolidated Balance Sheets at their fair value on the date of issuance and are revalued on each balance sheet date until such instruments are settled or expire, with changes in the fair value between reporting periods recorded as other income or expense within Other expense, net in the Condensed Consolidated Statements of Operations.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 does not use derivative instruments for speculative purposes or to hedge exposures to cash flow or market risks. Certain financing facilities entered into by the Company include freestanding financial instruments and/or embedded features that require separate accounting as derivative assets and/or liabilities.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determining fair value, the Company utilizes valuation techniques that maximize the use of observable inputs and minimize the use of unobservable inputs to the extent possible.</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Revenue Recognition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Company’s revenues consist of product sales of IGALMI.</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BTI recognizes revenue when its customers obtain control of promised goods or services, in an amount that reflects the consideration that the Company expects to receive in exchange for those goods or services. To determine revenue recognition, BTI management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Company satisfies a performance obligation. Arrangements that include rights to additional goods or services that are exercisable at a customer’s discretion are generally considered options. The Company assesses if these options provide a material right to the customer and if so, they are considered performance obligations. The exercise of a material right may be accounted for as a contract modification or as a continuation of the contract for accounting purposes.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 assesses whether the goods or services promised within each contract are distinct to identify those that are performance obligations. This assessment involves subjective determinations and requires management to make judgments about the individual promised goods or services and whether such goods and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Company’s promise to transfer the good or service to the customer is separately identifiable from other promises in the contract.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 allocates the transaction price (the amount of consideration it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BTI distributes IGALMI in the U.S. through arrangements with a distributor, wholesalers, and GPOs. The distributor and wholesalers help process and fulfill orders from hospitals on the Company’s behalf. The Company believes the hospitals are its customers.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 recognizes product revenues, net of consideration payable to customers, as well as variable consideration related to certain allowances and accruals that are determined using either the expected value or most likely amount method, depending on the type of the variable consideration, in its condensed consolidated financial statements at the point in time when control transfers to the customer, which is typically when the product has been delivered to the customer’s location. The amount included in the transaction price is constrained to the amount for which it is probable that a significant reversal of cumulative revenue recognized will not occur. The Company’s only performance obligation identified for IGALMI is to deliver the quantity of product ordered to the location specified by the customer’s order. The Company records shipping and handling costs associated with delivery of product to its customers within Selling, general and administrative expenses on its Condensed Consolidated Statements of Operations. Under the Company’s current product sales arrangements, BTI does not have contract assets (unbilled receivables), as it generally invoices its customer at the time of revenue recognition.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BTI sells IGALMI at wholesale acquisition cost and calculates product revenue net of variable consideration and consideration payable to third parties associated with distribution of product. The Company records reserves, based on contractual terms, for the following components of consideration related to product sold during the reporting period. Calculating these amounts involves estimates and judgments, and the Company reviews these estimates quarterly and records any material adjustments in the period they are identified, which affects net product revenue and earnings in the period such variances occur.</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Trade Discounts and Allowances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 provides the distributor and wholesalers with discounts for prompt payment and pays fees to the distributor, wholesalers and GPOs related to distribution of the product. BTI expects the relevant third parties to earn these discounts and fees, and therefore it deducts such amounts from gross product revenue and accounts receivable at the time it recognizes the related revenue.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Government Rebates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IGALMI is eligible for purchase by, or qualifies for reimbursement from, Medicaid and other U.S. government programs that are eligible for rebates on the price they pay for the product. To determine the appropriate amount to reserve for these rebates, BTI applies the applicable government discount to these sales, and estimates the portion of total rebates that it anticipates will be claimed. The Company deducts certain government rebates from gross product revenue and accounts receivable at the time it recognizes the related revenue; other government rebates are recognized as an accrued liability at the time BTI recognizes the related revenue.</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Chargebacks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BTI provides product discounts to hospitals associated with certain GPOs. The Company estimates the chargebacks that it expects to be obligated to provide based upon the terms of the applicable arrangements. BTI deducts such amounts from gross product revenue and accounts receivable at the time it recognizes the related revenue.</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Product Returns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 provides contractual return rights to its customers including the right to return product within six months of product expiration and up to 12 months after product expiration, as well as for incorrect shipments, and damaged or defective product, which the Company expects to be rare. Management expects product returns to be minimal, thus BTI recognizes a nominal allowance for product returns at the time of each sale. In the future, if any of these factors and/or the history of product returns changes, the Company will adjust the allowance for product returns.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BTI classifies all fees paid to the distributor, other than those discussed above and those related to warehouse operations, as Selling, general and administrative expenses on its Condensed Consolidated Statements of Operations. Fees paid to the distributor for warehouse operations are classified as Cost of goods sold on BTI’s Condensed Consolidated Statements of Operations.</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Cost of Goods Sold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Cost of goods sold includes the cost of producing and distributing inventories that are related to product revenues during the respective period. Cost of goods sold may also include costs related to excess or obsolete inventory adjustment charges, as well as costs related to warehouse operations paid to distributors.</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Stock-Based Compensation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 measures and recognizes stock-based compensation expense based on estimated fair value for all share-based awards made to employees, non-employee service providers, and directors, including stock options and restricted stock units (“RSUs”). The Company’s 2017 Equity Incentive Plan (the “2017 Plan”) became effective in August 2017. The Company’s 2020 Incentive Award Plan (the “2020 Plan”) became effective in May 2020. Following the effective date of the 2020 Plan, the Company ceased granting awards under the 2017 Plan; however, the terms and conditions of the 2017 Plan continue to govern any outstanding awards granted thereunder.</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Company’s stock-based awards are valued at fair value on the date of grant and that fair value is recognized as an expense in the Condensed Consolidated Statements of Operations over the requisite service period using the accelerated attribution method. The estimated fair value of RSUs is based on the Company’s closing stock price on the date or third-party valuation if related to a subsidiary. The estimated fair value of stock-option and profit unit awards was determined using the Black-Scholes pricing model on the date of grant.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Black-Scholes pricing model is affected by the Company’s stock price, as well as assumptions regarding variables including, but not limited to, the strike price of the instrument, the risk-free rate, the expected stock price volatility over the term of the awards and expected term of the award. The Company has elected to account for forfeitures as they occur, by reversing compensation cost when the award is forfeited.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Research and Development Costs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Research and development expenses include wages, benefits, non-cash stock-based compensation, facilities, supplies, external services, clinical study, manufacturing costs related to clinical trials and other expenses that are directly related to the Company’s research and development activities. At the end of the reporting period, the Company compares payments made to third-party service providers to the estimated progress toward completion of the research or development objectives. Depending on the timing of payments to the service providers and the progress that the Company estimates has been made for the program as a result of the level of service provided, the Company may record net prepaid or accrued expense relating to these costs. Such estimates are subject to change as additional information becomes available. The Company expenses research and development costs as incurred.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Most of the Company’s service providers invoice BTI monthly in arrears for services performed. The Company estimates its accrued expenses as of each balance sheet date in the condensed consolidated financial statements based on facts and circumstances known to management at that time. BTI management periodically confirms the accuracy of the Company’s estimates with the service providers and makes adjustments if necessary.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Although management does not expect its estimates to be materially different from amounts actually incurred, management’s understanding of the status and timing of services performed relative to the actual status and timing of services performed may vary and may result in BTI reporting amounts that are too high or too low in any particular period.</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Patent Costs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Costs related to filing and pursuing patent applications are recorded in Selling, general and administrative expenses in the Condensed Consolidated Statements of Operations and are expensed as incurred since recoverability of such expenditures is uncertain.</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Fair Value of Financial Instruments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 measures certain financial assets and liabilities at fair value, which is defined as the price that would be received to sell an asset or paid to transfer a liability in an orderly transaction between market participants at the measurement date. The Company applies a fair value hierarchy that distinguishes between (1) market participant assumptions developed based on market data obtained from independent sources, or observable inputs, and (2) an entity’s own assumptions about market participant assumptions developed based on the best information available in the circumstances, or unobservable inputs. The fair value hierarchy consists of three broad levels, which gives the highest priority to unadjusted quoted prices in active markets for identical assets or liabilities (Level 1) and the lowest priority to unobservable inputs (Level 3). Fair value measurements must be classified and disclosed in one of the following three categories: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(unadjusted) in active markets that are accessible at the measurement date for assets or liabilities. The fair value hierarchy gives the highest priority to Level 1 inputs.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determining fair value, the Company utilizes valuation techniques that maximize the use of observable inputs and minimize the use of unobservable inputs, as well as considering counterparty credit risk in its assessment of fair value.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Earnings (Loss) Per Share</w:t>
      </w:r>
    </w:p>
    <w:p>
      <w:pPr>
        <w:pStyle w:val="TextBody"/>
        <w:spacing w:before="0" w:after="200"/>
        <w:ind w:left="0" w:right="0" w:firstLine="360"/>
        <w:rPr>
          <w:rFonts w:ascii="Times New Roman;Times;serif" w:hAnsi="Times New Roman;Times;serif"/>
          <w:sz w:val="20"/>
          <w:highlight w:val="white"/>
        </w:rPr>
      </w:pPr>
      <w:r>
        <w:rPr>
          <w:rFonts w:ascii="Times New Roman;Times;serif" w:hAnsi="Times New Roman;Times;serif"/>
          <w:sz w:val="20"/>
          <w:highlight w:val="white"/>
        </w:rPr>
        <w:t>Earnings (loss) per share (“EPS”) is calculated by dividing net income or loss attributable to common stockholders by the weighted average number of shares of common stock that were outstanding. Diluted EPS is calculated by adjusting the weighted average number of shares of common stock that were outstanding for the dilutive effect of common stock equivalents. In periods in which a net loss is recorded, no effect is given to potentially dilutive securities, since the effect would be antidilutive. </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Segment Information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Company’s chief operating decision maker has made such decisions and assessed performance at the Company level as one segment. </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Recent Accounting Pronouncements</w:t>
      </w:r>
    </w:p>
    <w:p>
      <w:pPr>
        <w:pStyle w:val="TextBody"/>
        <w:spacing w:before="0" w:after="200"/>
        <w:ind w:left="360" w:right="0" w:hanging="0"/>
        <w:rPr>
          <w:rFonts w:ascii="Times New Roman;Times;serif" w:hAnsi="Times New Roman;Times;serif"/>
          <w:b/>
          <w:i/>
          <w:sz w:val="20"/>
          <w:highlight w:val="white"/>
        </w:rPr>
      </w:pPr>
      <w:r>
        <w:rPr>
          <w:rFonts w:ascii="Times New Roman;Times;serif" w:hAnsi="Times New Roman;Times;serif"/>
          <w:b/>
          <w:i/>
          <w:sz w:val="20"/>
          <w:highlight w:val="white"/>
        </w:rPr>
        <w:t>Recently adopted accounting pronouncements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highlight w:val="white"/>
        </w:rPr>
        <w:t xml:space="preserve">In June 2016, the Financial Accounting Standards Board (“FASB”) issued ASU No. 2016-13, </w:t>
      </w:r>
      <w:r>
        <w:rPr>
          <w:rFonts w:ascii="Times New Roman;Times;serif" w:hAnsi="Times New Roman;Times;serif"/>
          <w:i/>
          <w:sz w:val="20"/>
          <w:highlight w:val="white"/>
        </w:rPr>
        <w:t>Financial Instruments-Credit Losses (Topic 326): Measurement of Credit Losses on Financial Instruments</w:t>
      </w:r>
      <w:r>
        <w:rPr>
          <w:rFonts w:ascii="Times New Roman;Times;serif" w:hAnsi="Times New Roman;Times;serif"/>
          <w:sz w:val="20"/>
          <w:highlight w:val="white"/>
        </w:rPr>
        <w:t xml:space="preserve">, and subsequent amendments to the initial guidance (collectively, “Topic 326”). Topic 326 requires measurement and recognition of expected credit losses for financial assets held. Topic 326 was to be effective for reporting periods beginning after December 15, 2019, with early adoption permitted. In November 2019, the FASB issued ASU No. 2019-10, </w:t>
      </w:r>
      <w:r>
        <w:rPr>
          <w:rFonts w:ascii="Times New Roman;Times;serif" w:hAnsi="Times New Roman;Times;serif"/>
          <w:i/>
          <w:sz w:val="20"/>
          <w:highlight w:val="white"/>
        </w:rPr>
        <w:t>Financial Instruments - Credit Losses (Topic 326), Derivatives and Hedging (Topic 815), and Leases (Topic 842) - Effective Dates</w:t>
      </w:r>
      <w:r>
        <w:rPr>
          <w:rFonts w:ascii="Times New Roman;Times;serif" w:hAnsi="Times New Roman;Times;serif"/>
          <w:sz w:val="20"/>
          <w:highlight w:val="white"/>
        </w:rPr>
        <w:t>, which deferred the effective dates of Topic 326 for the Company, until fiscal year 2023. The adoption of Topic 326 on January 1, 2023 did not have a material impact on the Company’s condensed consolidated financial statements</w:t>
      </w:r>
      <w:r>
        <w:rPr>
          <w:rFonts w:ascii="Times New Roman;Times;serif" w:hAnsi="Times New Roman;Times;serif"/>
          <w:sz w:val="20"/>
        </w:rPr>
        <w:t>.</w:t>
      </w:r>
    </w:p>
    <w:p>
      <w:pPr>
        <w:pStyle w:val="TextBody"/>
        <w:spacing w:before="0" w:after="200"/>
        <w:ind w:left="0" w:right="0" w:hanging="0"/>
        <w:rPr>
          <w:rFonts w:ascii="Times New Roman;Times;serif" w:hAnsi="Times New Roman;Times;serif"/>
          <w:b/>
          <w:sz w:val="20"/>
        </w:rPr>
      </w:pPr>
      <w:bookmarkStart w:id="510" w:name="Tc_IDbxCnvv0EG0LHjNePbt_g_7_5"/>
      <w:bookmarkStart w:id="511" w:name="Tc_H9cx2DAB4EWW8hBTLOAOdg_7_2"/>
      <w:bookmarkStart w:id="512" w:name="Tc_QPFP_tUPK0CVSW1weAQOCw_7_0"/>
      <w:bookmarkStart w:id="513" w:name="Tc_OFzQi1Fe7k-sNqxmNi60-g_6_0"/>
      <w:bookmarkStart w:id="514" w:name="Tc_sKPM7az3406oubxMunxvDQ_5_3"/>
      <w:bookmarkStart w:id="515" w:name="Tc_LTL4kALqEkKAhJnA4xTO7A_5_0"/>
      <w:bookmarkStart w:id="516" w:name="Tc_4or3uEhUWkSN5InS7ckK2Q_4_5"/>
      <w:bookmarkStart w:id="517" w:name="Tc_5zwPUjkjSkmjE1KJ6Ep-0Q_4_2"/>
      <w:bookmarkStart w:id="518" w:name="Tc_BSi7GL-mP0yv-NKas1oxxA_4_0"/>
      <w:bookmarkStart w:id="519" w:name="Tc_-KZ1kiaXckG7eJ_6UHUVLw_2_5"/>
      <w:bookmarkStart w:id="520" w:name="Tc_ZIC7lsvP2USSJ3JH7ha--w_2_2"/>
      <w:bookmarkStart w:id="521" w:name="Tc_-ZwT_pa2wECjf4dQzfa9pA_1_5"/>
      <w:bookmarkStart w:id="522" w:name="Tc_B74RFJpFg06XiQdqR7XEEw_1_2"/>
      <w:bookmarkEnd w:id="510"/>
      <w:bookmarkEnd w:id="511"/>
      <w:bookmarkEnd w:id="512"/>
      <w:bookmarkEnd w:id="513"/>
      <w:bookmarkEnd w:id="514"/>
      <w:bookmarkEnd w:id="515"/>
      <w:bookmarkEnd w:id="516"/>
      <w:bookmarkEnd w:id="517"/>
      <w:bookmarkEnd w:id="518"/>
      <w:bookmarkEnd w:id="519"/>
      <w:bookmarkEnd w:id="520"/>
      <w:bookmarkEnd w:id="521"/>
      <w:bookmarkEnd w:id="522"/>
      <w:r>
        <w:rPr>
          <w:rFonts w:ascii="Times New Roman;Times;serif" w:hAnsi="Times New Roman;Times;serif"/>
          <w:b/>
          <w:sz w:val="20"/>
        </w:rPr>
        <w:t>Note 4. Inventory</w:t>
      </w:r>
    </w:p>
    <w:p>
      <w:pPr>
        <w:pStyle w:val="TextBody"/>
        <w:spacing w:before="0" w:after="200"/>
        <w:ind w:left="0" w:right="0" w:firstLine="360"/>
        <w:rPr>
          <w:rFonts w:ascii="Times New Roman;Times;serif" w:hAnsi="Times New Roman;Times;serif"/>
          <w:sz w:val="20"/>
          <w:highlight w:val="white"/>
        </w:rPr>
      </w:pPr>
      <w:r>
        <w:rPr>
          <w:rFonts w:ascii="Times New Roman;Times;serif" w:hAnsi="Times New Roman;Times;serif"/>
          <w:sz w:val="20"/>
          <w:highlight w:val="white"/>
        </w:rPr>
        <w:t>Inventory consists of the following:</w:t>
      </w:r>
    </w:p>
    <w:p>
      <w:pPr>
        <w:pStyle w:val="TextBody"/>
        <w:spacing w:before="0" w:after="0"/>
        <w:ind w:left="0" w:right="0" w:hanging="0"/>
        <w:rPr/>
      </w:pPr>
      <w:r>
        <w:rPr/>
        <w:t>​</w:t>
      </w:r>
    </w:p>
    <w:tbl>
      <w:tblPr>
        <w:tblW w:w="4193" w:type="dxa"/>
        <w:jc w:val="left"/>
        <w:tblInd w:w="0" w:type="dxa"/>
        <w:tblCellMar>
          <w:top w:w="0" w:type="dxa"/>
          <w:left w:w="0" w:type="dxa"/>
          <w:bottom w:w="0" w:type="dxa"/>
          <w:right w:w="0" w:type="dxa"/>
        </w:tblCellMar>
      </w:tblPr>
      <w:tblGrid>
        <w:gridCol w:w="1456"/>
        <w:gridCol w:w="326"/>
        <w:gridCol w:w="242"/>
        <w:gridCol w:w="658"/>
        <w:gridCol w:w="326"/>
        <w:gridCol w:w="281"/>
        <w:gridCol w:w="904"/>
      </w:tblGrid>
      <w:tr>
        <w:trPr/>
        <w:tc>
          <w:tcPr>
            <w:tcW w:w="1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924560" cy="175260"/>
                      <wp:effectExtent l="0" t="0" r="0" b="0"/>
                      <wp:wrapNone/>
                      <wp:docPr id="43" name="Frame43"/>
                      <a:graphic xmlns:a="http://schemas.openxmlformats.org/drawingml/2006/main">
                        <a:graphicData uri="http://schemas.microsoft.com/office/word/2010/wordprocessingShape">
                          <wps:wsp>
                            <wps:cNvSpPr txBox="1"/>
                            <wps:spPr>
                              <a:xfrm>
                                <a:off x="0" y="0"/>
                                <a:ext cx="924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53670" cy="175260"/>
                      <wp:effectExtent l="0" t="0" r="0" b="0"/>
                      <wp:wrapNone/>
                      <wp:docPr id="45" name="Frame45"/>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17830" cy="175260"/>
                      <wp:effectExtent l="0" t="0" r="0" b="0"/>
                      <wp:wrapNone/>
                      <wp:docPr id="46" name="Frame46"/>
                      <a:graphic xmlns:a="http://schemas.openxmlformats.org/drawingml/2006/main">
                        <a:graphicData uri="http://schemas.microsoft.com/office/word/2010/wordprocessingShape">
                          <wps:wsp>
                            <wps:cNvSpPr txBox="1"/>
                            <wps:spPr>
                              <a:xfrm>
                                <a:off x="0" y="0"/>
                                <a:ext cx="417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78435" cy="175260"/>
                      <wp:effectExtent l="0" t="0" r="0" b="0"/>
                      <wp:wrapNone/>
                      <wp:docPr id="48" name="Frame48"/>
                      <a:graphic xmlns:a="http://schemas.openxmlformats.org/drawingml/2006/main">
                        <a:graphicData uri="http://schemas.microsoft.com/office/word/2010/wordprocessingShape">
                          <wps:wsp>
                            <wps:cNvSpPr txBox="1"/>
                            <wps:spPr>
                              <a:xfrm>
                                <a:off x="0" y="0"/>
                                <a:ext cx="178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74040" cy="175260"/>
                      <wp:effectExtent l="0" t="0" r="0" b="0"/>
                      <wp:wrapNone/>
                      <wp:docPr id="49" name="Frame49"/>
                      <a:graphic xmlns:a="http://schemas.openxmlformats.org/drawingml/2006/main">
                        <a:graphicData uri="http://schemas.microsoft.com/office/word/2010/wordprocessingShape">
                          <wps:wsp>
                            <wps:cNvSpPr txBox="1"/>
                            <wps:spPr>
                              <a:xfrm>
                                <a:off x="0" y="0"/>
                                <a:ext cx="5740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4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rPr/>
            </w:pPr>
            <w:r>
              <w:rPr/>
              <w:t>    </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4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4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pPr>
            <w:r>
              <w:rPr/>
              <w:t>​</w:t>
            </w:r>
          </w:p>
        </w:tc>
        <w:tc>
          <w:tcPr>
            <w:tcW w:w="65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w:t>
            </w:r>
          </w:p>
        </w:tc>
        <w:tc>
          <w:tcPr>
            <w:tcW w:w="904" w:type="dxa"/>
            <w:tcBorders/>
            <w:shd w:fill="auto" w:val="clear"/>
            <w:vAlign w:val="center"/>
          </w:tcPr>
          <w:p>
            <w:pPr>
              <w:pStyle w:val="TableContents"/>
              <w:spacing w:before="0" w:after="1"/>
              <w:ind w:left="0" w:right="0" w:hanging="0"/>
              <w:rPr/>
            </w:pPr>
            <w:r>
              <w:rPr/>
              <w:t>​</w:t>
            </w:r>
          </w:p>
        </w:tc>
      </w:tr>
      <w:tr>
        <w:trPr/>
        <w:tc>
          <w:tcPr>
            <w:tcW w:w="14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spacing w:before="0" w:after="1"/>
              <w:ind w:left="0" w:right="0" w:hanging="0"/>
              <w:rPr/>
            </w:pPr>
            <w:r>
              <w:rPr/>
              <w:t>​</w:t>
            </w:r>
          </w:p>
        </w:tc>
        <w:tc>
          <w:tcPr>
            <w:tcW w:w="24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682</w:t>
            </w:r>
          </w:p>
        </w:tc>
        <w:tc>
          <w:tcPr>
            <w:tcW w:w="326"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682</w:t>
            </w:r>
          </w:p>
        </w:tc>
      </w:tr>
      <w:tr>
        <w:trPr/>
        <w:tc>
          <w:tcPr>
            <w:tcW w:w="14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Work-in-process</w:t>
            </w:r>
          </w:p>
        </w:tc>
        <w:tc>
          <w:tcPr>
            <w:tcW w:w="326"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pPr>
            <w:r>
              <w:rPr/>
              <w:t>​</w:t>
            </w:r>
          </w:p>
        </w:tc>
        <w:tc>
          <w:tcPr>
            <w:tcW w:w="65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w:t>
            </w:r>
          </w:p>
        </w:tc>
        <w:tc>
          <w:tcPr>
            <w:tcW w:w="90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708</w:t>
            </w:r>
          </w:p>
        </w:tc>
      </w:tr>
      <w:tr>
        <w:trPr/>
        <w:tc>
          <w:tcPr>
            <w:tcW w:w="14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spacing w:before="0" w:after="1"/>
              <w:ind w:left="0" w:right="0" w:hanging="0"/>
              <w:rPr/>
            </w:pPr>
            <w:r>
              <w:rPr/>
              <w:t>​</w:t>
            </w:r>
          </w:p>
        </w:tc>
        <w:tc>
          <w:tcPr>
            <w:tcW w:w="24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5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1,270</w:t>
            </w:r>
          </w:p>
        </w:tc>
        <w:tc>
          <w:tcPr>
            <w:tcW w:w="326" w:type="dxa"/>
            <w:tcBorders/>
            <w:shd w:fill="CCEEFF" w:val="clear"/>
            <w:vAlign w:val="center"/>
          </w:tcPr>
          <w:p>
            <w:pPr>
              <w:pStyle w:val="TableContents"/>
              <w:spacing w:before="0" w:after="1"/>
              <w:ind w:left="0" w:right="0" w:hanging="0"/>
              <w:rPr/>
            </w:pPr>
            <w:r>
              <w:rPr/>
              <w:t>​</w:t>
            </w:r>
          </w:p>
        </w:tc>
        <w:tc>
          <w:tcPr>
            <w:tcW w:w="28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0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r>
      <w:tr>
        <w:trPr/>
        <w:tc>
          <w:tcPr>
            <w:tcW w:w="14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inventory</w:t>
            </w:r>
          </w:p>
        </w:tc>
        <w:tc>
          <w:tcPr>
            <w:tcW w:w="326" w:type="dxa"/>
            <w:tcBorders/>
            <w:shd w:fill="auto" w:val="clear"/>
            <w:vAlign w:val="center"/>
          </w:tcPr>
          <w:p>
            <w:pPr>
              <w:pStyle w:val="TableContents"/>
              <w:spacing w:before="0" w:after="1"/>
              <w:ind w:left="0" w:right="0" w:hanging="0"/>
              <w:rPr/>
            </w:pPr>
            <w:r>
              <w:rPr/>
              <w:t>​</w:t>
            </w:r>
          </w:p>
        </w:tc>
        <w:tc>
          <w:tcPr>
            <w:tcW w:w="24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1,952</w:t>
            </w:r>
          </w:p>
        </w:tc>
        <w:tc>
          <w:tcPr>
            <w:tcW w:w="326" w:type="dxa"/>
            <w:tcBorders/>
            <w:shd w:fill="auto" w:val="clear"/>
            <w:vAlign w:val="center"/>
          </w:tcPr>
          <w:p>
            <w:pPr>
              <w:pStyle w:val="TableContents"/>
              <w:spacing w:before="0" w:after="1"/>
              <w:ind w:left="0" w:right="0" w:hanging="0"/>
              <w:rPr/>
            </w:pPr>
            <w:r>
              <w:rPr/>
              <w:t>​</w:t>
            </w:r>
          </w:p>
        </w:tc>
        <w:tc>
          <w:tcPr>
            <w:tcW w:w="28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1,985</w:t>
            </w:r>
          </w:p>
        </w:tc>
      </w:tr>
    </w:tbl>
    <w:p>
      <w:pPr>
        <w:pStyle w:val="TextBody"/>
        <w:spacing w:before="0" w:after="240"/>
        <w:ind w:left="0" w:right="0" w:firstLine="360"/>
        <w:rPr>
          <w:highlight w:val="white"/>
        </w:rPr>
      </w:pPr>
      <w:r>
        <w:rPr>
          <w:highlight w:val="white"/>
        </w:rPr>
        <w:t>​</w:t>
      </w:r>
    </w:p>
    <w:p>
      <w:pPr>
        <w:pStyle w:val="TextBody"/>
        <w:spacing w:before="0" w:after="0"/>
        <w:ind w:left="0" w:right="0" w:firstLine="360"/>
        <w:rPr>
          <w:rFonts w:ascii="Times New Roman;Times;serif" w:hAnsi="Times New Roman;Times;serif"/>
          <w:b/>
          <w:sz w:val="20"/>
        </w:rPr>
      </w:pPr>
      <w:r>
        <w:rPr>
          <w:rFonts w:ascii="Times New Roman;Times;serif" w:hAnsi="Times New Roman;Times;serif"/>
          <w:b w:val="false"/>
          <w:sz w:val="20"/>
          <w:highlight w:val="white"/>
        </w:rPr>
        <w:t>There were no</w:t>
      </w:r>
      <w:r>
        <w:rPr>
          <w:rFonts w:ascii="Times New Roman;Times;serif" w:hAnsi="Times New Roman;Times;serif"/>
          <w:b/>
          <w:sz w:val="20"/>
          <w:highlight w:val="white"/>
        </w:rPr>
        <w:t xml:space="preserve"> </w:t>
      </w:r>
      <w:r>
        <w:rPr>
          <w:rFonts w:ascii="Times New Roman;Times;serif" w:hAnsi="Times New Roman;Times;serif"/>
          <w:b w:val="false"/>
          <w:sz w:val="20"/>
          <w:highlight w:val="white"/>
        </w:rPr>
        <w:t>write-downs of inventory for the three months ended March 31, 2023 and 2022</w:t>
      </w:r>
      <w:r>
        <w:rPr>
          <w:rFonts w:ascii="Times New Roman;Times;serif" w:hAnsi="Times New Roman;Times;serif"/>
          <w:b/>
          <w:sz w:val="20"/>
          <w:highlight w:val="white"/>
        </w:rPr>
        <w:t>.</w:t>
      </w:r>
    </w:p>
    <w:p>
      <w:pPr>
        <w:pStyle w:val="TextBody"/>
        <w:spacing w:before="0" w:after="24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bookmarkStart w:id="523" w:name="Tc_Xa4-RlHlUUy4Fc-Hh_Io2g_9_5"/>
      <w:bookmarkStart w:id="524" w:name="Tc_lFGuRs5i-UqYmwBv4fOd6g_9_2"/>
      <w:bookmarkStart w:id="525" w:name="Tc_F8zrKXBoeEuWrSdKwVta-w_9_0"/>
      <w:bookmarkStart w:id="526" w:name="Tc_qJ7bMA2fVk-MdUsJdDGMWg_8_0"/>
      <w:bookmarkStart w:id="527" w:name="Tc_bF2k-c_T10ippPMv6AuQAA_7_5"/>
      <w:bookmarkStart w:id="528" w:name="Tc_SAJYMKWSS0CXTrvqvMJcEg_7_2"/>
      <w:bookmarkStart w:id="529" w:name="Tc_2uI_X1al40eeGnecnB_Yww_7_0"/>
      <w:bookmarkStart w:id="530" w:name="Tc_VeR4Z6lRKkeUajdErJtAdw_6_0"/>
      <w:bookmarkStart w:id="531" w:name="Tc_eKjwOUU2xk-hkMscVpgWUw_5_0"/>
      <w:bookmarkStart w:id="532" w:name="Tc_6FCN2RSYZU2X4-dwaGR_bg_4_5"/>
      <w:bookmarkStart w:id="533" w:name="Tc_HPUa0jDtKUaho5szGN6Ocw_4_2"/>
      <w:bookmarkStart w:id="534" w:name="Tc_yahvCiVBVEG3SiWpQgkCLw_4_0"/>
      <w:bookmarkStart w:id="535" w:name="Tc_XXuLnmVWg0Sji0a_ddMbyg_2_5"/>
      <w:bookmarkStart w:id="536" w:name="Tc_MyaXEbI3NUqfZXBcgcUoMg_2_2"/>
      <w:bookmarkStart w:id="537" w:name="Tc_G0NQNYFHhUeXFN5TZQxIJg_1_5"/>
      <w:bookmarkStart w:id="538" w:name="Tc_MvFAHGy7KUuDmSVZ0WsywA_1_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r>
        <w:rPr>
          <w:rFonts w:ascii="Times New Roman;Times;serif" w:hAnsi="Times New Roman;Times;serif"/>
          <w:b/>
          <w:sz w:val="20"/>
        </w:rPr>
        <w:t>Note 5. Property and Equipment, Net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Property and equipment, net consists of the following:</w:t>
      </w:r>
    </w:p>
    <w:p>
      <w:pPr>
        <w:pStyle w:val="TextBody"/>
        <w:spacing w:before="0" w:after="0"/>
        <w:ind w:left="0" w:right="0" w:hanging="0"/>
        <w:rPr/>
      </w:pPr>
      <w:r>
        <w:rPr/>
        <w:t>​</w:t>
      </w:r>
    </w:p>
    <w:tbl>
      <w:tblPr>
        <w:tblW w:w="5633" w:type="dxa"/>
        <w:jc w:val="left"/>
        <w:tblInd w:w="0" w:type="dxa"/>
        <w:tblCellMar>
          <w:top w:w="0" w:type="dxa"/>
          <w:left w:w="0" w:type="dxa"/>
          <w:bottom w:w="0" w:type="dxa"/>
          <w:right w:w="0" w:type="dxa"/>
        </w:tblCellMar>
      </w:tblPr>
      <w:tblGrid>
        <w:gridCol w:w="2896"/>
        <w:gridCol w:w="326"/>
        <w:gridCol w:w="242"/>
        <w:gridCol w:w="658"/>
        <w:gridCol w:w="326"/>
        <w:gridCol w:w="281"/>
        <w:gridCol w:w="904"/>
      </w:tblGrid>
      <w:tr>
        <w:trPr/>
        <w:tc>
          <w:tcPr>
            <w:tcW w:w="28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838960" cy="175260"/>
                      <wp:effectExtent l="0" t="0" r="0" b="0"/>
                      <wp:wrapNone/>
                      <wp:docPr id="50" name="Frame50"/>
                      <a:graphic xmlns:a="http://schemas.openxmlformats.org/drawingml/2006/main">
                        <a:graphicData uri="http://schemas.microsoft.com/office/word/2010/wordprocessingShape">
                          <wps:wsp>
                            <wps:cNvSpPr txBox="1"/>
                            <wps:spPr>
                              <a:xfrm>
                                <a:off x="0" y="0"/>
                                <a:ext cx="1838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53670" cy="175260"/>
                      <wp:effectExtent l="0" t="0" r="0" b="0"/>
                      <wp:wrapNone/>
                      <wp:docPr id="52" name="Frame52"/>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17830" cy="175260"/>
                      <wp:effectExtent l="0" t="0" r="0" b="0"/>
                      <wp:wrapNone/>
                      <wp:docPr id="53" name="Frame53"/>
                      <a:graphic xmlns:a="http://schemas.openxmlformats.org/drawingml/2006/main">
                        <a:graphicData uri="http://schemas.microsoft.com/office/word/2010/wordprocessingShape">
                          <wps:wsp>
                            <wps:cNvSpPr txBox="1"/>
                            <wps:spPr>
                              <a:xfrm>
                                <a:off x="0" y="0"/>
                                <a:ext cx="417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78435" cy="175260"/>
                      <wp:effectExtent l="0" t="0" r="0" b="0"/>
                      <wp:wrapNone/>
                      <wp:docPr id="55" name="Frame55"/>
                      <a:graphic xmlns:a="http://schemas.openxmlformats.org/drawingml/2006/main">
                        <a:graphicData uri="http://schemas.microsoft.com/office/word/2010/wordprocessingShape">
                          <wps:wsp>
                            <wps:cNvSpPr txBox="1"/>
                            <wps:spPr>
                              <a:xfrm>
                                <a:off x="0" y="0"/>
                                <a:ext cx="178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74040" cy="175260"/>
                      <wp:effectExtent l="0" t="0" r="0" b="0"/>
                      <wp:wrapNone/>
                      <wp:docPr id="56" name="Frame56"/>
                      <a:graphic xmlns:a="http://schemas.openxmlformats.org/drawingml/2006/main">
                        <a:graphicData uri="http://schemas.microsoft.com/office/word/2010/wordprocessingShape">
                          <wps:wsp>
                            <wps:cNvSpPr txBox="1"/>
                            <wps:spPr>
                              <a:xfrm>
                                <a:off x="0" y="0"/>
                                <a:ext cx="5740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rPr/>
            </w:pPr>
            <w:r>
              <w:rPr/>
              <w:t>    </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8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jc w:val="center"/>
              <w:rPr/>
            </w:pPr>
            <w:r>
              <w:rPr/>
              <w:t>​</w:t>
            </w:r>
          </w:p>
        </w:tc>
        <w:tc>
          <w:tcPr>
            <w:tcW w:w="65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jc w:val="center"/>
              <w:rPr/>
            </w:pPr>
            <w:r>
              <w:rPr/>
              <w:t>​</w:t>
            </w:r>
          </w:p>
        </w:tc>
        <w:tc>
          <w:tcPr>
            <w:tcW w:w="904" w:type="dxa"/>
            <w:tcBorders/>
            <w:shd w:fill="auto" w:val="clear"/>
            <w:vAlign w:val="center"/>
          </w:tcPr>
          <w:p>
            <w:pPr>
              <w:pStyle w:val="TableContents"/>
              <w:spacing w:before="0" w:after="1"/>
              <w:ind w:left="0" w:right="0" w:hanging="0"/>
              <w:jc w:val="center"/>
              <w:rPr/>
            </w:pPr>
            <w:r>
              <w:rPr/>
              <w:t>​</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Computers and equipment</w:t>
            </w:r>
          </w:p>
        </w:tc>
        <w:tc>
          <w:tcPr>
            <w:tcW w:w="326" w:type="dxa"/>
            <w:tcBorders/>
            <w:shd w:fill="CCEEFF" w:val="clear"/>
            <w:vAlign w:val="center"/>
          </w:tcPr>
          <w:p>
            <w:pPr>
              <w:pStyle w:val="TableContents"/>
              <w:spacing w:before="0" w:after="1"/>
              <w:ind w:left="0" w:right="0" w:hanging="0"/>
              <w:rPr/>
            </w:pPr>
            <w:r>
              <w:rPr/>
              <w:t>​</w:t>
            </w:r>
          </w:p>
        </w:tc>
        <w:tc>
          <w:tcPr>
            <w:tcW w:w="24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shd w:fill="CCEEFF" w:val="clear"/>
            <w:vAlign w:val="center"/>
          </w:tcPr>
          <w:p>
            <w:pPr>
              <w:pStyle w:val="TableContents"/>
              <w:spacing w:before="0" w:after="1"/>
              <w:ind w:left="0" w:right="0" w:hanging="0"/>
              <w:rPr/>
            </w:pPr>
            <w:r>
              <w:rPr/>
              <w:t>​</w:t>
            </w:r>
          </w:p>
        </w:tc>
        <w:tc>
          <w:tcPr>
            <w:tcW w:w="2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r>
      <w:tr>
        <w:trPr/>
        <w:tc>
          <w:tcPr>
            <w:tcW w:w="28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Furniture</w:t>
            </w:r>
          </w:p>
        </w:tc>
        <w:tc>
          <w:tcPr>
            <w:tcW w:w="326"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pPr>
            <w:r>
              <w:rPr/>
              <w:t>​</w:t>
            </w:r>
          </w:p>
        </w:tc>
        <w:tc>
          <w:tcPr>
            <w:tcW w:w="65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575</w:t>
            </w:r>
          </w:p>
        </w:tc>
        <w:tc>
          <w:tcPr>
            <w:tcW w:w="326"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pPr>
            <w:r>
              <w:rPr/>
              <w:t>​</w:t>
            </w:r>
          </w:p>
        </w:tc>
        <w:tc>
          <w:tcPr>
            <w:tcW w:w="90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575</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spacing w:before="0" w:after="1"/>
              <w:ind w:left="0" w:right="0" w:hanging="0"/>
              <w:rPr/>
            </w:pPr>
            <w:r>
              <w:rPr/>
              <w:t>​</w:t>
            </w:r>
          </w:p>
        </w:tc>
        <w:tc>
          <w:tcPr>
            <w:tcW w:w="24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5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1,181</w:t>
            </w:r>
          </w:p>
        </w:tc>
        <w:tc>
          <w:tcPr>
            <w:tcW w:w="326" w:type="dxa"/>
            <w:tcBorders/>
            <w:shd w:fill="CCEEFF" w:val="clear"/>
            <w:vAlign w:val="center"/>
          </w:tcPr>
          <w:p>
            <w:pPr>
              <w:pStyle w:val="TableContents"/>
              <w:spacing w:before="0" w:after="1"/>
              <w:ind w:left="0" w:right="0" w:hanging="0"/>
              <w:rPr/>
            </w:pPr>
            <w:r>
              <w:rPr/>
              <w:t>​</w:t>
            </w:r>
          </w:p>
        </w:tc>
        <w:tc>
          <w:tcPr>
            <w:tcW w:w="28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0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1,181</w:t>
            </w:r>
          </w:p>
        </w:tc>
      </w:tr>
      <w:tr>
        <w:trPr/>
        <w:tc>
          <w:tcPr>
            <w:tcW w:w="28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shd w:fill="auto" w:val="clear"/>
            <w:vAlign w:val="center"/>
          </w:tcPr>
          <w:p>
            <w:pPr>
              <w:pStyle w:val="TableContents"/>
              <w:spacing w:before="0" w:after="1"/>
              <w:ind w:left="0" w:right="0" w:hanging="0"/>
              <w:rPr/>
            </w:pPr>
            <w:r>
              <w:rPr/>
              <w:t>​</w:t>
            </w:r>
          </w:p>
        </w:tc>
        <w:tc>
          <w:tcPr>
            <w:tcW w:w="24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1,969</w:t>
            </w:r>
          </w:p>
        </w:tc>
        <w:tc>
          <w:tcPr>
            <w:tcW w:w="326" w:type="dxa"/>
            <w:tcBorders/>
            <w:shd w:fill="auto" w:val="clear"/>
            <w:vAlign w:val="center"/>
          </w:tcPr>
          <w:p>
            <w:pPr>
              <w:pStyle w:val="TableContents"/>
              <w:spacing w:before="0" w:after="1"/>
              <w:ind w:left="0" w:right="0" w:hanging="0"/>
              <w:rPr/>
            </w:pPr>
            <w:r>
              <w:rPr/>
              <w:t>​</w:t>
            </w:r>
          </w:p>
        </w:tc>
        <w:tc>
          <w:tcPr>
            <w:tcW w:w="2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1,969</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Accumulated depreciation</w:t>
            </w:r>
          </w:p>
        </w:tc>
        <w:tc>
          <w:tcPr>
            <w:tcW w:w="326" w:type="dxa"/>
            <w:tcBorders/>
            <w:shd w:fill="CCEEFF" w:val="clear"/>
            <w:vAlign w:val="center"/>
          </w:tcPr>
          <w:p>
            <w:pPr>
              <w:pStyle w:val="TableContents"/>
              <w:spacing w:before="0" w:after="1"/>
              <w:ind w:left="0" w:right="0" w:hanging="0"/>
              <w:rPr/>
            </w:pPr>
            <w:r>
              <w:rPr/>
              <w:t>​</w:t>
            </w:r>
          </w:p>
        </w:tc>
        <w:tc>
          <w:tcPr>
            <w:tcW w:w="24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5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(965)</w:t>
            </w:r>
          </w:p>
        </w:tc>
        <w:tc>
          <w:tcPr>
            <w:tcW w:w="326" w:type="dxa"/>
            <w:tcBorders/>
            <w:shd w:fill="CCEEFF" w:val="clear"/>
            <w:vAlign w:val="center"/>
          </w:tcPr>
          <w:p>
            <w:pPr>
              <w:pStyle w:val="TableContents"/>
              <w:spacing w:before="0" w:after="1"/>
              <w:ind w:left="0" w:right="0" w:hanging="0"/>
              <w:rPr/>
            </w:pPr>
            <w:r>
              <w:rPr/>
              <w:t>​</w:t>
            </w:r>
          </w:p>
        </w:tc>
        <w:tc>
          <w:tcPr>
            <w:tcW w:w="28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0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(885)</w:t>
            </w:r>
          </w:p>
        </w:tc>
      </w:tr>
      <w:tr>
        <w:trPr/>
        <w:tc>
          <w:tcPr>
            <w:tcW w:w="28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property and equipment, net</w:t>
            </w:r>
          </w:p>
        </w:tc>
        <w:tc>
          <w:tcPr>
            <w:tcW w:w="326" w:type="dxa"/>
            <w:tcBorders/>
            <w:shd w:fill="auto" w:val="clear"/>
            <w:vAlign w:val="center"/>
          </w:tcPr>
          <w:p>
            <w:pPr>
              <w:pStyle w:val="TableContents"/>
              <w:spacing w:before="0" w:after="1"/>
              <w:ind w:left="0" w:right="0" w:hanging="0"/>
              <w:rPr/>
            </w:pPr>
            <w:r>
              <w:rPr/>
              <w:t>​</w:t>
            </w:r>
          </w:p>
        </w:tc>
        <w:tc>
          <w:tcPr>
            <w:tcW w:w="24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1,004</w:t>
            </w:r>
          </w:p>
        </w:tc>
        <w:tc>
          <w:tcPr>
            <w:tcW w:w="326" w:type="dxa"/>
            <w:tcBorders/>
            <w:shd w:fill="auto" w:val="clear"/>
            <w:vAlign w:val="center"/>
          </w:tcPr>
          <w:p>
            <w:pPr>
              <w:pStyle w:val="TableContents"/>
              <w:spacing w:before="0" w:after="1"/>
              <w:ind w:left="0" w:right="0" w:hanging="0"/>
              <w:rPr/>
            </w:pPr>
            <w:r>
              <w:rPr/>
              <w:t>​</w:t>
            </w:r>
          </w:p>
        </w:tc>
        <w:tc>
          <w:tcPr>
            <w:tcW w:w="28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1,084</w:t>
            </w:r>
          </w:p>
        </w:tc>
      </w:tr>
    </w:tbl>
    <w:p>
      <w:pPr>
        <w:pStyle w:val="TextBody"/>
        <w:spacing w:before="0" w:after="24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Depreciation expense was $80 and $77 for the three months ended March 31, 2023 and 2022, respectively.</w:t>
      </w:r>
    </w:p>
    <w:p>
      <w:pPr>
        <w:pStyle w:val="TextBody"/>
        <w:spacing w:before="0" w:after="240"/>
        <w:ind w:left="0" w:right="0" w:hanging="0"/>
        <w:rPr/>
      </w:pPr>
      <w:r>
        <w:rPr/>
        <w:t>​</w:t>
      </w:r>
    </w:p>
    <w:p>
      <w:pPr>
        <w:pStyle w:val="TextBody"/>
        <w:spacing w:before="0" w:after="200"/>
        <w:ind w:left="0" w:right="0" w:hanging="0"/>
        <w:rPr>
          <w:rFonts w:ascii="Times New Roman;Times;serif" w:hAnsi="Times New Roman;Times;serif"/>
          <w:b/>
          <w:sz w:val="20"/>
        </w:rPr>
      </w:pPr>
      <w:bookmarkStart w:id="539" w:name="Tc_rIJEMr7S40CB5FGb44fABg_8_5"/>
      <w:bookmarkStart w:id="540" w:name="Tc_YVLGa_op9Uix4BfRQ7bhOw_8_2"/>
      <w:bookmarkStart w:id="541" w:name="Tc_WXYvdvwAWkumNBuPKjjJJw_8_0"/>
      <w:bookmarkStart w:id="542" w:name="Tc_uECEOI46u0G9ApgO-XazaQ_7_0"/>
      <w:bookmarkStart w:id="543" w:name="Tc_qPpe64oR6kCGW6pUrkCiGA_6_0"/>
      <w:bookmarkStart w:id="544" w:name="Tc_ynhPYVdvaEGPUJ41LKYj4Q_5_0"/>
      <w:bookmarkStart w:id="545" w:name="Tc_LXbGJj5aIk6SSRZ041allA_4_0"/>
      <w:bookmarkStart w:id="546" w:name="Tc_pqh8RO44BEOmBLZTpNdYuA_3_5"/>
      <w:bookmarkStart w:id="547" w:name="Tc_rLwqLx_ao0eHS65rusGQcQ_3_2"/>
      <w:bookmarkStart w:id="548" w:name="Tc_XXz1JvhOnkuaCPJNW-QzAg_3_0"/>
      <w:bookmarkStart w:id="549" w:name="Tc__5Y9yMcEMU2VyySfZ8D-UQ_1_5"/>
      <w:bookmarkStart w:id="550" w:name="Tc_D5LsF5CPvEqGt1J48wsfSA_1_2"/>
      <w:bookmarkEnd w:id="539"/>
      <w:bookmarkEnd w:id="540"/>
      <w:bookmarkEnd w:id="541"/>
      <w:bookmarkEnd w:id="542"/>
      <w:bookmarkEnd w:id="543"/>
      <w:bookmarkEnd w:id="544"/>
      <w:bookmarkEnd w:id="545"/>
      <w:bookmarkEnd w:id="546"/>
      <w:bookmarkEnd w:id="547"/>
      <w:bookmarkEnd w:id="548"/>
      <w:bookmarkEnd w:id="549"/>
      <w:bookmarkEnd w:id="550"/>
      <w:r>
        <w:rPr>
          <w:rFonts w:ascii="Times New Roman;Times;serif" w:hAnsi="Times New Roman;Times;serif"/>
          <w:b/>
          <w:sz w:val="20"/>
        </w:rPr>
        <w:t>Note 6. Accrued Expenses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Accrued expenses consist of the following:</w:t>
      </w:r>
    </w:p>
    <w:p>
      <w:pPr>
        <w:pStyle w:val="TextBody"/>
        <w:spacing w:before="0" w:after="0"/>
        <w:ind w:left="0" w:right="0" w:hanging="0"/>
        <w:rPr/>
      </w:pPr>
      <w:r>
        <w:rPr/>
        <w:t>​</w:t>
      </w:r>
    </w:p>
    <w:tbl>
      <w:tblPr>
        <w:tblW w:w="7195" w:type="dxa"/>
        <w:jc w:val="left"/>
        <w:tblInd w:w="0" w:type="dxa"/>
        <w:tblCellMar>
          <w:top w:w="0" w:type="dxa"/>
          <w:left w:w="0" w:type="dxa"/>
          <w:bottom w:w="0" w:type="dxa"/>
          <w:right w:w="0" w:type="dxa"/>
        </w:tblCellMar>
      </w:tblPr>
      <w:tblGrid>
        <w:gridCol w:w="3736"/>
        <w:gridCol w:w="326"/>
        <w:gridCol w:w="299"/>
        <w:gridCol w:w="962"/>
        <w:gridCol w:w="326"/>
        <w:gridCol w:w="328"/>
        <w:gridCol w:w="1218"/>
      </w:tblGrid>
      <w:tr>
        <w:trPr/>
        <w:tc>
          <w:tcPr>
            <w:tcW w:w="3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372360" cy="175260"/>
                      <wp:effectExtent l="0" t="0" r="0" b="0"/>
                      <wp:wrapNone/>
                      <wp:docPr id="57" name="Frame57"/>
                      <a:graphic xmlns:a="http://schemas.openxmlformats.org/drawingml/2006/main">
                        <a:graphicData uri="http://schemas.microsoft.com/office/word/2010/wordprocessingShape">
                          <wps:wsp>
                            <wps:cNvSpPr txBox="1"/>
                            <wps:spPr>
                              <a:xfrm>
                                <a:off x="0" y="0"/>
                                <a:ext cx="2372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89865" cy="175260"/>
                      <wp:effectExtent l="0" t="0" r="0" b="0"/>
                      <wp:wrapNone/>
                      <wp:docPr id="59" name="Frame59"/>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10870" cy="175260"/>
                      <wp:effectExtent l="0" t="0" r="0" b="0"/>
                      <wp:wrapNone/>
                      <wp:docPr id="60" name="Frame60"/>
                      <a:graphic xmlns:a="http://schemas.openxmlformats.org/drawingml/2006/main">
                        <a:graphicData uri="http://schemas.microsoft.com/office/word/2010/wordprocessingShape">
                          <wps:wsp>
                            <wps:cNvSpPr txBox="1"/>
                            <wps:spPr>
                              <a:xfrm>
                                <a:off x="0" y="0"/>
                                <a:ext cx="610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8280" cy="175260"/>
                      <wp:effectExtent l="0" t="0" r="0" b="0"/>
                      <wp:wrapNone/>
                      <wp:docPr id="62" name="Frame62"/>
                      <a:graphic xmlns:a="http://schemas.openxmlformats.org/drawingml/2006/main">
                        <a:graphicData uri="http://schemas.microsoft.com/office/word/2010/wordprocessingShape">
                          <wps:wsp>
                            <wps:cNvSpPr txBox="1"/>
                            <wps:spPr>
                              <a:xfrm>
                                <a:off x="0" y="0"/>
                                <a:ext cx="208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773430" cy="175260"/>
                      <wp:effectExtent l="0" t="0" r="0" b="0"/>
                      <wp:wrapNone/>
                      <wp:docPr id="63" name="Frame63"/>
                      <a:graphic xmlns:a="http://schemas.openxmlformats.org/drawingml/2006/main">
                        <a:graphicData uri="http://schemas.microsoft.com/office/word/2010/wordprocessingShape">
                          <wps:wsp>
                            <wps:cNvSpPr txBox="1"/>
                            <wps:spPr>
                              <a:xfrm>
                                <a:off x="0" y="0"/>
                                <a:ext cx="773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0"/>
              <w:ind w:left="0" w:right="0" w:hanging="0"/>
              <w:rPr/>
            </w:pPr>
            <w:r>
              <w:rPr/>
              <w:t>    </w:t>
            </w:r>
          </w:p>
        </w:tc>
        <w:tc>
          <w:tcPr>
            <w:tcW w:w="15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546" w:type="dxa"/>
            <w:gridSpan w:val="2"/>
            <w:tcBorders/>
            <w:shd w:fill="auto" w:val="clear"/>
            <w:vAlign w:val="center"/>
          </w:tcPr>
          <w:p>
            <w:pPr>
              <w:pStyle w:val="TableContents"/>
              <w:spacing w:before="0" w:after="0"/>
              <w:ind w:left="0" w:right="0" w:hanging="0"/>
              <w:jc w:val="center"/>
              <w:rPr/>
            </w:pPr>
            <w:r>
              <w:rPr/>
              <w:t>​</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research and development expenses</w:t>
            </w:r>
          </w:p>
        </w:tc>
        <w:tc>
          <w:tcPr>
            <w:tcW w:w="32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10,254</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8,659</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compensation and benefits</w: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9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2,654</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pPr>
            <w:r>
              <w:rPr/>
              <w:t>​</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6,370</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professional fees</w:t>
            </w:r>
          </w:p>
        </w:tc>
        <w:tc>
          <w:tcPr>
            <w:tcW w:w="32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pPr>
            <w:r>
              <w:rPr/>
              <w:t> </w:t>
            </w:r>
          </w:p>
        </w:tc>
        <w:tc>
          <w:tcPr>
            <w:tcW w:w="96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3,735</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 </w:t>
            </w:r>
          </w:p>
        </w:tc>
        <w:tc>
          <w:tcPr>
            <w:tcW w:w="12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2,738</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taxes</w:t>
            </w:r>
          </w:p>
        </w:tc>
        <w:tc>
          <w:tcPr>
            <w:tcW w:w="32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9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26"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pPr>
            <w:r>
              <w:rPr/>
              <w:t>​</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accrued expenses</w:t>
            </w:r>
          </w:p>
        </w:tc>
        <w:tc>
          <w:tcPr>
            <w:tcW w:w="326" w:type="dxa"/>
            <w:tcBorders/>
            <w:shd w:fill="CCEEFF" w:val="clear"/>
            <w:vAlign w:val="center"/>
          </w:tcPr>
          <w:p>
            <w:pPr>
              <w:pStyle w:val="TableContents"/>
              <w:spacing w:before="0" w:after="0"/>
              <w:ind w:left="0" w:right="0" w:hanging="0"/>
              <w:rPr/>
            </w:pPr>
            <w:r>
              <w:rPr/>
              <w:t>​</w:t>
            </w:r>
          </w:p>
        </w:tc>
        <w:tc>
          <w:tcPr>
            <w:tcW w:w="29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26" w:type="dxa"/>
            <w:tcBorders/>
            <w:shd w:fill="CCEEFF" w:val="clear"/>
            <w:vAlign w:val="center"/>
          </w:tcPr>
          <w:p>
            <w:pPr>
              <w:pStyle w:val="TableContents"/>
              <w:spacing w:before="0" w:after="0"/>
              <w:ind w:left="0" w:right="0" w:hanging="0"/>
              <w:rPr/>
            </w:pPr>
            <w:r>
              <w:rPr/>
              <w:t>​</w:t>
            </w:r>
          </w:p>
        </w:tc>
        <w:tc>
          <w:tcPr>
            <w:tcW w:w="32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1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accrued expenses</w:t>
            </w:r>
          </w:p>
        </w:tc>
        <w:tc>
          <w:tcPr>
            <w:tcW w:w="326" w:type="dxa"/>
            <w:tcBorders/>
            <w:shd w:fill="auto" w:val="clear"/>
            <w:vAlign w:val="center"/>
          </w:tcPr>
          <w:p>
            <w:pPr>
              <w:pStyle w:val="TableContents"/>
              <w:spacing w:before="0" w:after="0"/>
              <w:ind w:left="0" w:right="0" w:hanging="0"/>
              <w:rPr/>
            </w:pPr>
            <w:r>
              <w:rPr/>
              <w:t>​</w:t>
            </w:r>
          </w:p>
        </w:tc>
        <w:tc>
          <w:tcPr>
            <w:tcW w:w="29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17,065</w:t>
            </w:r>
          </w:p>
        </w:tc>
        <w:tc>
          <w:tcPr>
            <w:tcW w:w="326" w:type="dxa"/>
            <w:tcBorders/>
            <w:shd w:fill="auto" w:val="clear"/>
            <w:vAlign w:val="center"/>
          </w:tcPr>
          <w:p>
            <w:pPr>
              <w:pStyle w:val="TableContents"/>
              <w:spacing w:before="0" w:after="0"/>
              <w:ind w:left="0" w:right="0" w:hanging="0"/>
              <w:rPr/>
            </w:pPr>
            <w:r>
              <w:rPr/>
              <w:t>​</w:t>
            </w:r>
          </w:p>
        </w:tc>
        <w:tc>
          <w:tcPr>
            <w:tcW w:w="32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18,669</w:t>
            </w:r>
          </w:p>
        </w:tc>
      </w:tr>
    </w:tbl>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00"/>
        <w:ind w:left="0" w:right="0" w:hanging="0"/>
        <w:rPr>
          <w:rFonts w:ascii="Times New Roman;Times;serif" w:hAnsi="Times New Roman;Times;serif"/>
          <w:b/>
          <w:sz w:val="20"/>
        </w:rPr>
      </w:pPr>
      <w:bookmarkStart w:id="551" w:name="Tc__Izy8sNPlEmIv0IOgSlnUg_6_5"/>
      <w:bookmarkStart w:id="552" w:name="Tc_WFm1tU1hn0ueaALkbkk4Kg_6_2"/>
      <w:bookmarkStart w:id="553" w:name="Tc_cdfTqdses0a_gL2YrnbYng_6_0"/>
      <w:bookmarkStart w:id="554" w:name="Tc_CNoQLrfV2kOUlnA7k503zw_5_0"/>
      <w:bookmarkStart w:id="555" w:name="Tc_FClq11MGxEa0Yce7arD5mQ_4_5"/>
      <w:bookmarkStart w:id="556" w:name="Tc_i9bK-RU_pkSaD2N0D1TWqw_4_2"/>
      <w:bookmarkStart w:id="557" w:name="Tc_gyxzv4QpmEyrFP2pBRd_Cg_4_0"/>
      <w:bookmarkStart w:id="558" w:name="Tc_xg4zXP-fpEmNoAdMgjENXQ_2_5"/>
      <w:bookmarkStart w:id="559" w:name="Tc_YvwhYoFbiEGnkftDPHSUHA_2_2"/>
      <w:bookmarkStart w:id="560" w:name="Tc_dCBpP3YgCE2P3KOmM15f7w_1_2"/>
      <w:bookmarkEnd w:id="551"/>
      <w:bookmarkEnd w:id="552"/>
      <w:bookmarkEnd w:id="553"/>
      <w:bookmarkEnd w:id="554"/>
      <w:bookmarkEnd w:id="555"/>
      <w:bookmarkEnd w:id="556"/>
      <w:bookmarkEnd w:id="557"/>
      <w:bookmarkEnd w:id="558"/>
      <w:bookmarkEnd w:id="559"/>
      <w:bookmarkEnd w:id="560"/>
      <w:r>
        <w:rPr>
          <w:rFonts w:ascii="Times New Roman;Times;serif" w:hAnsi="Times New Roman;Times;serif"/>
          <w:b/>
          <w:sz w:val="20"/>
        </w:rPr>
        <w:t>Note 7. Transactions with BioXcel LLC</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The Company entered into a Separation and Shared Services Agreement with BioXcel LLC that took effect on June 30, 2017, as amended and restated thereafter (the “Services Agreement”), pursuant to which BioXcel LLC has agreed to provide the Company with certain services through its subsidiaries in India and the U.S., as agreed upon by the parties. These services are primarily for drug discovery, chemical, manufacturing and controls and administrative support.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Service charges recorded under the Services Agreement for the three months ended March 31, 2023 and 2022 were as follows:</w:t>
      </w:r>
    </w:p>
    <w:p>
      <w:pPr>
        <w:pStyle w:val="TextBody"/>
        <w:spacing w:before="0" w:after="0"/>
        <w:ind w:left="0" w:right="0" w:hanging="0"/>
        <w:rPr/>
      </w:pPr>
      <w:r>
        <w:rPr/>
        <w:t>​</w:t>
      </w:r>
    </w:p>
    <w:tbl>
      <w:tblPr>
        <w:tblW w:w="5880" w:type="dxa"/>
        <w:jc w:val="left"/>
        <w:tblInd w:w="0" w:type="dxa"/>
        <w:tblCellMar>
          <w:top w:w="0" w:type="dxa"/>
          <w:left w:w="0" w:type="dxa"/>
          <w:bottom w:w="0" w:type="dxa"/>
          <w:right w:w="0" w:type="dxa"/>
        </w:tblCellMar>
      </w:tblPr>
      <w:tblGrid>
        <w:gridCol w:w="2956"/>
        <w:gridCol w:w="326"/>
        <w:gridCol w:w="375"/>
        <w:gridCol w:w="750"/>
        <w:gridCol w:w="194"/>
        <w:gridCol w:w="375"/>
        <w:gridCol w:w="750"/>
        <w:gridCol w:w="154"/>
      </w:tblGrid>
      <w:tr>
        <w:trPr/>
        <w:tc>
          <w:tcPr>
            <w:tcW w:w="2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877060" cy="175260"/>
                      <wp:effectExtent l="0" t="0" r="0" b="0"/>
                      <wp:wrapNone/>
                      <wp:docPr id="64" name="Frame64"/>
                      <a:graphic xmlns:a="http://schemas.openxmlformats.org/drawingml/2006/main">
                        <a:graphicData uri="http://schemas.microsoft.com/office/word/2010/wordprocessingShape">
                          <wps:wsp>
                            <wps:cNvSpPr txBox="1"/>
                            <wps:spPr>
                              <a:xfrm>
                                <a:off x="0" y="0"/>
                                <a:ext cx="1877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38125" cy="175260"/>
                      <wp:effectExtent l="0" t="0" r="0" b="0"/>
                      <wp:wrapNone/>
                      <wp:docPr id="66" name="Frame66"/>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76250" cy="175260"/>
                      <wp:effectExtent l="0" t="0" r="0" b="0"/>
                      <wp:wrapNone/>
                      <wp:docPr id="67" name="Frame67"/>
                      <a:graphic xmlns:a="http://schemas.openxmlformats.org/drawingml/2006/main">
                        <a:graphicData uri="http://schemas.microsoft.com/office/word/2010/wordprocessingShape">
                          <wps:wsp>
                            <wps:cNvSpPr txBox="1"/>
                            <wps:spPr>
                              <a:xfrm>
                                <a:off x="0" y="0"/>
                                <a:ext cx="4762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3190" cy="175260"/>
                      <wp:effectExtent l="0" t="0" r="0" b="0"/>
                      <wp:wrapNone/>
                      <wp:docPr id="68" name="Frame68"/>
                      <a:graphic xmlns:a="http://schemas.openxmlformats.org/drawingml/2006/main">
                        <a:graphicData uri="http://schemas.microsoft.com/office/word/2010/wordprocessingShape">
                          <wps:wsp>
                            <wps:cNvSpPr txBox="1"/>
                            <wps:spPr>
                              <a:xfrm>
                                <a:off x="0" y="0"/>
                                <a:ext cx="1231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38125" cy="175260"/>
                      <wp:effectExtent l="0" t="0" r="0" b="0"/>
                      <wp:wrapNone/>
                      <wp:docPr id="69" name="Frame69"/>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76250" cy="175260"/>
                      <wp:effectExtent l="0" t="0" r="0" b="0"/>
                      <wp:wrapNone/>
                      <wp:docPr id="70" name="Frame70"/>
                      <a:graphic xmlns:a="http://schemas.openxmlformats.org/drawingml/2006/main">
                        <a:graphicData uri="http://schemas.microsoft.com/office/word/2010/wordprocessingShape">
                          <wps:wsp>
                            <wps:cNvSpPr txBox="1"/>
                            <wps:spPr>
                              <a:xfrm>
                                <a:off x="0" y="0"/>
                                <a:ext cx="4762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97790" cy="175260"/>
                      <wp:effectExtent l="0" t="0" r="0" b="0"/>
                      <wp:wrapNone/>
                      <wp:docPr id="71" name="Frame71"/>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56" w:type="dxa"/>
            <w:tcBorders/>
            <w:shd w:fill="auto" w:val="clear"/>
            <w:vAlign w:val="center"/>
          </w:tcPr>
          <w:p>
            <w:pPr>
              <w:pStyle w:val="TableContents"/>
              <w:spacing w:before="0" w:after="1"/>
              <w:ind w:left="0" w:right="0" w:hanging="0"/>
              <w:rPr>
                <w:color w:val="0563C1"/>
              </w:rPr>
            </w:pPr>
            <w:r>
              <w:rPr>
                <w:color w:val="0563C1"/>
              </w:rPr>
              <w:t>​</w:t>
            </w:r>
          </w:p>
        </w:tc>
        <w:tc>
          <w:tcPr>
            <w:tcW w:w="326" w:type="dxa"/>
            <w:tcBorders/>
            <w:shd w:fill="auto" w:val="clear"/>
            <w:vAlign w:val="center"/>
          </w:tcPr>
          <w:p>
            <w:pPr>
              <w:pStyle w:val="TableContents"/>
              <w:spacing w:before="0" w:after="1"/>
              <w:ind w:left="0" w:right="0" w:hanging="0"/>
              <w:rPr/>
            </w:pPr>
            <w:r>
              <w:rPr/>
              <w:t>​</w:t>
            </w:r>
          </w:p>
        </w:tc>
        <w:tc>
          <w:tcPr>
            <w:tcW w:w="244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54" w:type="dxa"/>
            <w:tcBorders/>
            <w:shd w:fill="auto" w:val="clear"/>
            <w:vAlign w:val="center"/>
          </w:tcPr>
          <w:p>
            <w:pPr>
              <w:pStyle w:val="TableContents"/>
              <w:spacing w:before="0" w:after="1"/>
              <w:ind w:left="0" w:right="0" w:hanging="0"/>
              <w:rPr/>
            </w:pPr>
            <w:r>
              <w:rPr/>
              <w:t>​</w:t>
            </w:r>
          </w:p>
        </w:tc>
      </w:tr>
      <w:tr>
        <w:trPr/>
        <w:tc>
          <w:tcPr>
            <w:tcW w:w="29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2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4" w:type="dxa"/>
            <w:tcBorders/>
            <w:shd w:fill="auto" w:val="clear"/>
            <w:vAlign w:val="center"/>
          </w:tcPr>
          <w:p>
            <w:pPr>
              <w:pStyle w:val="TableContents"/>
              <w:spacing w:before="0" w:after="1"/>
              <w:ind w:left="0" w:right="0" w:hanging="0"/>
              <w:jc w:val="center"/>
              <w:rPr/>
            </w:pPr>
            <w:r>
              <w:rPr/>
              <w:t>​</w:t>
            </w:r>
          </w:p>
        </w:tc>
        <w:tc>
          <w:tcPr>
            <w:tcW w:w="112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before="0" w:after="1"/>
              <w:ind w:left="0" w:right="0" w:hanging="0"/>
              <w:rPr/>
            </w:pPr>
            <w:r>
              <w:rPr/>
              <w:t>​</w:t>
            </w:r>
          </w:p>
        </w:tc>
      </w:tr>
      <w:tr>
        <w:trPr/>
        <w:tc>
          <w:tcPr>
            <w:tcW w:w="29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rPr/>
            </w:pPr>
            <w:r>
              <w:rPr/>
              <w:t>​</w:t>
            </w:r>
          </w:p>
        </w:tc>
        <w:tc>
          <w:tcPr>
            <w:tcW w:w="750" w:type="dxa"/>
            <w:tcBorders/>
            <w:shd w:fill="auto" w:val="clear"/>
            <w:vAlign w:val="center"/>
          </w:tcPr>
          <w:p>
            <w:pPr>
              <w:pStyle w:val="TableContents"/>
              <w:spacing w:before="0" w:after="1"/>
              <w:ind w:left="0" w:right="0" w:hanging="0"/>
              <w:jc w:val="center"/>
              <w:rPr/>
            </w:pPr>
            <w:r>
              <w:rPr/>
              <w:t>​</w:t>
            </w:r>
          </w:p>
        </w:tc>
        <w:tc>
          <w:tcPr>
            <w:tcW w:w="194" w:type="dxa"/>
            <w:tcBorders/>
            <w:shd w:fill="auto" w:val="clear"/>
            <w:vAlign w:val="center"/>
          </w:tcPr>
          <w:p>
            <w:pPr>
              <w:pStyle w:val="TableContents"/>
              <w:spacing w:before="0" w:after="1"/>
              <w:ind w:left="0" w:right="0" w:hanging="0"/>
              <w:jc w:val="center"/>
              <w:rPr/>
            </w:pPr>
            <w:r>
              <w:rPr/>
              <w:t>​</w:t>
            </w:r>
          </w:p>
        </w:tc>
        <w:tc>
          <w:tcPr>
            <w:tcW w:w="375" w:type="dxa"/>
            <w:tcBorders/>
            <w:shd w:fill="auto" w:val="clear"/>
            <w:vAlign w:val="center"/>
          </w:tcPr>
          <w:p>
            <w:pPr>
              <w:pStyle w:val="TableContents"/>
              <w:spacing w:before="0" w:after="1"/>
              <w:ind w:left="0" w:right="0" w:hanging="0"/>
              <w:rPr/>
            </w:pPr>
            <w:r>
              <w:rPr/>
              <w:t>​</w:t>
            </w:r>
          </w:p>
        </w:tc>
        <w:tc>
          <w:tcPr>
            <w:tcW w:w="750" w:type="dxa"/>
            <w:tcBorders/>
            <w:shd w:fill="auto" w:val="clear"/>
            <w:vAlign w:val="center"/>
          </w:tcPr>
          <w:p>
            <w:pPr>
              <w:pStyle w:val="TableContents"/>
              <w:spacing w:before="0" w:after="1"/>
              <w:ind w:left="0" w:right="0" w:hanging="0"/>
              <w:jc w:val="center"/>
              <w:rPr/>
            </w:pPr>
            <w:r>
              <w:rPr/>
              <w:t>​</w:t>
            </w:r>
          </w:p>
        </w:tc>
        <w:tc>
          <w:tcPr>
            <w:tcW w:w="154" w:type="dxa"/>
            <w:tcBorders/>
            <w:shd w:fill="auto" w:val="clear"/>
            <w:vAlign w:val="center"/>
          </w:tcPr>
          <w:p>
            <w:pPr>
              <w:pStyle w:val="TableContents"/>
              <w:spacing w:before="0" w:after="1"/>
              <w:ind w:left="0" w:right="0" w:hanging="0"/>
              <w:rPr/>
            </w:pPr>
            <w:r>
              <w:rPr/>
              <w:t>​</w:t>
            </w:r>
          </w:p>
        </w:tc>
      </w:tr>
      <w:tr>
        <w:trPr/>
        <w:tc>
          <w:tcPr>
            <w:tcW w:w="29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Research and development </w:t>
            </w:r>
          </w:p>
        </w:tc>
        <w:tc>
          <w:tcPr>
            <w:tcW w:w="326" w:type="dxa"/>
            <w:tcBorders/>
            <w:shd w:fill="CCEEFF" w:val="clear"/>
            <w:vAlign w:val="center"/>
          </w:tcPr>
          <w:p>
            <w:pPr>
              <w:pStyle w:val="TableContents"/>
              <w:spacing w:before="0" w:after="1"/>
              <w:ind w:left="0" w:right="0" w:hanging="0"/>
              <w:rPr/>
            </w:pPr>
            <w:r>
              <w:rPr/>
              <w:t>    </w:t>
            </w:r>
          </w:p>
        </w:tc>
        <w:tc>
          <w:tcPr>
            <w:tcW w:w="37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194" w:type="dxa"/>
            <w:tcBorders/>
            <w:shd w:fill="CCEEFF" w:val="clear"/>
            <w:vAlign w:val="center"/>
          </w:tcPr>
          <w:p>
            <w:pPr>
              <w:pStyle w:val="TableContents"/>
              <w:spacing w:before="0" w:after="1"/>
              <w:ind w:left="0" w:right="0" w:hanging="0"/>
              <w:rPr/>
            </w:pPr>
            <w:r>
              <w:rPr/>
              <w:t>​</w:t>
            </w:r>
          </w:p>
        </w:tc>
        <w:tc>
          <w:tcPr>
            <w:tcW w:w="37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154" w:type="dxa"/>
            <w:tcBorders/>
            <w:shd w:fill="CCEEFF" w:val="clear"/>
            <w:vAlign w:val="center"/>
          </w:tcPr>
          <w:p>
            <w:pPr>
              <w:pStyle w:val="TableContents"/>
              <w:spacing w:before="0" w:after="1"/>
              <w:ind w:left="0" w:right="0" w:hanging="0"/>
              <w:rPr/>
            </w:pPr>
            <w:r>
              <w:rPr/>
              <w:t>​</w:t>
            </w:r>
          </w:p>
        </w:tc>
      </w:tr>
      <w:tr>
        <w:trPr/>
        <w:tc>
          <w:tcPr>
            <w:tcW w:w="29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auto" w:val="clear"/>
            <w:vAlign w:val="center"/>
          </w:tcPr>
          <w:p>
            <w:pPr>
              <w:pStyle w:val="TableContents"/>
              <w:spacing w:before="0" w:after="1"/>
              <w:ind w:left="0" w:right="0" w:hanging="0"/>
              <w:rPr/>
            </w:pPr>
            <w:r>
              <w:rPr/>
              <w:t>​</w:t>
            </w:r>
          </w:p>
        </w:tc>
        <w:tc>
          <w:tcPr>
            <w:tcW w:w="37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5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194" w:type="dxa"/>
            <w:tcBorders/>
            <w:shd w:fill="auto" w:val="clear"/>
            <w:vAlign w:val="center"/>
          </w:tcPr>
          <w:p>
            <w:pPr>
              <w:pStyle w:val="TableContents"/>
              <w:spacing w:before="0" w:after="1"/>
              <w:ind w:left="0" w:right="0" w:hanging="0"/>
              <w:rPr/>
            </w:pPr>
            <w:r>
              <w:rPr/>
              <w:t>​</w:t>
            </w:r>
          </w:p>
        </w:tc>
        <w:tc>
          <w:tcPr>
            <w:tcW w:w="37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5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154" w:type="dxa"/>
            <w:tcBorders/>
            <w:shd w:fill="auto" w:val="clear"/>
            <w:vAlign w:val="center"/>
          </w:tcPr>
          <w:p>
            <w:pPr>
              <w:pStyle w:val="TableContents"/>
              <w:spacing w:before="0" w:after="1"/>
              <w:ind w:left="0" w:right="0" w:hanging="0"/>
              <w:rPr/>
            </w:pPr>
            <w:r>
              <w:rPr/>
              <w:t>​</w:t>
            </w:r>
          </w:p>
        </w:tc>
      </w:tr>
      <w:tr>
        <w:trPr/>
        <w:tc>
          <w:tcPr>
            <w:tcW w:w="29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37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194" w:type="dxa"/>
            <w:tcBorders/>
            <w:shd w:fill="CCEEFF" w:val="clear"/>
            <w:vAlign w:val="center"/>
          </w:tcPr>
          <w:p>
            <w:pPr>
              <w:pStyle w:val="TableContents"/>
              <w:spacing w:before="0" w:after="1"/>
              <w:ind w:left="0" w:right="0" w:hanging="0"/>
              <w:rPr/>
            </w:pPr>
            <w:r>
              <w:rPr/>
              <w:t>​</w:t>
            </w:r>
          </w:p>
        </w:tc>
        <w:tc>
          <w:tcPr>
            <w:tcW w:w="37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c>
          <w:tcPr>
            <w:tcW w:w="154"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firstLine="360"/>
        <w:rPr/>
      </w:pPr>
      <w:r>
        <w:rPr/>
        <w: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As of March 31, 2023, $273 of service charges related to the Services Agreement are included in Due to related parties in the Company’s Condensed Consolidated Balance Sheets.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bookmarkStart w:id="561" w:name="Tc_qb3m8ajNfUy2kKxr-fXJ_Q_13_5"/>
      <w:bookmarkStart w:id="562" w:name="Tc_Tr28DLZImEOdICmHQzHrSA_13_2"/>
      <w:bookmarkStart w:id="563" w:name="Tc_OB0wKW9760GfTxjgKDa26Q_13_0"/>
      <w:bookmarkStart w:id="564" w:name="Tc_7sjdR444I0KiurwJLVIDFw_12_0"/>
      <w:bookmarkStart w:id="565" w:name="Tc_eTIijNx5VE-fJ3C06DFM6w_11_5"/>
      <w:bookmarkStart w:id="566" w:name="Tc_UE-zIIZK0k69dZAmp-pxsg_11_2"/>
      <w:bookmarkStart w:id="567" w:name="Tc_1btVqH35okuemP66tBNcfA_11_0"/>
      <w:bookmarkStart w:id="568" w:name="Tc_mJodwDMhgkKovIu3qx1hgg_10_0"/>
      <w:bookmarkStart w:id="569" w:name="Tc__yYEdfA5A0qKPZ6hudCRLg_9_0"/>
      <w:bookmarkStart w:id="570" w:name="Tc_cG3nHUX-PUyKYxp2bvafhQ_8_5"/>
      <w:bookmarkStart w:id="571" w:name="Tc_Tf2s2Gf8Xkmp3Hb5iJvoiQ_8_2"/>
      <w:bookmarkStart w:id="572" w:name="Tc_cKYLffB1YEeelwbnsdW8sw_8_0"/>
      <w:bookmarkStart w:id="573" w:name="Tc_EViBdGjxR0yZ5NaEFSB8xw_7_0"/>
      <w:bookmarkStart w:id="574" w:name="Tc_YJHU6_5Cc0OLVZP3xahTYg_6_5"/>
      <w:bookmarkStart w:id="575" w:name="Tc_5EUXBjT1nEa24c_aIWKqTg_6_2"/>
      <w:bookmarkStart w:id="576" w:name="Tc_BOX3I9ssTUumiaqj_Ba63g_6_0"/>
      <w:bookmarkStart w:id="577" w:name="Tc_3i4quakf40ismGL5tj1vAw_5_0"/>
      <w:bookmarkStart w:id="578" w:name="Tc_KgHsdBN6b0CL6qyw2N3baw_4_0"/>
      <w:bookmarkStart w:id="579" w:name="Tc_Q7HxNAh7REuBRmEQguXFzw_3_5"/>
      <w:bookmarkStart w:id="580" w:name="Tc_8d9esRoMxkGl_HFkWZYKBA_3_2"/>
      <w:bookmarkStart w:id="581" w:name="Tc_4NMimYX11UC0xCQoDUHGUA_3_0"/>
      <w:bookmarkStart w:id="582" w:name="Tc_OKSyd_kOsEaOwaywoTl_8Q_1_5"/>
      <w:bookmarkStart w:id="583" w:name="Tc_JznZQMBT_ECDPEfrvdMGlQ_1_2"/>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r>
        <w:rPr>
          <w:rFonts w:ascii="Times New Roman;Times;serif" w:hAnsi="Times New Roman;Times;serif"/>
          <w:b/>
          <w:sz w:val="20"/>
        </w:rPr>
        <w:t>Note 8. Debt and Credit Facilities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Debt, net of unamortized discounts and financing costs, consists of the following:</w:t>
      </w:r>
    </w:p>
    <w:p>
      <w:pPr>
        <w:pStyle w:val="TextBody"/>
        <w:spacing w:before="0" w:after="0"/>
        <w:ind w:left="0" w:right="0" w:hanging="0"/>
        <w:rPr/>
      </w:pPr>
      <w:r>
        <w:rPr/>
        <w:t>​</w:t>
      </w:r>
    </w:p>
    <w:tbl>
      <w:tblPr>
        <w:tblW w:w="8793" w:type="dxa"/>
        <w:jc w:val="left"/>
        <w:tblInd w:w="0" w:type="dxa"/>
        <w:tblCellMar>
          <w:top w:w="0" w:type="dxa"/>
          <w:left w:w="0" w:type="dxa"/>
          <w:bottom w:w="0" w:type="dxa"/>
          <w:right w:w="0" w:type="dxa"/>
        </w:tblCellMar>
      </w:tblPr>
      <w:tblGrid>
        <w:gridCol w:w="5551"/>
        <w:gridCol w:w="109"/>
        <w:gridCol w:w="268"/>
        <w:gridCol w:w="993"/>
        <w:gridCol w:w="326"/>
        <w:gridCol w:w="314"/>
        <w:gridCol w:w="1232"/>
      </w:tblGrid>
      <w:tr>
        <w:trPr/>
        <w:tc>
          <w:tcPr>
            <w:tcW w:w="5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524885" cy="175260"/>
                      <wp:effectExtent l="0" t="0" r="0" b="0"/>
                      <wp:wrapNone/>
                      <wp:docPr id="72" name="Frame72"/>
                      <a:graphic xmlns:a="http://schemas.openxmlformats.org/drawingml/2006/main">
                        <a:graphicData uri="http://schemas.microsoft.com/office/word/2010/wordprocessingShape">
                          <wps:wsp>
                            <wps:cNvSpPr txBox="1"/>
                            <wps:spPr>
                              <a:xfrm>
                                <a:off x="0" y="0"/>
                                <a:ext cx="3524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70180" cy="175260"/>
                      <wp:effectExtent l="0" t="0" r="0" b="0"/>
                      <wp:wrapNone/>
                      <wp:docPr id="74" name="Frame74"/>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30555" cy="175260"/>
                      <wp:effectExtent l="0" t="0" r="0" b="0"/>
                      <wp:wrapNone/>
                      <wp:docPr id="75" name="Frame75"/>
                      <a:graphic xmlns:a="http://schemas.openxmlformats.org/drawingml/2006/main">
                        <a:graphicData uri="http://schemas.microsoft.com/office/word/2010/wordprocessingShape">
                          <wps:wsp>
                            <wps:cNvSpPr txBox="1"/>
                            <wps:spPr>
                              <a:xfrm>
                                <a:off x="0" y="0"/>
                                <a:ext cx="630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99390" cy="175260"/>
                      <wp:effectExtent l="0" t="0" r="0" b="0"/>
                      <wp:wrapNone/>
                      <wp:docPr id="77" name="Frame77"/>
                      <a:graphic xmlns:a="http://schemas.openxmlformats.org/drawingml/2006/main">
                        <a:graphicData uri="http://schemas.microsoft.com/office/word/2010/wordprocessingShape">
                          <wps:wsp>
                            <wps:cNvSpPr txBox="1"/>
                            <wps:spPr>
                              <a:xfrm>
                                <a:off x="0" y="0"/>
                                <a:ext cx="1993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82320" cy="175260"/>
                      <wp:effectExtent l="0" t="0" r="0" b="0"/>
                      <wp:wrapNone/>
                      <wp:docPr id="78" name="Frame78"/>
                      <a:graphic xmlns:a="http://schemas.openxmlformats.org/drawingml/2006/main">
                        <a:graphicData uri="http://schemas.microsoft.com/office/word/2010/wordprocessingShape">
                          <wps:wsp>
                            <wps:cNvSpPr txBox="1"/>
                            <wps:spPr>
                              <a:xfrm>
                                <a:off x="0" y="0"/>
                                <a:ext cx="7823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auto" w:val="clear"/>
            <w:vAlign w:val="center"/>
          </w:tcPr>
          <w:p>
            <w:pPr>
              <w:pStyle w:val="TableContents"/>
              <w:spacing w:before="0" w:after="0"/>
              <w:ind w:left="0" w:right="0" w:hanging="0"/>
              <w:rPr/>
            </w:pPr>
            <w:r>
              <w:rPr/>
              <w:t>    </w:t>
            </w:r>
          </w:p>
        </w:tc>
        <w:tc>
          <w:tcPr>
            <w:tcW w:w="15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55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9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4" w:type="dxa"/>
            <w:tcBorders/>
            <w:shd w:fill="auto" w:val="clear"/>
            <w:vAlign w:val="center"/>
          </w:tcPr>
          <w:p>
            <w:pPr>
              <w:pStyle w:val="TableContents"/>
              <w:spacing w:before="0" w:after="0"/>
              <w:ind w:left="0" w:right="0" w:hanging="0"/>
              <w:rPr/>
            </w:pPr>
            <w:r>
              <w:rPr/>
              <w:t>​</w:t>
            </w:r>
          </w:p>
        </w:tc>
        <w:tc>
          <w:tcPr>
            <w:tcW w:w="1232" w:type="dxa"/>
            <w:tcBorders/>
            <w:shd w:fill="auto" w:val="clear"/>
            <w:vAlign w:val="center"/>
          </w:tcPr>
          <w:p>
            <w:pPr>
              <w:pStyle w:val="TableContents"/>
              <w:spacing w:before="0" w:after="0"/>
              <w:ind w:left="0" w:right="0" w:hanging="0"/>
              <w:rPr/>
            </w:pPr>
            <w:r>
              <w:rPr/>
              <w:t>​</w:t>
            </w:r>
          </w:p>
        </w:tc>
      </w:tr>
      <w:tr>
        <w:trPr/>
        <w:tc>
          <w:tcPr>
            <w:tcW w:w="55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 Interest Financing Agreement ("RIFA")</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2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r>
      <w:tr>
        <w:trPr/>
        <w:tc>
          <w:tcPr>
            <w:tcW w:w="55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RIFA accrued interest</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9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3,139</w:t>
            </w:r>
          </w:p>
        </w:tc>
        <w:tc>
          <w:tcPr>
            <w:tcW w:w="326" w:type="dxa"/>
            <w:tcBorders/>
            <w:shd w:fill="auto" w:val="clear"/>
            <w:vAlign w:val="center"/>
          </w:tcPr>
          <w:p>
            <w:pPr>
              <w:pStyle w:val="TableContents"/>
              <w:spacing w:before="0" w:after="0"/>
              <w:ind w:left="0" w:right="0" w:hanging="0"/>
              <w:rPr/>
            </w:pPr>
            <w:r>
              <w:rPr/>
              <w:t>​</w:t>
            </w:r>
          </w:p>
        </w:tc>
        <w:tc>
          <w:tcPr>
            <w:tcW w:w="314" w:type="dxa"/>
            <w:tcBorders/>
            <w:shd w:fill="auto" w:val="clear"/>
            <w:vAlign w:val="center"/>
          </w:tcPr>
          <w:p>
            <w:pPr>
              <w:pStyle w:val="TableContents"/>
              <w:spacing w:before="0" w:after="0"/>
              <w:ind w:left="0" w:right="0" w:hanging="0"/>
              <w:rPr/>
            </w:pPr>
            <w:r>
              <w:rPr/>
              <w:t>​</w:t>
            </w:r>
          </w:p>
        </w:tc>
        <w:tc>
          <w:tcPr>
            <w:tcW w:w="12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2,041</w:t>
            </w:r>
          </w:p>
        </w:tc>
      </w:tr>
      <w:tr>
        <w:trPr/>
        <w:tc>
          <w:tcPr>
            <w:tcW w:w="55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RIFA payments</w:t>
            </w:r>
          </w:p>
        </w:tc>
        <w:tc>
          <w:tcPr>
            <w:tcW w:w="109" w:type="dxa"/>
            <w:tcBorders/>
            <w:shd w:fill="CCEEFF" w:val="clear"/>
            <w:vAlign w:val="center"/>
          </w:tcPr>
          <w:p>
            <w:pPr>
              <w:pStyle w:val="TableContents"/>
              <w:spacing w:before="0" w:after="0"/>
              <w:ind w:left="0" w:right="0" w:hanging="0"/>
              <w:rPr/>
            </w:pPr>
            <w:r>
              <w:rPr/>
              <w:t>​</w:t>
            </w:r>
          </w:p>
        </w:tc>
        <w:tc>
          <w:tcPr>
            <w:tcW w:w="26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spacing w:before="0" w:after="0"/>
              <w:ind w:left="0" w:right="0" w:hanging="0"/>
              <w:rPr/>
            </w:pPr>
            <w:r>
              <w:rPr/>
              <w:t>​</w:t>
            </w:r>
          </w:p>
        </w:tc>
        <w:tc>
          <w:tcPr>
            <w:tcW w:w="31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3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55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RIFA debt liability</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33,110</w:t>
            </w:r>
          </w:p>
        </w:tc>
        <w:tc>
          <w:tcPr>
            <w:tcW w:w="326" w:type="dxa"/>
            <w:tcBorders/>
            <w:shd w:fill="auto" w:val="clear"/>
            <w:vAlign w:val="center"/>
          </w:tcPr>
          <w:p>
            <w:pPr>
              <w:pStyle w:val="TableContents"/>
              <w:spacing w:before="0" w:after="0"/>
              <w:ind w:left="0" w:right="0" w:hanging="0"/>
              <w:rPr/>
            </w:pPr>
            <w:r>
              <w:rPr/>
              <w:t>​</w:t>
            </w:r>
          </w:p>
        </w:tc>
        <w:tc>
          <w:tcPr>
            <w:tcW w:w="3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32,031</w:t>
            </w:r>
          </w:p>
        </w:tc>
      </w:tr>
      <w:tr>
        <w:trPr/>
        <w:tc>
          <w:tcPr>
            <w:tcW w:w="55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Estimated portion of RIFA debt liability to be paid within one-year</w:t>
            </w:r>
          </w:p>
        </w:tc>
        <w:tc>
          <w:tcPr>
            <w:tcW w:w="109" w:type="dxa"/>
            <w:tcBorders/>
            <w:shd w:fill="CCEEFF" w:val="clear"/>
            <w:vAlign w:val="center"/>
          </w:tcPr>
          <w:p>
            <w:pPr>
              <w:pStyle w:val="TableContents"/>
              <w:spacing w:before="0" w:after="0"/>
              <w:ind w:left="0" w:right="0" w:hanging="0"/>
              <w:rPr/>
            </w:pPr>
            <w:r>
              <w:rPr/>
              <w:t>​</w:t>
            </w:r>
          </w:p>
        </w:tc>
        <w:tc>
          <w:tcPr>
            <w:tcW w:w="26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326" w:type="dxa"/>
            <w:tcBorders/>
            <w:shd w:fill="CCEEFF" w:val="clear"/>
            <w:vAlign w:val="center"/>
          </w:tcPr>
          <w:p>
            <w:pPr>
              <w:pStyle w:val="TableContents"/>
              <w:spacing w:before="0" w:after="0"/>
              <w:ind w:left="0" w:right="0" w:hanging="0"/>
              <w:rPr/>
            </w:pPr>
            <w:r>
              <w:rPr/>
              <w:t>​</w:t>
            </w:r>
          </w:p>
        </w:tc>
        <w:tc>
          <w:tcPr>
            <w:tcW w:w="31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3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(1,401)</w:t>
            </w:r>
          </w:p>
        </w:tc>
      </w:tr>
      <w:tr>
        <w:trPr/>
        <w:tc>
          <w:tcPr>
            <w:tcW w:w="55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RIFA long-term debt liability</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31,910</w:t>
            </w:r>
          </w:p>
        </w:tc>
        <w:tc>
          <w:tcPr>
            <w:tcW w:w="326" w:type="dxa"/>
            <w:tcBorders/>
            <w:shd w:fill="auto" w:val="clear"/>
            <w:vAlign w:val="center"/>
          </w:tcPr>
          <w:p>
            <w:pPr>
              <w:pStyle w:val="TableContents"/>
              <w:spacing w:before="0" w:after="0"/>
              <w:ind w:left="0" w:right="0" w:hanging="0"/>
              <w:rPr/>
            </w:pPr>
            <w:r>
              <w:rPr/>
              <w:t>​</w:t>
            </w:r>
          </w:p>
        </w:tc>
        <w:tc>
          <w:tcPr>
            <w:tcW w:w="3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30,630</w:t>
            </w:r>
          </w:p>
        </w:tc>
      </w:tr>
      <w:tr>
        <w:trPr/>
        <w:tc>
          <w:tcPr>
            <w:tcW w:w="55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Credit Agreement and Guaranty</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9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70,000</w:t>
            </w:r>
          </w:p>
        </w:tc>
        <w:tc>
          <w:tcPr>
            <w:tcW w:w="32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pPr>
            <w:r>
              <w:rPr/>
              <w:t>​</w:t>
            </w:r>
          </w:p>
        </w:tc>
        <w:tc>
          <w:tcPr>
            <w:tcW w:w="12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70,000</w:t>
            </w:r>
          </w:p>
        </w:tc>
      </w:tr>
      <w:tr>
        <w:trPr/>
        <w:tc>
          <w:tcPr>
            <w:tcW w:w="55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Payable-in-kind interest on Credit Agreement and Guaranty</w:t>
            </w:r>
          </w:p>
        </w:tc>
        <w:tc>
          <w:tcPr>
            <w:tcW w:w="109" w:type="dxa"/>
            <w:tcBorders/>
            <w:shd w:fill="auto" w:val="clear"/>
            <w:vAlign w:val="center"/>
          </w:tcPr>
          <w:p>
            <w:pPr>
              <w:pStyle w:val="TableContents"/>
              <w:spacing w:before="0" w:after="0"/>
              <w:ind w:left="0" w:right="0" w:hanging="0"/>
              <w:rPr/>
            </w:pPr>
            <w:r>
              <w:rPr/>
              <w:t>​</w:t>
            </w:r>
          </w:p>
        </w:tc>
        <w:tc>
          <w:tcPr>
            <w:tcW w:w="26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1,205</w:t>
            </w:r>
          </w:p>
        </w:tc>
        <w:tc>
          <w:tcPr>
            <w:tcW w:w="326" w:type="dxa"/>
            <w:tcBorders/>
            <w:shd w:fill="auto" w:val="clear"/>
            <w:vAlign w:val="center"/>
          </w:tcPr>
          <w:p>
            <w:pPr>
              <w:pStyle w:val="TableContents"/>
              <w:spacing w:before="0" w:after="0"/>
              <w:ind w:left="0" w:right="0" w:hanging="0"/>
              <w:rPr/>
            </w:pPr>
            <w:r>
              <w:rPr/>
              <w:t>​</w:t>
            </w:r>
          </w:p>
        </w:tc>
        <w:tc>
          <w:tcPr>
            <w:tcW w:w="31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3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807</w:t>
            </w:r>
          </w:p>
        </w:tc>
      </w:tr>
      <w:tr>
        <w:trPr/>
        <w:tc>
          <w:tcPr>
            <w:tcW w:w="55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long-term debt liability</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103,115</w:t>
            </w:r>
          </w:p>
        </w:tc>
        <w:tc>
          <w:tcPr>
            <w:tcW w:w="326" w:type="dxa"/>
            <w:tcBorders/>
            <w:shd w:fill="CCEEFF" w:val="clear"/>
            <w:vAlign w:val="center"/>
          </w:tcPr>
          <w:p>
            <w:pPr>
              <w:pStyle w:val="TableContents"/>
              <w:spacing w:before="0" w:after="0"/>
              <w:ind w:left="0" w:right="0" w:hanging="0"/>
              <w:rPr/>
            </w:pPr>
            <w:r>
              <w:rPr/>
              <w:t>​</w:t>
            </w:r>
          </w:p>
        </w:tc>
        <w:tc>
          <w:tcPr>
            <w:tcW w:w="3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101,437</w:t>
            </w:r>
          </w:p>
        </w:tc>
      </w:tr>
      <w:tr>
        <w:trPr/>
        <w:tc>
          <w:tcPr>
            <w:tcW w:w="55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Unamortized debt discounts and issuance costs</w:t>
            </w:r>
          </w:p>
        </w:tc>
        <w:tc>
          <w:tcPr>
            <w:tcW w:w="109" w:type="dxa"/>
            <w:tcBorders/>
            <w:shd w:fill="auto" w:val="clear"/>
            <w:vAlign w:val="center"/>
          </w:tcPr>
          <w:p>
            <w:pPr>
              <w:pStyle w:val="TableContents"/>
              <w:spacing w:before="0" w:after="0"/>
              <w:ind w:left="0" w:right="0" w:hanging="0"/>
              <w:rPr/>
            </w:pPr>
            <w:r>
              <w:rPr/>
              <w:t>​</w:t>
            </w:r>
          </w:p>
        </w:tc>
        <w:tc>
          <w:tcPr>
            <w:tcW w:w="26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(8,053)</w:t>
            </w:r>
          </w:p>
        </w:tc>
        <w:tc>
          <w:tcPr>
            <w:tcW w:w="326" w:type="dxa"/>
            <w:tcBorders/>
            <w:shd w:fill="auto" w:val="clear"/>
            <w:vAlign w:val="center"/>
          </w:tcPr>
          <w:p>
            <w:pPr>
              <w:pStyle w:val="TableContents"/>
              <w:spacing w:before="0" w:after="0"/>
              <w:ind w:left="0" w:right="0" w:hanging="0"/>
              <w:rPr/>
            </w:pPr>
            <w:r>
              <w:rPr/>
              <w:t>​</w:t>
            </w:r>
          </w:p>
        </w:tc>
        <w:tc>
          <w:tcPr>
            <w:tcW w:w="31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3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(8,386)</w:t>
            </w:r>
          </w:p>
        </w:tc>
      </w:tr>
      <w:tr>
        <w:trPr/>
        <w:tc>
          <w:tcPr>
            <w:tcW w:w="55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CCEEFF" w:val="clear"/>
            <w:vAlign w:val="center"/>
          </w:tcPr>
          <w:p>
            <w:pPr>
              <w:pStyle w:val="TableContents"/>
              <w:spacing w:before="0" w:after="0"/>
              <w:ind w:left="0" w:right="0" w:hanging="0"/>
              <w:rPr/>
            </w:pPr>
            <w:r>
              <w:rPr/>
              <w:t>​</w:t>
            </w:r>
          </w:p>
        </w:tc>
        <w:tc>
          <w:tcPr>
            <w:tcW w:w="26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95,062</w:t>
            </w:r>
          </w:p>
        </w:tc>
        <w:tc>
          <w:tcPr>
            <w:tcW w:w="326" w:type="dxa"/>
            <w:tcBorders/>
            <w:shd w:fill="CCEEFF" w:val="clear"/>
            <w:vAlign w:val="center"/>
          </w:tcPr>
          <w:p>
            <w:pPr>
              <w:pStyle w:val="TableContents"/>
              <w:spacing w:before="0" w:after="0"/>
              <w:ind w:left="0" w:right="0" w:hanging="0"/>
              <w:rPr/>
            </w:pPr>
            <w:r>
              <w:rPr/>
              <w:t>​</w:t>
            </w:r>
          </w:p>
        </w:tc>
        <w:tc>
          <w:tcPr>
            <w:tcW w:w="31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93,051</w:t>
            </w:r>
          </w:p>
        </w:tc>
      </w:tr>
    </w:tbl>
    <w:p>
      <w:pPr>
        <w:pStyle w:val="TextBody"/>
        <w:spacing w:before="0" w:after="0"/>
        <w:ind w:left="0" w:right="0" w:hanging="0"/>
        <w:rPr/>
      </w:pPr>
      <w:r>
        <w:rPr/>
        <w: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On April 19, 2022 (the “Effective Date”), the Company entered into two financing agreements: (i)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(ii) a Revenue Interest Financing Agreement (as amended from time to time, the “RIFA”; and together with the Credit Agreement, the “OFA Facilities”) by and among the Company, the purchasers party thereto (the “Purchasers”) and OFA as administrative agent. Under the OFA Facilities, the Lenders and the Purchasers agreed to, in aggregate between the two OFA Facilities, provide up to $260,000 in gross funding to support the Company’s commercial activities of IGALMI sublingual film. In addition, the OFA Facilities are intended to support the expansion of clinical development efforts of BXCL501, which includes a Phase 3 program for the acute treatment of agitation in patients with Alzheimer’s disease, and for general corporate purposes. The Lenders and Purchasers are comprised of affiliates of Oaktree Capital Management, L.P. and Qatar Investment Authority.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 summary of the OFA Facilities is provided below.</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Credit Agreement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Credit Agreement provides up to $135,000 in senior secured term loans, of which the initial Tranche A of $70,000 was funded on April 28, 2022, and the remaining tranches may be borrowed at the Company’s option prior to December 31, 2024, subject to satisfaction of certain conditions, including regulatory and financial milestones. Tranche B of the Credit Agreement is $35,000 and is available upon satisfaction of certain conditions, including receipt of certain regulatory and financial milestones. Tranche C of the Credit Agreement is $30,000 and is available upon satisfaction of certain conditions, including specified minimum net sales of the Company attributable to sales of BXCL501 for a trailing consecutive 12-month period. As of March 31, 2023, $65,000 remained available under the Credit Agreement, subject to achievement of the specified conditions and milestones.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loans under the Credit Agreement do not amortize and mature on the fifth anniversary of the Effective Date; provided that the Company may, at its option, extend the maturity date to the sixth anniversary if, prior to December 31, 2024, the Company receives and satisfies certain conditions including receipt of certain regulatory and financial milestones. Borrowings under the Credit Agreement are issued at a 200-basis point original issue discount and bear interest at a fixed annual rate of 10.25%, payable quarterly. Of such interest, 225-basis points per annum is, at the Company’s option, payable in kind by capitalizing and adding such interest to the outstanding principal amount of loans from the first payment date on which such interest is owed through, and including, the third anniversary of such payment date, unless, with respect to any payment date, the Company elects to pay all or a portion of such interest in cash. The Company is required to pay a ticking fee equal to 0.75% per annum on the undrawn amount of the commitments, payable quarterly commencing 120 days after the funding of the Tranche A term loan through the termination of the commitments, which is expensed as incurred and recognized as Interest expense in the Condensed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Consolidated Statements of Operations. The Company may voluntarily prepay the Credit Agreement at any time subject to a prepayment fee.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Company’s obligations under the Credit Agreement are guaranteed by BTI’s existing and subsequently acquired or organized subsidiaries, subject to certain exceptions. BTI’s obligations under the Credit Agreement and the related guarantees thereunder are secured, subject to customary permitted liens and other agreed upon exceptions, by (i) a pledge of all of the equity interests of all of the Company’s existing and any future direct subsidiaries, and (ii) a perfected security interest in all of its and the guarantors’ tangible and intangible assets (except that the guarantees provided by the BXCL701 Subsidiaries (as defined below) are unsecured).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The Company must also comply with certain financial covenants, including (i) maintenance of cash or permitted cash equivalent investments in accounts controlled by OFA for the Lenders, of at least (a) $15,000 from the Effective Date until the date on which the second tranche of loans are funded (the “Step-Up Date”) and (b) $20,000 from and after the Step-Up Date, provided, in the case of (a) and (b), that following any Permitted BXCL701 Release Event (as defined below), such amount will increase by $12,500, and following such time as unaffiliated third parties hold ownership of at least 30% of the equity interests in the BXCL701 Subsidiaries (as defined below), such amount will increase by an additional $5,000 (provided, that such amount will in no event exceed 50% of the aggregate amount of loans outstanding at any time); and (ii) a minimum revenue test, measured quarterly beginning with the Company’s fiscal quarter ending on December 31, 2023 (such six-month period the “Revenue Covenant Measurement Period”), that requires it and its subsidiaries’ consolidated net revenue for the six consecutive month period ending on the last day of each such fiscal quarter to not be less than a minimum revenue amount specified in the Credit Agreement (such testing date, the “Revenue Covenant Measurement Testing Date” and the covenant described in this clause (ii) the “Revenue Covenant”). The Company’s failure to comply with the financial covenants will result in an event of default, subject to certain cure rights with respect to the Revenue Covenant. If, as of a Revenue Covenant Measurement Testing Date, the Company’s revenue for the applicable Revenue Covenant Measurement Period is less than the minimum revenue amount specified for the applicable period then required under the Revenue Covenant, the Company would have a right to cure such shortfall by making a revenue cure payment to the Lenders in an amount equal to the difference between such minimum required revenue amount and the Company’s actual revenues for such Revenue Covenant Measurement Period, such payment to not be less than $1,000. If paid, the Company will be deemed to have complied with the Revenue Covenant as of such Revenue Covenant Measurement Testing Date. Any such payment will be applied to the prepayment of the loans under the Credit Agreement. For the Revenue Covenant Measurement Testing Dates ending December 31, 2023 and March 31, 2024, failure to satisfy the Revenue Covenant could result in a revenue cure payment of up to $7,657 and $10,636, respectively.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Notwithstanding the foregoing, the Credit Agreement permits OnkosXcel (together with OnkosXcel Employee Holdings, LLC (“Employee Holdings”), a subsidiary of BTI, and their respective subsidiaries, the “BXCL701 Subsidiaries”) to receive third-party investment or transfer all or substantially all of their assets to an unaffiliated third-party, in each case subject to terms and conditions set forth in the Credit Agreement, including the escrow of certain proceeds received by BTI and its subsidiaries (other than the BXCL701 Subsidiaries) in respect of these disposition events and, under circumstances set forth in the Credit Agreement, the mandatory prepayment of such escrowed amounts. The Company’s equity interests in the BXCL701 Subsidiaries have been pledged in support of its obligations under the Credit Agreement, and the BXCL701 Subsidiaries have provided direct guarantees of BTI’s obligations under the Credit Agreement on an unsecured basis. However, the pledge, guarantee and other obligations of the BXCL701 Subsidiaries under the Credit Agreement will be released upon certain agreed upon events (“Permitted BXCL701 Release Events”), including an initial public offering by the BXCL701 Subsidiaries or the ownership by unaffiliated third parties of at least 20% of the equity interests in the BXCL701 Subsidiaries.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Credit Agreement contains events of default that are customary for financings of this type relating to, among other things, payment defaults, breach of covenants, breach of representations and warranties, cross default to material indebtedness, bankruptcy-related defaults, judgment defaults, breach of the financial covenants described above, and the occurrence of certain change of control events. In certain circumstances, events of default are subject to customary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cure periods. Following an event of default and any applicable cure period, the Lenders will have the right upon notice to terminate any undrawn commitments and may accelerate all amounts outstanding under the Credit Agreement, in addition to other remedies available to them as the Company’s secured creditors.</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Revenue Interest Financing Agreement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RIFA provides up to $120,000 in financing in exchange for a capped revenue interest on net sales of IGALMI, and other future BXCL501 products, if any, that receive regulatory approval for sale. The initial Tranche A of $30,000 was funded on July 8, 2022, and the remaining tranches may be borrowed at the Company’s option prior to December 31, 2024, subject to satisfaction of certain conditions, including certain regulatory, patent, and financial milestones. The effective interest rate on the RIFA as of March 31, 2023, was approximately 14%.</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Under the terms of the RIFA, the Purchasers will receive tiered revenue interest payments on U.S. net sales of IGALMI, and other future BXCL501 products, if any, that receive regulatory approval for sale, equal to a royalty ranging from 0.375% to 7.750% of net sales of IGALMI, and other future BXCL501 products, if any, approved for sale in the U.S., subject to a hard cap equal to 1.75x the total amount funded. In addition, if the conditions to the second tranche of the financing provided under the RIFA have been met, once payments equal to the hard cap have been received by the Purchasers, the Company will be required to make revenue interest payments equal to a flat 0.375% royalty on U.S. net sales of IGALMI, and other future BXCL501 products, if any, that receive regulatory approval for sale, through and including March 31, 2036 (the “Tail Royalty”). The Company is also required to make certain additional payments to the Purchasers from time to time to ensure that the aggregate amount of payments received by the Purchasers under the RIFA are at least equal to certain agreed upon minimum levels as of certain specified dates, subject to terms and conditions set forth in the RIFA. Revenue interest payments due under the RIFA are payable quarterly based on net sales.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Any time after the initial funding of the RIFA, BTI has the right (the “BTI Call Option”), but not the obligation, to buy out the Purchasers’ interests in the revenue interest payments at an agreed upon repurchase price. The BTI Call Option can be exercised in year one, two, three and thereafter at a multiple of the Purchasers invested capital of 1.225x,1.375x, 1.525x and 2.25x, respectively. The Purchasers will not be entitled to any Tail Royalty if the BTI Call Option is exercised before the third anniversary of the Effective Date.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Company’s obligations under the RIFA are secured, subject to customary permitted liens and other agreed upon exceptions and subject to an intercreditor agreement between OFA for the Credit Agreement and RIFA, by a perfected security interest in (i) accounts receivable arising from net sales of BXCL501 products in the U.S. and one or more segregated bank accounts maintained for the purpose of receiving payments in respect of such accounts receivable, (ii) intellectual property that is claiming or covering BXCL501 itself or any method of using, making or manufacturing BXCL501 and (iii) regulatory approvals, clinical data, and all other assets that underlie BXCL501.</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RIFA contains customary representations and warranties and certain restrictions on the Company’s ability to incur indebtedness and grant liens on intellectual property related to BXCL501. In addition, the RIFA provides that if certain events occur, including certain bankruptcy events, failure to make payments, a change of control, an out-license or sale of all of the rights in and to BXCL501 in the U.S., in each case except a permitted licensing transaction (as defined in the RIFA) and, subject to applicable cure periods, material breach of the covenants in the RIFA, OFA, at the direction of the Purchasers, may require the Company to repurchase the Purchasers’ interests in the revenue interest payments at an agreed upon repurchase price.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Tranche B and C of the RIFA are each $45,000 and are available upon satisfaction of certain conditions, including receipt of certain regulatory and patent-related milestones and specified minimum net sales of BXCL501 during any consecutive 12-month period. As of March 31, 2023, $90,000 remained available under the RIFA, subject to achievement of the specified conditions and milestones.</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Warrants and Equity Investment Right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In connection with the Credit Agreement, on the Effective Date, the Company granted warrants to the Lenders to purchase up to 278 shares of its common stock (the “BTI Warrants”) at an exercise price of $20.04 per share. The BTI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bookmarkStart w:id="584" w:name="Tc_D6H4AvkGGkiHdE5lr6w7yg_7_4"/>
      <w:bookmarkStart w:id="585" w:name="Tc_SafWfN7NBU-pGRf_rWNeSw_7_1"/>
      <w:bookmarkStart w:id="586" w:name="Tc_BezleCqGfkSQoPkUFfmvAw_7_0"/>
      <w:bookmarkStart w:id="587" w:name="Tc_F2NHBlkFeUS3ExszjlocjA_6_5"/>
      <w:bookmarkStart w:id="588" w:name="Tc_V_bOAbdE802wYRhU7ffTPA_6_0"/>
      <w:bookmarkStart w:id="589" w:name="Tc_LRLNdpUj9UiK_dLHptCFAA_5_4"/>
      <w:bookmarkStart w:id="590" w:name="Tc_tYv2GO9kFk-KPpvNDajCPw_5_1"/>
      <w:bookmarkStart w:id="591" w:name="Tc_MCynmHCVqk6lTqJG0xd2UA_5_0"/>
      <w:bookmarkStart w:id="592" w:name="Tc_o-d_b2LRl0Omfj-_dRMahQ_3_4"/>
      <w:bookmarkStart w:id="593" w:name="Tc_-ZG7sYvxiEyBBX6oTrRJvg_3_1"/>
      <w:bookmarkStart w:id="594" w:name="Tc_dOSVDO9ciUqCVJ_gAb3prA_2_1"/>
      <w:bookmarkStart w:id="595" w:name="Tc_NufnngE9A063DWk2cCSD2Q_1_1"/>
      <w:bookmarkStart w:id="596" w:name="Tc_IKT-_QqMI0WMEG9QSpE4OQ_8_2"/>
      <w:bookmarkStart w:id="597" w:name="Tc_17F865HbTkuZISrKDxgmZA_8_0"/>
      <w:bookmarkStart w:id="598" w:name="Tc_K8ETJI2ifUyV2eciTD3RJg_7_2"/>
      <w:bookmarkStart w:id="599" w:name="Tc_d9KYKNLCfky--aGfBZRcZg_7_0"/>
      <w:bookmarkStart w:id="600" w:name="Tc_oeNvtKs3m0qDhrafQfw_iQ_6_2"/>
      <w:bookmarkStart w:id="601" w:name="Tc_tagKieobgkSUDNNGt52TnA_6_0"/>
      <w:bookmarkStart w:id="602" w:name="Tc_qciMYvo2gEOINqSQG10GVQ_5_2"/>
      <w:bookmarkStart w:id="603" w:name="Tc_dRqBzGPbq0y6Hzb1rb_Arg_5_0"/>
      <w:bookmarkStart w:id="604" w:name="Tc_-DeJ4kag3kWmt6PTTC64Tg_4_3"/>
      <w:bookmarkStart w:id="605" w:name="Tc_beQIKH4UDkiB8NQc3tuxUA_4_2"/>
      <w:bookmarkStart w:id="606" w:name="Tc_WHm0zEcx70WdepF4lVPLkA_4_0"/>
      <w:bookmarkStart w:id="607" w:name="Tc_NcXT4L1m8kWg6EpRYaWagQ_3_3"/>
      <w:bookmarkStart w:id="608" w:name="Tc_81gkYDifR0qA7_ZndHZNdQ_3_2"/>
      <w:bookmarkStart w:id="609" w:name="Tc_45nWUHx3hkyueOSZ_TaPXA_3_0"/>
      <w:bookmarkStart w:id="610" w:name="Tc_-iP0Sad1Y0yjaOOTTCgFfg_1_2"/>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r>
        <w:rPr>
          <w:rFonts w:ascii="Times New Roman;Times;serif" w:hAnsi="Times New Roman;Times;serif"/>
          <w:sz w:val="20"/>
        </w:rPr>
        <w:t>Warrants will expire on April 19, 2029, are freely transferable and may be net exercised at the holder’s election. In addition, pursuant to the Credit Agreement, the Lenders have the right to purchase shares of the Company’s common stock after the Effective Date,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BTI entered into a registration rights agreement with the Lenders and filed a registration statement on Form S-3 to register the shares issuable upon exercise of the BTI Warrants and, if issued, the shares related to the Equity Investment Right, for resale. The maximum shares of BTI common stock issuable under the BTI Warrants and Lenders’ Equity Investment Right is 5,593.</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As part of the Credit Agreement, OnkosXcel granted warrants to the Lenders to purchase 175 individual limited liability company units (which number of units is not in thousands; referred to herein as the “OnkosXcel Warrants”).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Maturities of long-term debt, excluding the impacts of any mandatory payments pursuant to the Revenue Covenant or to meet minimum royalty levels, are expected to be as follows:</w:t>
      </w:r>
    </w:p>
    <w:p>
      <w:pPr>
        <w:pStyle w:val="TextBody"/>
        <w:spacing w:before="0" w:after="0"/>
        <w:ind w:left="0" w:right="0" w:hanging="0"/>
        <w:rPr/>
      </w:pPr>
      <w:r>
        <w:rPr/>
        <w:t>​</w:t>
      </w:r>
    </w:p>
    <w:tbl>
      <w:tblPr>
        <w:tblW w:w="2687" w:type="dxa"/>
        <w:jc w:val="left"/>
        <w:tblInd w:w="0" w:type="dxa"/>
        <w:tblCellMar>
          <w:top w:w="0" w:type="dxa"/>
          <w:left w:w="0" w:type="dxa"/>
          <w:bottom w:w="0" w:type="dxa"/>
          <w:right w:w="0" w:type="dxa"/>
        </w:tblCellMar>
      </w:tblPr>
      <w:tblGrid>
        <w:gridCol w:w="946"/>
        <w:gridCol w:w="109"/>
        <w:gridCol w:w="299"/>
        <w:gridCol w:w="962"/>
        <w:gridCol w:w="371"/>
      </w:tblGrid>
      <w:tr>
        <w:trPr/>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00710" cy="175260"/>
                      <wp:effectExtent l="0" t="0" r="0" b="0"/>
                      <wp:wrapNone/>
                      <wp:docPr id="79" name="Frame79"/>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0" name="Frame8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89865" cy="175260"/>
                      <wp:effectExtent l="0" t="0" r="0" b="0"/>
                      <wp:wrapNone/>
                      <wp:docPr id="81" name="Frame81"/>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10870" cy="175260"/>
                      <wp:effectExtent l="0" t="0" r="0" b="0"/>
                      <wp:wrapNone/>
                      <wp:docPr id="82" name="Frame82"/>
                      <a:graphic xmlns:a="http://schemas.openxmlformats.org/drawingml/2006/main">
                        <a:graphicData uri="http://schemas.microsoft.com/office/word/2010/wordprocessingShape">
                          <wps:wsp>
                            <wps:cNvSpPr txBox="1"/>
                            <wps:spPr>
                              <a:xfrm>
                                <a:off x="0" y="0"/>
                                <a:ext cx="610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35585" cy="175260"/>
                      <wp:effectExtent l="0" t="0" r="0" b="0"/>
                      <wp:wrapNone/>
                      <wp:docPr id="83" name="Frame83"/>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9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71" w:type="dxa"/>
            <w:tcBorders/>
            <w:shd w:fill="auto" w:val="clear"/>
            <w:vAlign w:val="center"/>
          </w:tcPr>
          <w:p>
            <w:pPr>
              <w:pStyle w:val="TableContents"/>
              <w:spacing w:before="0" w:after="0"/>
              <w:ind w:left="0" w:right="0" w:hanging="0"/>
              <w:rPr/>
            </w:pPr>
            <w:r>
              <w:rPr/>
              <w:t>    </w:t>
            </w:r>
          </w:p>
        </w:tc>
      </w:tr>
      <w:tr>
        <w:trPr/>
        <w:tc>
          <w:tcPr>
            <w:tcW w:w="9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962"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109"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spacing w:before="0" w:after="0"/>
              <w:ind w:left="0" w:right="0" w:hanging="0"/>
              <w:jc w:val="right"/>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109"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2" w:type="dxa"/>
            <w:tcBorders/>
            <w:shd w:fill="auto" w:val="clear"/>
            <w:vAlign w:val="center"/>
          </w:tcPr>
          <w:p>
            <w:pPr>
              <w:pStyle w:val="TableContents"/>
              <w:spacing w:before="0" w:after="0"/>
              <w:ind w:left="0" w:right="0" w:hanging="0"/>
              <w:jc w:val="right"/>
              <w:rPr/>
            </w:pPr>
            <w:r>
              <w:rPr/>
              <w:t>—</w:t>
            </w:r>
          </w:p>
        </w:tc>
        <w:tc>
          <w:tcPr>
            <w:tcW w:w="371" w:type="dxa"/>
            <w:tcBorders/>
            <w:shd w:fill="auto" w:val="clear"/>
            <w:vAlign w:val="center"/>
          </w:tcPr>
          <w:p>
            <w:pPr>
              <w:pStyle w:val="TableContents"/>
              <w:spacing w:before="0" w:after="0"/>
              <w:ind w:left="0" w:right="0" w:hanging="0"/>
              <w:rPr/>
            </w:pPr>
            <w:r>
              <w:rPr/>
              <w:t>​</w:t>
            </w:r>
          </w:p>
        </w:tc>
      </w:tr>
      <w:tr>
        <w:trPr/>
        <w:tc>
          <w:tcPr>
            <w:tcW w:w="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1,254</w:t>
            </w:r>
          </w:p>
        </w:tc>
        <w:tc>
          <w:tcPr>
            <w:tcW w:w="371" w:type="dxa"/>
            <w:tcBorders/>
            <w:shd w:fill="CCEEFF" w:val="clear"/>
            <w:vAlign w:val="center"/>
          </w:tcPr>
          <w:p>
            <w:pPr>
              <w:pStyle w:val="TableContents"/>
              <w:spacing w:before="0" w:after="0"/>
              <w:ind w:left="0" w:right="0" w:hanging="0"/>
              <w:rPr/>
            </w:pPr>
            <w:r>
              <w:rPr/>
              <w:t>​</w:t>
            </w:r>
          </w:p>
        </w:tc>
      </w:tr>
      <w:tr>
        <w:trPr/>
        <w:tc>
          <w:tcPr>
            <w:tcW w:w="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109"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10,479</w:t>
            </w:r>
          </w:p>
        </w:tc>
        <w:tc>
          <w:tcPr>
            <w:tcW w:w="371" w:type="dxa"/>
            <w:tcBorders/>
            <w:shd w:fill="auto" w:val="clear"/>
            <w:vAlign w:val="center"/>
          </w:tcPr>
          <w:p>
            <w:pPr>
              <w:pStyle w:val="TableContents"/>
              <w:spacing w:before="0" w:after="0"/>
              <w:ind w:left="0" w:right="0" w:hanging="0"/>
              <w:rPr/>
            </w:pPr>
            <w:r>
              <w:rPr/>
              <w:t>​</w:t>
            </w:r>
          </w:p>
        </w:tc>
      </w:tr>
      <w:tr>
        <w:trPr/>
        <w:tc>
          <w:tcPr>
            <w:tcW w:w="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86,094</w:t>
            </w:r>
          </w:p>
        </w:tc>
        <w:tc>
          <w:tcPr>
            <w:tcW w:w="371" w:type="dxa"/>
            <w:tcBorders/>
            <w:shd w:fill="CCEEFF" w:val="clear"/>
            <w:vAlign w:val="center"/>
          </w:tcPr>
          <w:p>
            <w:pPr>
              <w:pStyle w:val="TableContents"/>
              <w:spacing w:before="0" w:after="0"/>
              <w:ind w:left="0" w:right="0" w:hanging="0"/>
              <w:rPr/>
            </w:pPr>
            <w:r>
              <w:rPr/>
              <w:t>​</w:t>
            </w:r>
          </w:p>
        </w:tc>
      </w:tr>
      <w:tr>
        <w:trPr/>
        <w:tc>
          <w:tcPr>
            <w:tcW w:w="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109"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5,288</w:t>
            </w:r>
          </w:p>
        </w:tc>
        <w:tc>
          <w:tcPr>
            <w:tcW w:w="37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firstLine="360"/>
        <w:rPr/>
      </w:pPr>
      <w:r>
        <w:rPr/>
        <w: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Interest expense was as follows:</w:t>
      </w:r>
    </w:p>
    <w:p>
      <w:pPr>
        <w:pStyle w:val="TextBody"/>
        <w:spacing w:before="0" w:after="0"/>
        <w:ind w:left="0" w:right="0" w:hanging="0"/>
        <w:rPr/>
      </w:pPr>
      <w:r>
        <w:rPr/>
        <w:t>​</w:t>
      </w:r>
    </w:p>
    <w:tbl>
      <w:tblPr>
        <w:tblW w:w="6994" w:type="dxa"/>
        <w:jc w:val="left"/>
        <w:tblInd w:w="0" w:type="dxa"/>
        <w:tblCellMar>
          <w:top w:w="0" w:type="dxa"/>
          <w:left w:w="0" w:type="dxa"/>
          <w:bottom w:w="0" w:type="dxa"/>
          <w:right w:w="0" w:type="dxa"/>
        </w:tblCellMar>
      </w:tblPr>
      <w:tblGrid>
        <w:gridCol w:w="5191"/>
        <w:gridCol w:w="240"/>
        <w:gridCol w:w="651"/>
        <w:gridCol w:w="124"/>
        <w:gridCol w:w="240"/>
        <w:gridCol w:w="394"/>
        <w:gridCol w:w="154"/>
      </w:tblGrid>
      <w:tr>
        <w:trPr/>
        <w:tc>
          <w:tcPr>
            <w:tcW w:w="5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296285" cy="175260"/>
                      <wp:effectExtent l="0" t="0" r="0" b="0"/>
                      <wp:wrapNone/>
                      <wp:docPr id="84" name="Frame84"/>
                      <a:graphic xmlns:a="http://schemas.openxmlformats.org/drawingml/2006/main">
                        <a:graphicData uri="http://schemas.microsoft.com/office/word/2010/wordprocessingShape">
                          <wps:wsp>
                            <wps:cNvSpPr txBox="1"/>
                            <wps:spPr>
                              <a:xfrm>
                                <a:off x="0" y="0"/>
                                <a:ext cx="3296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52400" cy="175260"/>
                      <wp:effectExtent l="0" t="0" r="0" b="0"/>
                      <wp:wrapNone/>
                      <wp:docPr id="85" name="Frame85"/>
                      <a:graphic xmlns:a="http://schemas.openxmlformats.org/drawingml/2006/main">
                        <a:graphicData uri="http://schemas.microsoft.com/office/word/2010/wordprocessingShape">
                          <wps:wsp>
                            <wps:cNvSpPr txBox="1"/>
                            <wps:spPr>
                              <a:xfrm>
                                <a:off x="0" y="0"/>
                                <a:ext cx="1524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13385" cy="175260"/>
                      <wp:effectExtent l="0" t="0" r="0" b="0"/>
                      <wp:wrapNone/>
                      <wp:docPr id="86" name="Frame86"/>
                      <a:graphic xmlns:a="http://schemas.openxmlformats.org/drawingml/2006/main">
                        <a:graphicData uri="http://schemas.microsoft.com/office/word/2010/wordprocessingShape">
                          <wps:wsp>
                            <wps:cNvSpPr txBox="1"/>
                            <wps:spPr>
                              <a:xfrm>
                                <a:off x="0" y="0"/>
                                <a:ext cx="413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78740" cy="175260"/>
                      <wp:effectExtent l="0" t="0" r="0" b="0"/>
                      <wp:wrapNone/>
                      <wp:docPr id="87" name="Frame87"/>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52400" cy="175260"/>
                      <wp:effectExtent l="0" t="0" r="0" b="0"/>
                      <wp:wrapNone/>
                      <wp:docPr id="88" name="Frame88"/>
                      <a:graphic xmlns:a="http://schemas.openxmlformats.org/drawingml/2006/main">
                        <a:graphicData uri="http://schemas.microsoft.com/office/word/2010/wordprocessingShape">
                          <wps:wsp>
                            <wps:cNvSpPr txBox="1"/>
                            <wps:spPr>
                              <a:xfrm>
                                <a:off x="0" y="0"/>
                                <a:ext cx="1524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50190" cy="175260"/>
                      <wp:effectExtent l="0" t="0" r="0" b="0"/>
                      <wp:wrapNone/>
                      <wp:docPr id="89" name="Frame89"/>
                      <a:graphic xmlns:a="http://schemas.openxmlformats.org/drawingml/2006/main">
                        <a:graphicData uri="http://schemas.microsoft.com/office/word/2010/wordprocessingShape">
                          <wps:wsp>
                            <wps:cNvSpPr txBox="1"/>
                            <wps:spPr>
                              <a:xfrm>
                                <a:off x="0" y="0"/>
                                <a:ext cx="2501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97790" cy="175260"/>
                      <wp:effectExtent l="0" t="0" r="0" b="0"/>
                      <wp:wrapNone/>
                      <wp:docPr id="90" name="Frame90"/>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91" w:type="dxa"/>
            <w:tcBorders/>
            <w:shd w:fill="auto" w:val="clear"/>
            <w:vAlign w:val="center"/>
          </w:tcPr>
          <w:p>
            <w:pPr>
              <w:pStyle w:val="TableContents"/>
              <w:spacing w:before="0" w:after="0"/>
              <w:ind w:left="0" w:right="0" w:hanging="0"/>
              <w:rPr/>
            </w:pPr>
            <w:r>
              <w:rPr/>
              <w:t>​</w:t>
            </w:r>
          </w:p>
        </w:tc>
        <w:tc>
          <w:tcPr>
            <w:tcW w:w="1649"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shd w:fill="auto" w:val="clear"/>
            <w:vAlign w:val="center"/>
          </w:tcPr>
          <w:p>
            <w:pPr>
              <w:pStyle w:val="TableContents"/>
              <w:spacing w:before="0" w:after="0"/>
              <w:ind w:left="0" w:right="0" w:hanging="0"/>
              <w:rPr/>
            </w:pPr>
            <w:r>
              <w:rPr/>
              <w:t>​</w:t>
            </w:r>
          </w:p>
        </w:tc>
      </w:tr>
      <w:tr>
        <w:trPr/>
        <w:tc>
          <w:tcPr>
            <w:tcW w:w="5191" w:type="dxa"/>
            <w:tcBorders/>
            <w:shd w:fill="auto" w:val="clear"/>
            <w:vAlign w:val="center"/>
          </w:tcPr>
          <w:p>
            <w:pPr>
              <w:pStyle w:val="TableContents"/>
              <w:spacing w:before="0" w:after="0"/>
              <w:ind w:left="0" w:right="0" w:hanging="0"/>
              <w:rPr/>
            </w:pPr>
            <w:r>
              <w:rPr/>
              <w:t>​</w:t>
            </w:r>
          </w:p>
        </w:tc>
        <w:tc>
          <w:tcPr>
            <w:tcW w:w="164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4" w:type="dxa"/>
            <w:tcBorders/>
            <w:shd w:fill="auto" w:val="clear"/>
            <w:vAlign w:val="center"/>
          </w:tcPr>
          <w:p>
            <w:pPr>
              <w:pStyle w:val="TableContents"/>
              <w:spacing w:before="0" w:after="0"/>
              <w:ind w:left="0" w:right="0" w:hanging="0"/>
              <w:rPr/>
            </w:pPr>
            <w:r>
              <w:rPr/>
              <w:t>​</w:t>
            </w:r>
          </w:p>
        </w:tc>
      </w:tr>
      <w:tr>
        <w:trPr/>
        <w:tc>
          <w:tcPr>
            <w:tcW w:w="5191" w:type="dxa"/>
            <w:tcBorders/>
            <w:shd w:fill="auto" w:val="clear"/>
            <w:vAlign w:val="center"/>
          </w:tcPr>
          <w:p>
            <w:pPr>
              <w:pStyle w:val="TableContents"/>
              <w:spacing w:before="0" w:after="0"/>
              <w:ind w:left="0" w:right="0" w:hanging="0"/>
              <w:rPr/>
            </w:pPr>
            <w:r>
              <w:rPr/>
              <w:t>​</w:t>
            </w:r>
          </w:p>
        </w:tc>
        <w:tc>
          <w:tcPr>
            <w:tcW w:w="8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24" w:type="dxa"/>
            <w:tcBorders/>
            <w:shd w:fill="auto" w:val="clear"/>
            <w:vAlign w:val="center"/>
          </w:tcPr>
          <w:p>
            <w:pPr>
              <w:pStyle w:val="TableContents"/>
              <w:spacing w:before="0" w:after="0"/>
              <w:ind w:left="0" w:right="0" w:hanging="0"/>
              <w:rPr/>
            </w:pPr>
            <w:r>
              <w:rPr/>
              <w:t>​</w:t>
            </w:r>
          </w:p>
        </w:tc>
        <w:tc>
          <w:tcPr>
            <w:tcW w:w="63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before="0" w:after="0"/>
              <w:ind w:left="0" w:right="0" w:hanging="0"/>
              <w:rPr/>
            </w:pPr>
            <w:r>
              <w:rPr/>
              <w:t>​</w:t>
            </w:r>
          </w:p>
        </w:tc>
      </w:tr>
      <w:tr>
        <w:trPr/>
        <w:tc>
          <w:tcPr>
            <w:tcW w:w="5191" w:type="dxa"/>
            <w:tcBorders/>
            <w:shd w:fill="auto" w:val="clear"/>
            <w:vAlign w:val="center"/>
          </w:tcPr>
          <w:p>
            <w:pPr>
              <w:pStyle w:val="TableContents"/>
              <w:spacing w:before="0" w:after="0"/>
              <w:ind w:left="0" w:right="0" w:hanging="0"/>
              <w:rPr/>
            </w:pPr>
            <w:r>
              <w:rPr/>
              <w:t>​</w:t>
            </w:r>
          </w:p>
        </w:tc>
        <w:tc>
          <w:tcPr>
            <w:tcW w:w="240" w:type="dxa"/>
            <w:tcBorders/>
            <w:shd w:fill="auto" w:val="clear"/>
            <w:vAlign w:val="center"/>
          </w:tcPr>
          <w:p>
            <w:pPr>
              <w:pStyle w:val="TableContents"/>
              <w:spacing w:before="0" w:after="0"/>
              <w:ind w:left="0" w:right="0" w:hanging="0"/>
              <w:rPr/>
            </w:pPr>
            <w:r>
              <w:rPr/>
              <w:t>​</w:t>
            </w:r>
          </w:p>
        </w:tc>
        <w:tc>
          <w:tcPr>
            <w:tcW w:w="651" w:type="dxa"/>
            <w:tcBorders/>
            <w:shd w:fill="auto" w:val="clear"/>
            <w:vAlign w:val="center"/>
          </w:tcPr>
          <w:p>
            <w:pPr>
              <w:pStyle w:val="TableContents"/>
              <w:spacing w:before="0" w:after="0"/>
              <w:ind w:left="0" w:right="0" w:hanging="0"/>
              <w:rPr/>
            </w:pPr>
            <w:r>
              <w:rPr/>
              <w:t>​</w:t>
            </w:r>
          </w:p>
        </w:tc>
        <w:tc>
          <w:tcPr>
            <w:tcW w:w="124" w:type="dxa"/>
            <w:tcBorders/>
            <w:shd w:fill="auto" w:val="clear"/>
            <w:vAlign w:val="center"/>
          </w:tcPr>
          <w:p>
            <w:pPr>
              <w:pStyle w:val="TableContents"/>
              <w:spacing w:before="0" w:after="0"/>
              <w:ind w:left="0" w:right="0" w:hanging="0"/>
              <w:rPr/>
            </w:pPr>
            <w:r>
              <w:rPr/>
              <w:t>​</w:t>
            </w:r>
          </w:p>
        </w:tc>
        <w:tc>
          <w:tcPr>
            <w:tcW w:w="240" w:type="dxa"/>
            <w:tcBorders/>
            <w:shd w:fill="auto" w:val="clear"/>
            <w:vAlign w:val="center"/>
          </w:tcPr>
          <w:p>
            <w:pPr>
              <w:pStyle w:val="TableContents"/>
              <w:spacing w:before="0" w:after="0"/>
              <w:ind w:left="0" w:right="0" w:hanging="0"/>
              <w:rPr/>
            </w:pPr>
            <w:r>
              <w:rPr/>
              <w:t>​</w:t>
            </w:r>
          </w:p>
        </w:tc>
        <w:tc>
          <w:tcPr>
            <w:tcW w:w="394"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2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3,034</w:t>
            </w:r>
          </w:p>
        </w:tc>
        <w:tc>
          <w:tcPr>
            <w:tcW w:w="124" w:type="dxa"/>
            <w:tcBorders/>
            <w:shd w:fill="CCEEFF" w:val="clear"/>
            <w:vAlign w:val="center"/>
          </w:tcPr>
          <w:p>
            <w:pPr>
              <w:pStyle w:val="TableContents"/>
              <w:spacing w:before="0" w:after="0"/>
              <w:ind w:left="0" w:right="0" w:hanging="0"/>
              <w:rPr/>
            </w:pPr>
            <w:r>
              <w:rPr/>
              <w:t>​</w:t>
            </w:r>
          </w:p>
        </w:tc>
        <w:tc>
          <w:tcPr>
            <w:tcW w:w="2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54" w:type="dxa"/>
            <w:tcBorders/>
            <w:shd w:fill="CCEEFF" w:val="clear"/>
            <w:vAlign w:val="center"/>
          </w:tcPr>
          <w:p>
            <w:pPr>
              <w:pStyle w:val="TableContents"/>
              <w:spacing w:before="0" w:after="0"/>
              <w:ind w:left="0" w:right="0" w:hanging="0"/>
              <w:rPr/>
            </w:pPr>
            <w:r>
              <w:rPr/>
              <w:t>​</w:t>
            </w:r>
          </w:p>
        </w:tc>
      </w:tr>
      <w:tr>
        <w:trPr/>
        <w:tc>
          <w:tcPr>
            <w:tcW w:w="5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Accretion of debt discount and amortization of financing costs</w:t>
            </w:r>
          </w:p>
        </w:tc>
        <w:tc>
          <w:tcPr>
            <w:tcW w:w="24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124" w:type="dxa"/>
            <w:tcBorders/>
            <w:shd w:fill="auto" w:val="clear"/>
            <w:vAlign w:val="center"/>
          </w:tcPr>
          <w:p>
            <w:pPr>
              <w:pStyle w:val="TableContents"/>
              <w:spacing w:before="0" w:after="0"/>
              <w:ind w:left="0" w:right="0" w:hanging="0"/>
              <w:rPr/>
            </w:pPr>
            <w:r>
              <w:rPr/>
              <w:t>​</w:t>
            </w:r>
          </w:p>
        </w:tc>
        <w:tc>
          <w:tcPr>
            <w:tcW w:w="24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9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interest expense</w:t>
            </w:r>
          </w:p>
        </w:tc>
        <w:tc>
          <w:tcPr>
            <w:tcW w:w="24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3,367</w:t>
            </w:r>
          </w:p>
        </w:tc>
        <w:tc>
          <w:tcPr>
            <w:tcW w:w="124" w:type="dxa"/>
            <w:tcBorders/>
            <w:shd w:fill="CCEEFF" w:val="clear"/>
            <w:vAlign w:val="center"/>
          </w:tcPr>
          <w:p>
            <w:pPr>
              <w:pStyle w:val="TableContents"/>
              <w:spacing w:before="0" w:after="0"/>
              <w:ind w:left="0" w:right="0" w:hanging="0"/>
              <w:rPr/>
            </w:pPr>
            <w:r>
              <w:rPr/>
              <w:t>​</w:t>
            </w:r>
          </w:p>
        </w:tc>
        <w:tc>
          <w:tcPr>
            <w:tcW w:w="24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firstLine="360"/>
        <w:rPr/>
      </w:pPr>
      <w:r>
        <w:rPr/>
        <w:t>​</w:t>
      </w:r>
    </w:p>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Note 9. Derivative Financial Instruments</w:t>
      </w:r>
    </w:p>
    <w:p>
      <w:pPr>
        <w:pStyle w:val="TextBody"/>
        <w:spacing w:before="0" w:after="0"/>
        <w:ind w:left="0" w:right="0" w:firstLine="446"/>
        <w:rPr>
          <w:rFonts w:ascii="Times New Roman;Times;serif" w:hAnsi="Times New Roman;Times;serif"/>
          <w:sz w:val="20"/>
        </w:rPr>
      </w:pPr>
      <w:r>
        <w:rPr>
          <w:rFonts w:ascii="Times New Roman;Times;serif" w:hAnsi="Times New Roman;Times;serif"/>
          <w:sz w:val="20"/>
        </w:rPr>
        <w:t xml:space="preserve">BTI identified certain freestanding financial instruments and/or embedded features that require separate accounting from the borrowings under the OFA Facilities. This includes the OnkosXcel Warrants and Equity Investment Right held by the Lenders, along with certain put/call options. The OnkosXcel Warrants and Equity Investment Right do not meet certain scope exceptions under U.S. GAAP, primarily because the exercise prices and number of shares of the Company’s common stock issuable under the instruments are variable, and the instruments meet the definition of a derivative instrument. Therefore, these instruments are recorded as Derivative liabilities in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Condensed Consolidated Balance Sheets. The respective derivative liabilities were recorded at fair value on the date of issuance and are revalued on each balance sheet date until such instruments are settled or expire, with changes in the fair value between reporting periods recorded within Other expense, net in the Company’s Condensed Consolidated Statements of Operations.</w:t>
      </w:r>
    </w:p>
    <w:p>
      <w:pPr>
        <w:pStyle w:val="TextBody"/>
        <w:spacing w:before="0" w:after="240"/>
        <w:ind w:left="0" w:right="0" w:firstLine="360"/>
        <w:rPr>
          <w:highlight w:val="white"/>
        </w:rPr>
      </w:pPr>
      <w:r>
        <w:rPr>
          <w:highlight w:val="white"/>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Note 10. Common Stock Financing Activities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 May 2021, the Company entered into an Open Market Sale Agreement (the “Sale Agreement”) with Jefferies LLC (“Jefferies”) pursuant to which the Company could offer and sell shares of its common stock, having an aggregate offering price of up to $100,000, from time to time, through an “at the market offering” program under which Jefferies will act as sale agent. The Company sold 756 shares under the Sale Agreement with Jefferies in the first quarter of 2023 for net proceeds of $23,918, net of offering costs of $739. There were no sales under the Sale Agreement in 2022.</w:t>
      </w:r>
    </w:p>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b/>
          <w:sz w:val="20"/>
        </w:rPr>
      </w:pPr>
      <w:bookmarkStart w:id="611" w:name="Tc_dkRG_8PLE0GKP6Dciu3MkQ_8_0"/>
      <w:bookmarkStart w:id="612" w:name="Tc_IMFUKm2920G956xRLhSfZw_7_0"/>
      <w:bookmarkStart w:id="613" w:name="Tc_KVrjmlB730uWTbcgfqnYbg_6_0"/>
      <w:bookmarkStart w:id="614" w:name="Tc_eQUbzSKksk-jhJ39HbXI1A_5_0"/>
      <w:bookmarkStart w:id="615" w:name="Tc_Vw1fH729nUWNHIsq3yp3Qw_3_2"/>
      <w:bookmarkStart w:id="616" w:name="Tc_Mdza9EJM-U-RQb2O9-YA3Q_2_2"/>
      <w:bookmarkEnd w:id="611"/>
      <w:bookmarkEnd w:id="612"/>
      <w:bookmarkEnd w:id="613"/>
      <w:bookmarkEnd w:id="614"/>
      <w:bookmarkEnd w:id="615"/>
      <w:bookmarkEnd w:id="616"/>
      <w:r>
        <w:rPr>
          <w:rFonts w:ascii="Times New Roman;Times;serif" w:hAnsi="Times New Roman;Times;serif"/>
          <w:b/>
          <w:sz w:val="20"/>
        </w:rPr>
        <w:t>Note 11. Stock-Based Compensation</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2017 Equity Incentive Plan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Company’s 2017 Plan became effective in August 2017. Following the effective date of the Company's 2020 Plan, the Company ceased granting awards under the 2017 Plan, however, the terms and conditions of the 2017 Plan continue to govern any outstanding awards granted thereunder.</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2020 Incentive Award Plan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Company’s 2020 Plan was approved and became effective at the Company’s 2020 annual meeting of stockholders on May 20, 2020, and unless earlier terminated by the Board of Directors, will remain in effect until March 26, 2030. The 2020 Plan originally authorized for issuance the sum of (i) 911 shares of the Company’s common stock and (ii) 233 shares of the Company’s common stock, which represents the number of shares that remained available for issuance under the 2017 Plan immediately prior to the approval of the 2020 Plan by the Company’s stockholders. Any shares of common stock which,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 (A) 4% of the aggregate number of shares of the Company’s common stock outstanding on the final day of the immediately preceding calendar year and (B) such smaller number of shares of common stock as determined by the Board of Directors. The shares available for issuance under the 2020 Plan increased by 1,126 shares and 1,119 shares on January 1, 2023 and 2022, respectively.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Stock-based awards granted under the 2020 Plan have a term of ten years. The vesting schedule of all awards granted under the 2020 Plan is determined by the Board of Directors, which is generally four years.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As of March 31, 2023, there were 660 shares available to be granted under the 2020 Plan.</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Restricted stock units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table below summarizes activity relating to BTI RSUs.</w:t>
      </w:r>
    </w:p>
    <w:p>
      <w:pPr>
        <w:pStyle w:val="TextBody"/>
        <w:spacing w:before="0" w:after="0"/>
        <w:ind w:left="0" w:right="0" w:hanging="0"/>
        <w:rPr/>
      </w:pPr>
      <w:r>
        <w:rPr/>
        <w:t>​</w:t>
      </w:r>
    </w:p>
    <w:tbl>
      <w:tblPr>
        <w:tblW w:w="4018" w:type="dxa"/>
        <w:jc w:val="left"/>
        <w:tblInd w:w="0" w:type="dxa"/>
        <w:tblCellMar>
          <w:top w:w="0" w:type="dxa"/>
          <w:left w:w="0" w:type="dxa"/>
          <w:bottom w:w="0" w:type="dxa"/>
          <w:right w:w="0" w:type="dxa"/>
        </w:tblCellMar>
      </w:tblPr>
      <w:tblGrid>
        <w:gridCol w:w="2881"/>
        <w:gridCol w:w="206"/>
        <w:gridCol w:w="931"/>
      </w:tblGrid>
      <w:tr>
        <w:trPr/>
        <w:tc>
          <w:tcPr>
            <w:tcW w:w="28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829435" cy="175260"/>
                      <wp:effectExtent l="0" t="0" r="0" b="0"/>
                      <wp:wrapNone/>
                      <wp:docPr id="91" name="Frame91"/>
                      <a:graphic xmlns:a="http://schemas.openxmlformats.org/drawingml/2006/main">
                        <a:graphicData uri="http://schemas.microsoft.com/office/word/2010/wordprocessingShape">
                          <wps:wsp>
                            <wps:cNvSpPr txBox="1"/>
                            <wps:spPr>
                              <a:xfrm>
                                <a:off x="0" y="0"/>
                                <a:ext cx="1829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0810" cy="175260"/>
                      <wp:effectExtent l="0" t="0" r="0" b="0"/>
                      <wp:wrapNone/>
                      <wp:docPr id="92" name="Frame92"/>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91185" cy="175260"/>
                      <wp:effectExtent l="0" t="0" r="0" b="0"/>
                      <wp:wrapNone/>
                      <wp:docPr id="93" name="Frame9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81"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r>
      <w:tr>
        <w:trPr/>
        <w:tc>
          <w:tcPr>
            <w:tcW w:w="2881"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2881"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shares </w:t>
            </w:r>
          </w:p>
        </w:tc>
      </w:tr>
      <w:tr>
        <w:trPr/>
        <w:tc>
          <w:tcPr>
            <w:tcW w:w="2881"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r>
      <w:tr>
        <w:trPr/>
        <w:tc>
          <w:tcPr>
            <w:tcW w:w="28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January 1, 2023</w:t>
            </w:r>
          </w:p>
        </w:tc>
        <w:tc>
          <w:tcPr>
            <w:tcW w:w="20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28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20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28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w:t>
            </w:r>
          </w:p>
        </w:tc>
        <w:tc>
          <w:tcPr>
            <w:tcW w:w="206" w:type="dxa"/>
            <w:tcBorders/>
            <w:shd w:fill="CCEEFF" w:val="clear"/>
            <w:vAlign w:val="center"/>
          </w:tcPr>
          <w:p>
            <w:pPr>
              <w:pStyle w:val="TableContents"/>
              <w:spacing w:before="0" w:after="1"/>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8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March 31, 2023</w:t>
            </w:r>
          </w:p>
        </w:tc>
        <w:tc>
          <w:tcPr>
            <w:tcW w:w="206" w:type="dxa"/>
            <w:tcBorders/>
            <w:shd w:fill="auto" w:val="clear"/>
            <w:vAlign w:val="center"/>
          </w:tcPr>
          <w:p>
            <w:pPr>
              <w:pStyle w:val="TableContents"/>
              <w:spacing w:before="0" w:after="1"/>
              <w:ind w:left="0" w:right="0" w:hanging="0"/>
              <w:rPr/>
            </w:pPr>
            <w:r>
              <w:rPr/>
              <w:t>​</w:t>
            </w:r>
          </w:p>
        </w:tc>
        <w:tc>
          <w:tcPr>
            <w:tcW w:w="93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225</w:t>
            </w:r>
          </w:p>
        </w:tc>
      </w:tr>
    </w:tbl>
    <w:p>
      <w:pPr>
        <w:pStyle w:val="TextBody"/>
        <w:spacing w:before="0" w:after="24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rPr>
          <w:rFonts w:ascii="Times New Roman;Times;serif" w:hAnsi="Times New Roman;Times;serif"/>
          <w:sz w:val="20"/>
        </w:rPr>
      </w:pPr>
      <w:bookmarkStart w:id="617" w:name="Tc_aV2kkjEeDUKLzYy1ptFglA_7_3"/>
      <w:bookmarkStart w:id="618" w:name="Tc_iFLZNqxVhU67Pga3YjOl0w_7_0"/>
      <w:bookmarkStart w:id="619" w:name="Tc_SR4MfBg9t0ipfhouJoWaXw_6_3"/>
      <w:bookmarkStart w:id="620" w:name="Tc_FTt6RQRV-Um1B31TIOz75Q_6_0"/>
      <w:bookmarkStart w:id="621" w:name="Tc_RJHObfunJUqXeqhb9zWEVQ_5_3"/>
      <w:bookmarkStart w:id="622" w:name="Tc_G6qX5e5m9EuXlHA58Y7maA_5_0"/>
      <w:bookmarkStart w:id="623" w:name="Tc_o_LvyVA_7U6Ui2s3FuPOXg_4_3"/>
      <w:bookmarkStart w:id="624" w:name="Tc_hsQqu099PU-o1DSh4qSziQ_4_0"/>
      <w:bookmarkStart w:id="625" w:name="Tc_99Pkq_8fr06hRYdsj7u7kg_2_2"/>
      <w:bookmarkStart w:id="626" w:name="Tc_hbO5pOoro0-C24hUw8TMmw_10_4"/>
      <w:bookmarkStart w:id="627" w:name="Tc_2xRS_1sxZE6_e9SafPiR1w_10_0"/>
      <w:bookmarkStart w:id="628" w:name="Tc_tboZM4JAZkGC95WoRyIKyw_8_0"/>
      <w:bookmarkStart w:id="629" w:name="Tc_ppX4qoISdUO5jat0ftrt5w_7_4"/>
      <w:bookmarkStart w:id="630" w:name="Tc_Pi6klNumyUGs1nb3atSaMQ_7_0"/>
      <w:bookmarkStart w:id="631" w:name="Tc_HtPwuY-VGUC6KTWh1OBSjA_6_4"/>
      <w:bookmarkStart w:id="632" w:name="Tc_lb0bNivS6k6NZGxV_aEvKw_6_0"/>
      <w:bookmarkStart w:id="633" w:name="Tc_vv3QKJyGpUm1qJEGd8gUnw_4_4"/>
      <w:bookmarkStart w:id="634" w:name="Tc_c-uo9gdCM0WcUhn8sOKW0g_4_2"/>
      <w:bookmarkStart w:id="635" w:name="Tc_Gq9Px6rV0kCeEyZB7nw0rA_3_4"/>
      <w:bookmarkStart w:id="636" w:name="Tc_uWT3fVauu02HGlC5_AhJKg_3_2"/>
      <w:bookmarkStart w:id="637" w:name="Tc_V5yqh6pDqECzACCQBgcibQ_2_4"/>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r>
        <w:rPr>
          <w:rFonts w:ascii="Times New Roman;Times;serif" w:hAnsi="Times New Roman;Times;serif"/>
          <w:sz w:val="20"/>
        </w:rPr>
        <w:t>During the first quarter 2023, the Company granted 131 time-based RSUs to certain employees. All of the RSUs vest over four years, with 25% vesting at the one-year anniversary of the grant date and the balance vesting ratably over the remaining 12 quarters of the vesting period. The grant date fair value per share for the RSUs was $19.60. Unrecognized stock-based compensation expense related to these awards was approximately $2,539 as of March 31, 2023.</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2022, the Company granted 122 (119, net of forfeitures) time-based RSUs to certain employees and consultants. The majority of RSUs granted to employees vest over four years, with 25% vesting at the one-year anniversary of the grant date and the balance vesting ratably over the remaining 12 quarters of the vesting period. 25 RSUs granted to employees in May 2022 cliff-vest 100% at the one-year anniversary of the grant date. RSUs granted to a third-party consultant vest 50% on each of the first and second anniversaries of the grant date. The grant date fair value per share for the RSUs granted in March and May 2022 was $15.31 and $10.76, respectively. Unrecognized stock-based compensation expense related to these awards was approximately $1,067 as of March 31, 2023.</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OnkosXcel profit sharing units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table below summarizes activity relating to profits interests (the “profit sharing units” or “PSUs”) associated with OnkosXcel.</w:t>
      </w:r>
    </w:p>
    <w:p>
      <w:pPr>
        <w:pStyle w:val="TextBody"/>
        <w:spacing w:before="0" w:after="0"/>
        <w:ind w:left="0" w:right="0" w:hanging="0"/>
        <w:rPr/>
      </w:pPr>
      <w:r>
        <w:rPr/>
        <w:t>​</w:t>
      </w:r>
    </w:p>
    <w:tbl>
      <w:tblPr>
        <w:tblW w:w="5552" w:type="dxa"/>
        <w:jc w:val="left"/>
        <w:tblInd w:w="0" w:type="dxa"/>
        <w:tblCellMar>
          <w:top w:w="0" w:type="dxa"/>
          <w:left w:w="0" w:type="dxa"/>
          <w:bottom w:w="0" w:type="dxa"/>
          <w:right w:w="0" w:type="dxa"/>
        </w:tblCellMar>
      </w:tblPr>
      <w:tblGrid>
        <w:gridCol w:w="2881"/>
        <w:gridCol w:w="206"/>
        <w:gridCol w:w="886"/>
        <w:gridCol w:w="109"/>
        <w:gridCol w:w="333"/>
        <w:gridCol w:w="1137"/>
      </w:tblGrid>
      <w:tr>
        <w:trPr/>
        <w:tc>
          <w:tcPr>
            <w:tcW w:w="28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829435" cy="175260"/>
                      <wp:effectExtent l="0" t="0" r="0" b="0"/>
                      <wp:wrapNone/>
                      <wp:docPr id="94" name="Frame94"/>
                      <a:graphic xmlns:a="http://schemas.openxmlformats.org/drawingml/2006/main">
                        <a:graphicData uri="http://schemas.microsoft.com/office/word/2010/wordprocessingShape">
                          <wps:wsp>
                            <wps:cNvSpPr txBox="1"/>
                            <wps:spPr>
                              <a:xfrm>
                                <a:off x="0" y="0"/>
                                <a:ext cx="1829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0810" cy="175260"/>
                      <wp:effectExtent l="0" t="0" r="0" b="0"/>
                      <wp:wrapNone/>
                      <wp:docPr id="95" name="Frame95"/>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62610" cy="175260"/>
                      <wp:effectExtent l="0" t="0" r="0" b="0"/>
                      <wp:wrapNone/>
                      <wp:docPr id="96" name="Frame96"/>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1455" cy="175260"/>
                      <wp:effectExtent l="0" t="0" r="0" b="0"/>
                      <wp:wrapNone/>
                      <wp:docPr id="98" name="Frame98"/>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721995" cy="175260"/>
                      <wp:effectExtent l="0" t="0" r="0" b="0"/>
                      <wp:wrapNone/>
                      <wp:docPr id="99" name="Frame99"/>
                      <a:graphic xmlns:a="http://schemas.openxmlformats.org/drawingml/2006/main">
                        <a:graphicData uri="http://schemas.microsoft.com/office/word/2010/wordprocessingShape">
                          <wps:wsp>
                            <wps:cNvSpPr txBox="1"/>
                            <wps:spPr>
                              <a:xfrm>
                                <a:off x="0" y="0"/>
                                <a:ext cx="7219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81"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33" w:type="dxa"/>
            <w:tcBorders/>
            <w:shd w:fill="auto" w:val="clear"/>
            <w:vAlign w:val="center"/>
          </w:tcPr>
          <w:p>
            <w:pPr>
              <w:pStyle w:val="TableContents"/>
              <w:spacing w:before="0" w:after="1"/>
              <w:ind w:left="0" w:right="0" w:hanging="0"/>
              <w:rPr/>
            </w:pPr>
            <w:r>
              <w:rPr/>
              <w:t>​</w:t>
            </w:r>
          </w:p>
        </w:tc>
        <w:tc>
          <w:tcPr>
            <w:tcW w:w="1137" w:type="dxa"/>
            <w:tcBorders/>
            <w:shd w:fill="auto" w:val="clear"/>
            <w:vAlign w:val="center"/>
          </w:tcPr>
          <w:p>
            <w:pPr>
              <w:pStyle w:val="TableContents"/>
              <w:spacing w:before="0" w:after="1"/>
              <w:ind w:left="0" w:right="0" w:hanging="0"/>
              <w:rPr/>
            </w:pPr>
            <w:r>
              <w:rPr/>
              <w:t>​</w:t>
            </w:r>
          </w:p>
        </w:tc>
      </w:tr>
      <w:tr>
        <w:trPr/>
        <w:tc>
          <w:tcPr>
            <w:tcW w:w="2881"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47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881"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shd w:fill="auto" w:val="clear"/>
            <w:vAlign w:val="center"/>
          </w:tcPr>
          <w:p>
            <w:pPr>
              <w:pStyle w:val="TableContents"/>
              <w:spacing w:before="0" w:after="1"/>
              <w:ind w:left="0" w:right="0" w:hanging="0"/>
              <w:jc w:val="center"/>
              <w:rPr/>
            </w:pPr>
            <w:r>
              <w:rPr/>
              <w:t>​</w:t>
            </w:r>
          </w:p>
        </w:tc>
        <w:tc>
          <w:tcPr>
            <w:tcW w:w="147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per unit</w:t>
            </w:r>
          </w:p>
        </w:tc>
      </w:tr>
      <w:tr>
        <w:trPr/>
        <w:tc>
          <w:tcPr>
            <w:tcW w:w="2881"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shd w:fill="auto" w:val="clear"/>
            <w:vAlign w:val="center"/>
          </w:tcPr>
          <w:p>
            <w:pPr>
              <w:pStyle w:val="TableContents"/>
              <w:spacing w:before="0" w:after="1"/>
              <w:ind w:left="0" w:right="0" w:hanging="0"/>
              <w:jc w:val="center"/>
              <w:rPr/>
            </w:pPr>
            <w:r>
              <w:rPr/>
              <w:t>​</w:t>
            </w:r>
          </w:p>
        </w:tc>
        <w:tc>
          <w:tcPr>
            <w:tcW w:w="147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whole dollars)</w:t>
            </w:r>
          </w:p>
        </w:tc>
      </w:tr>
      <w:tr>
        <w:trPr/>
        <w:tc>
          <w:tcPr>
            <w:tcW w:w="2881"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33" w:type="dxa"/>
            <w:tcBorders/>
            <w:shd w:fill="auto" w:val="clear"/>
            <w:vAlign w:val="center"/>
          </w:tcPr>
          <w:p>
            <w:pPr>
              <w:pStyle w:val="TableContents"/>
              <w:spacing w:before="0" w:after="1"/>
              <w:ind w:left="0" w:right="0" w:hanging="0"/>
              <w:rPr/>
            </w:pPr>
            <w:r>
              <w:rPr/>
              <w:t>​</w:t>
            </w:r>
          </w:p>
        </w:tc>
        <w:tc>
          <w:tcPr>
            <w:tcW w:w="1137" w:type="dxa"/>
            <w:tcBorders/>
            <w:shd w:fill="auto" w:val="clear"/>
            <w:vAlign w:val="center"/>
          </w:tcPr>
          <w:p>
            <w:pPr>
              <w:pStyle w:val="TableContents"/>
              <w:spacing w:before="0" w:after="1"/>
              <w:ind w:left="0" w:right="0" w:hanging="0"/>
              <w:rPr/>
            </w:pPr>
            <w:r>
              <w:rPr/>
              <w:t>​</w:t>
            </w:r>
          </w:p>
        </w:tc>
      </w:tr>
      <w:tr>
        <w:trPr/>
        <w:tc>
          <w:tcPr>
            <w:tcW w:w="28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January 1, 2023</w:t>
            </w:r>
          </w:p>
        </w:tc>
        <w:tc>
          <w:tcPr>
            <w:tcW w:w="20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1,310</w:t>
            </w:r>
          </w:p>
        </w:tc>
        <w:tc>
          <w:tcPr>
            <w:tcW w:w="109" w:type="dxa"/>
            <w:tcBorders/>
            <w:shd w:fill="CCEEFF" w:val="clear"/>
            <w:vAlign w:val="center"/>
          </w:tcPr>
          <w:p>
            <w:pPr>
              <w:pStyle w:val="TableContents"/>
              <w:spacing w:before="0" w:after="1"/>
              <w:ind w:left="0" w:right="0" w:hanging="0"/>
              <w:rPr/>
            </w:pPr>
            <w:r>
              <w:rPr/>
              <w:t>​</w:t>
            </w:r>
          </w:p>
        </w:tc>
        <w:tc>
          <w:tcPr>
            <w:tcW w:w="33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5,506</w:t>
            </w:r>
          </w:p>
        </w:tc>
      </w:tr>
      <w:tr>
        <w:trPr/>
        <w:tc>
          <w:tcPr>
            <w:tcW w:w="28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206" w:type="dxa"/>
            <w:tcBorders/>
            <w:shd w:fill="auto" w:val="cle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shd w:fill="auto" w:val="clear"/>
            <w:vAlign w:val="center"/>
          </w:tcPr>
          <w:p>
            <w:pPr>
              <w:pStyle w:val="TableContents"/>
              <w:spacing w:before="0" w:after="1"/>
              <w:ind w:left="0" w:right="0" w:hanging="0"/>
              <w:rPr/>
            </w:pPr>
            <w:r>
              <w:rPr/>
              <w:t>​</w:t>
            </w:r>
          </w:p>
        </w:tc>
        <w:tc>
          <w:tcPr>
            <w:tcW w:w="33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10,176</w:t>
            </w:r>
          </w:p>
        </w:tc>
      </w:tr>
      <w:tr>
        <w:trPr/>
        <w:tc>
          <w:tcPr>
            <w:tcW w:w="28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March 31, 2023</w:t>
            </w:r>
          </w:p>
        </w:tc>
        <w:tc>
          <w:tcPr>
            <w:tcW w:w="206" w:type="dxa"/>
            <w:tcBorders/>
            <w:shd w:fill="CCEEFF" w:val="clear"/>
            <w:vAlign w:val="center"/>
          </w:tcPr>
          <w:p>
            <w:pPr>
              <w:pStyle w:val="TableContents"/>
              <w:spacing w:before="0" w:after="1"/>
              <w:ind w:left="0" w:right="0" w:hanging="0"/>
              <w:rPr/>
            </w:pPr>
            <w:r>
              <w:rPr/>
              <w:t>​</w:t>
            </w:r>
          </w:p>
        </w:tc>
        <w:tc>
          <w:tcPr>
            <w:tcW w:w="8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1,325</w:t>
            </w:r>
          </w:p>
        </w:tc>
        <w:tc>
          <w:tcPr>
            <w:tcW w:w="109" w:type="dxa"/>
            <w:tcBorders/>
            <w:shd w:fill="CCEEFF" w:val="clear"/>
            <w:vAlign w:val="center"/>
          </w:tcPr>
          <w:p>
            <w:pPr>
              <w:pStyle w:val="TableContents"/>
              <w:spacing w:before="0" w:after="1"/>
              <w:ind w:left="0" w:right="0" w:hanging="0"/>
              <w:rPr/>
            </w:pPr>
            <w:r>
              <w:rPr/>
              <w:t>​</w:t>
            </w:r>
          </w:p>
        </w:tc>
        <w:tc>
          <w:tcPr>
            <w:tcW w:w="333" w:type="dxa"/>
            <w:tcBorders/>
            <w:shd w:fill="CCEEFF" w:val="clear"/>
            <w:vAlign w:val="center"/>
          </w:tcPr>
          <w:p>
            <w:pPr>
              <w:pStyle w:val="TableContents"/>
              <w:spacing w:before="0" w:after="1"/>
              <w:ind w:left="0" w:right="0" w:hanging="0"/>
              <w:rPr/>
            </w:pPr>
            <w:r>
              <w:rPr/>
              <w:t>​</w:t>
            </w:r>
          </w:p>
        </w:tc>
        <w:tc>
          <w:tcPr>
            <w:tcW w:w="1137" w:type="dxa"/>
            <w:tcBorders/>
            <w:shd w:fill="CCEEFF" w:val="clear"/>
            <w:vAlign w:val="center"/>
          </w:tcPr>
          <w:p>
            <w:pPr>
              <w:pStyle w:val="TableContents"/>
              <w:spacing w:before="0" w:after="1"/>
              <w:ind w:left="0" w:right="0" w:hanging="0"/>
              <w:rPr/>
            </w:pPr>
            <w:r>
              <w:rPr/>
              <w:t>​</w:t>
            </w:r>
          </w:p>
        </w:tc>
      </w:tr>
      <w:tr>
        <w:trPr/>
        <w:tc>
          <w:tcPr>
            <w:tcW w:w="2881"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33" w:type="dxa"/>
            <w:tcBorders/>
            <w:shd w:fill="auto" w:val="clear"/>
            <w:vAlign w:val="center"/>
          </w:tcPr>
          <w:p>
            <w:pPr>
              <w:pStyle w:val="TableContents"/>
              <w:spacing w:before="0" w:after="1"/>
              <w:ind w:left="0" w:right="0" w:hanging="0"/>
              <w:rPr/>
            </w:pPr>
            <w:r>
              <w:rPr/>
              <w:t>​</w:t>
            </w:r>
          </w:p>
        </w:tc>
        <w:tc>
          <w:tcPr>
            <w:tcW w:w="1137" w:type="dxa"/>
            <w:tcBorders/>
            <w:shd w:fill="auto" w:val="clear"/>
            <w:vAlign w:val="center"/>
          </w:tcPr>
          <w:p>
            <w:pPr>
              <w:pStyle w:val="TableContents"/>
              <w:spacing w:before="0" w:after="1"/>
              <w:ind w:left="0" w:right="0" w:hanging="0"/>
              <w:rPr/>
            </w:pPr>
            <w:r>
              <w:rPr/>
              <w:t>​</w:t>
            </w:r>
          </w:p>
        </w:tc>
      </w:tr>
      <w:tr>
        <w:trPr/>
        <w:tc>
          <w:tcPr>
            <w:tcW w:w="28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 units as of March 31, 2023</w:t>
            </w:r>
          </w:p>
        </w:tc>
        <w:tc>
          <w:tcPr>
            <w:tcW w:w="206" w:type="dxa"/>
            <w:tcBorders/>
            <w:shd w:fill="CCEEFF" w:val="clear"/>
            <w:vAlign w:val="center"/>
          </w:tcPr>
          <w:p>
            <w:pPr>
              <w:pStyle w:val="TableContents"/>
              <w:spacing w:before="0" w:after="1"/>
              <w:ind w:left="0" w:right="0" w:hanging="0"/>
              <w:rPr/>
            </w:pPr>
            <w:r>
              <w:rPr/>
              <w:t>​</w:t>
            </w:r>
          </w:p>
        </w:tc>
        <w:tc>
          <w:tcPr>
            <w:tcW w:w="8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109" w:type="dxa"/>
            <w:tcBorders/>
            <w:shd w:fill="CCEEFF" w:val="clear"/>
            <w:vAlign w:val="center"/>
          </w:tcPr>
          <w:p>
            <w:pPr>
              <w:pStyle w:val="TableContents"/>
              <w:spacing w:before="0" w:after="1"/>
              <w:ind w:left="0" w:right="0" w:hanging="0"/>
              <w:rPr/>
            </w:pPr>
            <w:r>
              <w:rPr/>
              <w:t>​</w:t>
            </w:r>
          </w:p>
        </w:tc>
        <w:tc>
          <w:tcPr>
            <w:tcW w:w="33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5,506</w:t>
            </w:r>
          </w:p>
        </w:tc>
      </w:tr>
    </w:tbl>
    <w:p>
      <w:pPr>
        <w:pStyle w:val="TextBody"/>
        <w:spacing w:before="0" w:after="240"/>
        <w:ind w:left="0" w:right="0" w:hanging="0"/>
        <w:rPr/>
      </w:pPr>
      <w:r>
        <w:rPr/>
        <w: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During 2022 and the first quarter of 2023, the Company granted 1,325 individual (not in thousands) time-based PSUs related to OnkosXcel to certain employees and consultants of the Company in consideration for services provided to OnkosXcel. The PSUs represent indirect equity interests in OnkosXcel. All PSUs, other than those granted to certain executive employees of the Company, vest ratably over 48 months. PSUs granted to certain executive employees of the Company, vest ratably over 24 months.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fair values of PSUs granted in the first quarter of 2023 of $8 per unit were estimated at the date of grant using a Black-Scholes option pricing model and assumptions below.</w:t>
      </w:r>
    </w:p>
    <w:p>
      <w:pPr>
        <w:pStyle w:val="TextBody"/>
        <w:spacing w:before="0" w:after="0"/>
        <w:ind w:left="0" w:right="0" w:hanging="0"/>
        <w:rPr/>
      </w:pPr>
      <w:r>
        <w:rPr/>
        <w:t>​</w:t>
      </w:r>
    </w:p>
    <w:tbl>
      <w:tblPr>
        <w:tblW w:w="6099" w:type="dxa"/>
        <w:jc w:val="left"/>
        <w:tblInd w:w="0" w:type="dxa"/>
        <w:tblCellMar>
          <w:top w:w="0" w:type="dxa"/>
          <w:left w:w="0" w:type="dxa"/>
          <w:bottom w:w="0" w:type="dxa"/>
          <w:right w:w="0" w:type="dxa"/>
        </w:tblCellMar>
      </w:tblPr>
      <w:tblGrid>
        <w:gridCol w:w="2131"/>
        <w:gridCol w:w="109"/>
        <w:gridCol w:w="1740"/>
        <w:gridCol w:w="1965"/>
        <w:gridCol w:w="154"/>
      </w:tblGrid>
      <w:tr>
        <w:trPr/>
        <w:tc>
          <w:tcPr>
            <w:tcW w:w="2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53185" cy="175260"/>
                      <wp:effectExtent l="0" t="0" r="0" b="0"/>
                      <wp:wrapNone/>
                      <wp:docPr id="100" name="Frame100"/>
                      <a:graphic xmlns:a="http://schemas.openxmlformats.org/drawingml/2006/main">
                        <a:graphicData uri="http://schemas.microsoft.com/office/word/2010/wordprocessingShape">
                          <wps:wsp>
                            <wps:cNvSpPr txBox="1"/>
                            <wps:spPr>
                              <a:xfrm>
                                <a:off x="0" y="0"/>
                                <a:ext cx="1353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1" name="Frame10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104900" cy="175260"/>
                      <wp:effectExtent l="0" t="0" r="0" b="0"/>
                      <wp:wrapNone/>
                      <wp:docPr id="102" name="Frame102"/>
                      <a:graphic xmlns:a="http://schemas.openxmlformats.org/drawingml/2006/main">
                        <a:graphicData uri="http://schemas.microsoft.com/office/word/2010/wordprocessingShape">
                          <wps:wsp>
                            <wps:cNvSpPr txBox="1"/>
                            <wps:spPr>
                              <a:xfrm>
                                <a:off x="0" y="0"/>
                                <a:ext cx="11049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247775" cy="175260"/>
                      <wp:effectExtent l="0" t="0" r="0" b="0"/>
                      <wp:wrapNone/>
                      <wp:docPr id="103" name="Frame103"/>
                      <a:graphic xmlns:a="http://schemas.openxmlformats.org/drawingml/2006/main">
                        <a:graphicData uri="http://schemas.microsoft.com/office/word/2010/wordprocessingShape">
                          <wps:wsp>
                            <wps:cNvSpPr txBox="1"/>
                            <wps:spPr>
                              <a:xfrm>
                                <a:off x="0" y="0"/>
                                <a:ext cx="12477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97790" cy="175260"/>
                      <wp:effectExtent l="0" t="0" r="0" b="0"/>
                      <wp:wrapNone/>
                      <wp:docPr id="104" name="Frame104"/>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3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740" w:type="dxa"/>
            <w:tcBorders/>
            <w:shd w:fill="auto" w:val="clear"/>
            <w:vAlign w:val="center"/>
          </w:tcPr>
          <w:p>
            <w:pPr>
              <w:pStyle w:val="TableContents"/>
              <w:spacing w:before="0" w:after="1"/>
              <w:ind w:left="0" w:right="0" w:hanging="0"/>
              <w:rPr/>
            </w:pPr>
            <w:r>
              <w:rPr/>
              <w:t>​</w:t>
            </w:r>
          </w:p>
        </w:tc>
        <w:tc>
          <w:tcPr>
            <w:tcW w:w="1965" w:type="dxa"/>
            <w:tcBorders/>
            <w:shd w:fill="auto" w:val="clear"/>
            <w:vAlign w:val="center"/>
          </w:tcPr>
          <w:p>
            <w:pPr>
              <w:pStyle w:val="TableContents"/>
              <w:spacing w:before="0" w:after="1"/>
              <w:ind w:left="0" w:right="0" w:hanging="0"/>
              <w:rPr/>
            </w:pPr>
            <w:r>
              <w:rPr/>
              <w:t>​</w:t>
            </w:r>
          </w:p>
        </w:tc>
        <w:tc>
          <w:tcPr>
            <w:tcW w:w="154" w:type="dxa"/>
            <w:tcBorders/>
            <w:shd w:fill="auto" w:val="clear"/>
            <w:vAlign w:val="center"/>
          </w:tcPr>
          <w:p>
            <w:pPr>
              <w:pStyle w:val="TableContents"/>
              <w:spacing w:before="0" w:after="1"/>
              <w:ind w:left="0" w:right="0" w:hanging="0"/>
              <w:rPr/>
            </w:pPr>
            <w:r>
              <w:rPr/>
              <w:t>​</w:t>
            </w:r>
          </w:p>
        </w:tc>
      </w:tr>
      <w:tr>
        <w:trPr/>
        <w:tc>
          <w:tcPr>
            <w:tcW w:w="213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705" w:type="dxa"/>
            <w:gridSpan w:val="2"/>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2023 grant profit share unit valuation inputs</w:t>
            </w:r>
          </w:p>
        </w:tc>
        <w:tc>
          <w:tcPr>
            <w:tcW w:w="154" w:type="dxa"/>
            <w:tcBorders/>
            <w:shd w:fill="auto" w:val="clear"/>
            <w:vAlign w:val="center"/>
          </w:tcPr>
          <w:p>
            <w:pPr>
              <w:pStyle w:val="TableContents"/>
              <w:spacing w:before="0" w:after="1"/>
              <w:ind w:left="0" w:right="0" w:hanging="0"/>
              <w:rPr/>
            </w:pPr>
            <w:r>
              <w:rPr/>
              <w:t>​</w:t>
            </w:r>
          </w:p>
        </w:tc>
      </w:tr>
      <w:tr>
        <w:trPr/>
        <w:tc>
          <w:tcPr>
            <w:tcW w:w="213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740" w:type="dxa"/>
            <w:tcBorders/>
            <w:shd w:fill="auto" w:val="clear"/>
            <w:vAlign w:val="center"/>
          </w:tcPr>
          <w:p>
            <w:pPr>
              <w:pStyle w:val="TableContents"/>
              <w:spacing w:before="0" w:after="1"/>
              <w:ind w:left="0" w:right="0" w:hanging="0"/>
              <w:rPr/>
            </w:pPr>
            <w:r>
              <w:rPr/>
              <w:t>​</w:t>
            </w:r>
          </w:p>
        </w:tc>
        <w:tc>
          <w:tcPr>
            <w:tcW w:w="1965" w:type="dxa"/>
            <w:tcBorders/>
            <w:shd w:fill="auto" w:val="clear"/>
            <w:vAlign w:val="center"/>
          </w:tcPr>
          <w:p>
            <w:pPr>
              <w:pStyle w:val="TableContents"/>
              <w:spacing w:before="0" w:after="1"/>
              <w:ind w:left="0" w:right="0" w:hanging="0"/>
              <w:rPr/>
            </w:pPr>
            <w:r>
              <w:rPr/>
              <w:t>​</w:t>
            </w:r>
          </w:p>
        </w:tc>
        <w:tc>
          <w:tcPr>
            <w:tcW w:w="154" w:type="dxa"/>
            <w:tcBorders/>
            <w:shd w:fill="auto" w:val="clear"/>
            <w:vAlign w:val="center"/>
          </w:tcPr>
          <w:p>
            <w:pPr>
              <w:pStyle w:val="TableContents"/>
              <w:spacing w:before="0" w:after="1"/>
              <w:ind w:left="0" w:right="0" w:hanging="0"/>
              <w:rPr/>
            </w:pPr>
            <w:r>
              <w:rPr/>
              <w:t>​</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volatility</w:t>
            </w:r>
          </w:p>
        </w:tc>
        <w:tc>
          <w:tcPr>
            <w:tcW w:w="109" w:type="dxa"/>
            <w:tcBorders/>
            <w:shd w:fill="CCEEFF" w:val="clear"/>
            <w:vAlign w:val="center"/>
          </w:tcPr>
          <w:p>
            <w:pPr>
              <w:pStyle w:val="TableContents"/>
              <w:spacing w:before="0" w:after="1"/>
              <w:ind w:left="0" w:right="0" w:hanging="0"/>
              <w:rPr/>
            </w:pPr>
            <w:r>
              <w:rPr/>
              <w:t>​</w:t>
            </w:r>
          </w:p>
        </w:tc>
        <w:tc>
          <w:tcPr>
            <w:tcW w:w="174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97.4</w:t>
            </w:r>
          </w:p>
        </w:tc>
        <w:tc>
          <w:tcPr>
            <w:tcW w:w="196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1"/>
              <w:ind w:left="0" w:right="0" w:hanging="0"/>
              <w:rPr/>
            </w:pPr>
            <w:r>
              <w:rPr/>
              <w:t>​</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Risk-free rate of interest</w:t>
            </w:r>
          </w:p>
        </w:tc>
        <w:tc>
          <w:tcPr>
            <w:tcW w:w="109" w:type="dxa"/>
            <w:tcBorders/>
            <w:shd w:fill="auto" w:val="clear"/>
            <w:vAlign w:val="center"/>
          </w:tcPr>
          <w:p>
            <w:pPr>
              <w:pStyle w:val="TableContents"/>
              <w:spacing w:before="0" w:after="1"/>
              <w:ind w:left="0" w:right="0" w:hanging="0"/>
              <w:rPr/>
            </w:pPr>
            <w:r>
              <w:rPr/>
              <w:t>​</w:t>
            </w:r>
          </w:p>
        </w:tc>
        <w:tc>
          <w:tcPr>
            <w:tcW w:w="174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196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1"/>
              <w:ind w:left="0" w:right="0" w:hanging="0"/>
              <w:rPr/>
            </w:pPr>
            <w:r>
              <w:rPr/>
              <w:t>​</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109" w:type="dxa"/>
            <w:tcBorders/>
            <w:shd w:fill="CCEEFF" w:val="clear"/>
            <w:vAlign w:val="center"/>
          </w:tcPr>
          <w:p>
            <w:pPr>
              <w:pStyle w:val="TableContents"/>
              <w:spacing w:before="0" w:after="1"/>
              <w:ind w:left="0" w:right="0" w:hanging="0"/>
              <w:rPr/>
            </w:pPr>
            <w:r>
              <w:rPr/>
              <w:t>​</w:t>
            </w:r>
          </w:p>
        </w:tc>
        <w:tc>
          <w:tcPr>
            <w:tcW w:w="1740" w:type="dxa"/>
            <w:tcBorders/>
            <w:shd w:fill="CCEEFF" w:val="clear"/>
            <w:vAlign w:val="center"/>
          </w:tcPr>
          <w:p>
            <w:pPr>
              <w:pStyle w:val="TableContents"/>
              <w:spacing w:before="0" w:after="1"/>
              <w:ind w:left="0" w:right="0" w:hanging="0"/>
              <w:jc w:val="right"/>
              <w:rPr/>
            </w:pPr>
            <w:r>
              <w:rPr/>
              <w:t>—</w:t>
            </w:r>
          </w:p>
        </w:tc>
        <w:tc>
          <w:tcPr>
            <w:tcW w:w="196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1"/>
              <w:ind w:left="0" w:right="0" w:hanging="0"/>
              <w:rPr/>
            </w:pPr>
            <w:r>
              <w:rPr/>
              <w:t>​</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term</w:t>
            </w:r>
          </w:p>
        </w:tc>
        <w:tc>
          <w:tcPr>
            <w:tcW w:w="109" w:type="dxa"/>
            <w:tcBorders/>
            <w:shd w:fill="auto" w:val="clear"/>
            <w:vAlign w:val="center"/>
          </w:tcPr>
          <w:p>
            <w:pPr>
              <w:pStyle w:val="TableContents"/>
              <w:spacing w:before="0" w:after="1"/>
              <w:ind w:left="0" w:right="0" w:hanging="0"/>
              <w:rPr/>
            </w:pPr>
            <w:r>
              <w:rPr/>
              <w:t>​</w:t>
            </w:r>
          </w:p>
        </w:tc>
        <w:tc>
          <w:tcPr>
            <w:tcW w:w="174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196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years</w:t>
            </w:r>
          </w:p>
        </w:tc>
        <w:tc>
          <w:tcPr>
            <w:tcW w:w="154"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Unrecognized stock-based compensation expense related to these awards was $4,219 at March 31, 2023.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360" w:right="0" w:hanging="0"/>
        <w:rPr>
          <w:rFonts w:ascii="Times New Roman;Times;serif" w:hAnsi="Times New Roman;Times;serif"/>
          <w:b/>
          <w:sz w:val="20"/>
        </w:rPr>
      </w:pPr>
      <w:bookmarkStart w:id="638" w:name="Tc_PjKsR2CkPkyvH9vjXEuP7A_12_4"/>
      <w:bookmarkStart w:id="639" w:name="Tc_NvQDCodh6UWAWbDFyV4loQ_12_0"/>
      <w:bookmarkStart w:id="640" w:name="Tc_R46l77MO806nAr6lmTQ4gA_10_4"/>
      <w:bookmarkStart w:id="641" w:name="Tc_ViavjnUH5EabRopTkkt1Xw_10_0"/>
      <w:bookmarkStart w:id="642" w:name="Tc_uro8sgm6u0eDxBn_HIpVWA_9_4"/>
      <w:bookmarkStart w:id="643" w:name="Tc_xrbdHisBXUOMG6p_hPj58g_9_0"/>
      <w:bookmarkStart w:id="644" w:name="Tc_gQX_SV_78Uuhy3zQITBqvw_8_4"/>
      <w:bookmarkStart w:id="645" w:name="Tc_YVqm9P8v30aH9F1_0yFlYA_8_0"/>
      <w:bookmarkStart w:id="646" w:name="Tc_o4gMgsp_lUCYQo1z59hZHQ_7_4"/>
      <w:bookmarkStart w:id="647" w:name="Tc_Uja9YABTqEKovI-5qcpvdQ_7_0"/>
      <w:bookmarkStart w:id="648" w:name="Tc_sdtPFuBI80e2l-oVNAvsYg_6_4"/>
      <w:bookmarkStart w:id="649" w:name="Tc_6YhVp4Nh60isUyMRTNcFjQ_6_0"/>
      <w:bookmarkStart w:id="650" w:name="Tc_THTKa9EPx0eCnpS8-MJogw_5_4"/>
      <w:bookmarkStart w:id="651" w:name="Tc_1LpoEhfnUUauEmX2quSzUw_5_0"/>
      <w:bookmarkStart w:id="652" w:name="Tc_9zfjIOtR4UiZTxZh6ZGe3g_3_4"/>
      <w:bookmarkStart w:id="653" w:name="Tc_3Klfq3DKXkOCeW-m6FESWA_3_2"/>
      <w:bookmarkStart w:id="654" w:name="Tc_LlEI1aR__UCz2TD6y6MIQQ_2_4"/>
      <w:bookmarkStart w:id="655" w:name="Tc_yCELOdtcPUqKbFoK3BqVyg_2_2"/>
      <w:bookmarkStart w:id="656" w:name="Tc_ZoBliC32A0eaEVeZi5qw_Q_7_0"/>
      <w:bookmarkStart w:id="657" w:name="Tc_3Bd8LTCKYU2XOWpkVL3pkA_6_0"/>
      <w:bookmarkStart w:id="658" w:name="Tc_MaaPRXutyku1XM43GIr_AQ_5_2"/>
      <w:bookmarkStart w:id="659" w:name="Tc_e86xFwwTJkuQ_9D_ALuhdQ_5_0"/>
      <w:bookmarkStart w:id="660" w:name="Tc_F6vjHO1kzkmVWxJUqcQJHQ_3_2"/>
      <w:bookmarkStart w:id="661" w:name="Tc_Nzdy6gRXckufpTKvpXHFXg_2_2"/>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r>
        <w:rPr>
          <w:rFonts w:ascii="Times New Roman;Times;serif" w:hAnsi="Times New Roman;Times;serif"/>
          <w:b/>
          <w:sz w:val="20"/>
        </w:rPr>
        <w:t>OnkosXcel restricted stock units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table below summarizes activity relating to restricted stock units associated with OnkosXcel (the “OnkosXcel RSUs”).</w:t>
      </w:r>
    </w:p>
    <w:p>
      <w:pPr>
        <w:pStyle w:val="TextBody"/>
        <w:spacing w:before="0" w:after="0"/>
        <w:ind w:left="0" w:right="0" w:hanging="0"/>
        <w:rPr/>
      </w:pPr>
      <w:r>
        <w:rPr/>
        <w:t>​</w:t>
      </w:r>
    </w:p>
    <w:tbl>
      <w:tblPr>
        <w:tblW w:w="4018" w:type="dxa"/>
        <w:jc w:val="left"/>
        <w:tblInd w:w="0" w:type="dxa"/>
        <w:tblCellMar>
          <w:top w:w="0" w:type="dxa"/>
          <w:left w:w="0" w:type="dxa"/>
          <w:bottom w:w="0" w:type="dxa"/>
          <w:right w:w="0" w:type="dxa"/>
        </w:tblCellMar>
      </w:tblPr>
      <w:tblGrid>
        <w:gridCol w:w="2881"/>
        <w:gridCol w:w="206"/>
        <w:gridCol w:w="931"/>
      </w:tblGrid>
      <w:tr>
        <w:trPr/>
        <w:tc>
          <w:tcPr>
            <w:tcW w:w="28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829435" cy="175260"/>
                      <wp:effectExtent l="0" t="0" r="0" b="0"/>
                      <wp:wrapNone/>
                      <wp:docPr id="105" name="Frame105"/>
                      <a:graphic xmlns:a="http://schemas.openxmlformats.org/drawingml/2006/main">
                        <a:graphicData uri="http://schemas.microsoft.com/office/word/2010/wordprocessingShape">
                          <wps:wsp>
                            <wps:cNvSpPr txBox="1"/>
                            <wps:spPr>
                              <a:xfrm>
                                <a:off x="0" y="0"/>
                                <a:ext cx="1829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0810" cy="175260"/>
                      <wp:effectExtent l="0" t="0" r="0" b="0"/>
                      <wp:wrapNone/>
                      <wp:docPr id="106" name="Frame106"/>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91185" cy="175260"/>
                      <wp:effectExtent l="0" t="0" r="0" b="0"/>
                      <wp:wrapNone/>
                      <wp:docPr id="107" name="Frame10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81"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r>
      <w:tr>
        <w:trPr/>
        <w:tc>
          <w:tcPr>
            <w:tcW w:w="2881"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2881"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r>
      <w:tr>
        <w:trPr/>
        <w:tc>
          <w:tcPr>
            <w:tcW w:w="2881"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r>
      <w:tr>
        <w:trPr/>
        <w:tc>
          <w:tcPr>
            <w:tcW w:w="28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January 1, 2023</w:t>
            </w:r>
          </w:p>
        </w:tc>
        <w:tc>
          <w:tcPr>
            <w:tcW w:w="20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r>
      <w:tr>
        <w:trPr/>
        <w:tc>
          <w:tcPr>
            <w:tcW w:w="28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206"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r>
      <w:tr>
        <w:trPr/>
        <w:tc>
          <w:tcPr>
            <w:tcW w:w="28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March 31, 2023</w:t>
            </w:r>
          </w:p>
        </w:tc>
        <w:tc>
          <w:tcPr>
            <w:tcW w:w="206" w:type="dxa"/>
            <w:tcBorders/>
            <w:shd w:fill="CCEEFF" w:val="clear"/>
            <w:vAlign w:val="center"/>
          </w:tcPr>
          <w:p>
            <w:pPr>
              <w:pStyle w:val="TableContents"/>
              <w:spacing w:before="0" w:after="1"/>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225</w:t>
            </w:r>
          </w:p>
        </w:tc>
      </w:tr>
    </w:tbl>
    <w:p>
      <w:pPr>
        <w:pStyle w:val="TextBody"/>
        <w:spacing w:before="0" w:after="240"/>
        <w:ind w:left="0" w:right="0" w:firstLine="360"/>
        <w:rPr/>
      </w:pPr>
      <w:r>
        <w:rPr/>
        <w: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the first quarter of 2023, the Company granted 225 individual (not in thousands) time-based OnkosXcel RSUs to certain employees and a consultant. 125 of the OnkosXcel RSUs vest upon the earlier to occur of (a) 180 days after an initial public offering of OnkosXcel, or (b) a change in control of OnkosXcel. The remaining OnkosXcel RSUs vest over four years, with 25% vesting at the one-year anniversary of the grant date and the balance vesting ratably over the remaining 12 quarters of the vesting period. The weighted average grant date fair value per unit for the OnkosXcel RSUs was approximately $10. Unrecognized stock-based compensation expense related to these awards was approximately $2,194 as of March 31, 2023.</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Stock options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 summary of the Company’s stock option activity for the three months ended March 31, 2023 is presented below.</w:t>
      </w:r>
    </w:p>
    <w:p>
      <w:pPr>
        <w:pStyle w:val="TextBody"/>
        <w:spacing w:before="0" w:after="0"/>
        <w:ind w:left="0" w:right="0" w:hanging="0"/>
        <w:rPr/>
      </w:pPr>
      <w:r>
        <w:rPr/>
        <w:t>​</w:t>
      </w:r>
    </w:p>
    <w:tbl>
      <w:tblPr>
        <w:tblW w:w="7370" w:type="dxa"/>
        <w:jc w:val="left"/>
        <w:tblInd w:w="0" w:type="dxa"/>
        <w:tblCellMar>
          <w:top w:w="0" w:type="dxa"/>
          <w:left w:w="0" w:type="dxa"/>
          <w:bottom w:w="0" w:type="dxa"/>
          <w:right w:w="0" w:type="dxa"/>
        </w:tblCellMar>
      </w:tblPr>
      <w:tblGrid>
        <w:gridCol w:w="4396"/>
        <w:gridCol w:w="206"/>
        <w:gridCol w:w="886"/>
        <w:gridCol w:w="206"/>
        <w:gridCol w:w="383"/>
        <w:gridCol w:w="1042"/>
        <w:gridCol w:w="251"/>
      </w:tblGrid>
      <w:tr>
        <w:trPr/>
        <w:tc>
          <w:tcPr>
            <w:tcW w:w="43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791460" cy="175260"/>
                      <wp:effectExtent l="0" t="0" r="0" b="0"/>
                      <wp:wrapNone/>
                      <wp:docPr id="108" name="Frame108"/>
                      <a:graphic xmlns:a="http://schemas.openxmlformats.org/drawingml/2006/main">
                        <a:graphicData uri="http://schemas.microsoft.com/office/word/2010/wordprocessingShape">
                          <wps:wsp>
                            <wps:cNvSpPr txBox="1"/>
                            <wps:spPr>
                              <a:xfrm>
                                <a:off x="0" y="0"/>
                                <a:ext cx="2791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0810" cy="175260"/>
                      <wp:effectExtent l="0" t="0" r="0" b="0"/>
                      <wp:wrapNone/>
                      <wp:docPr id="109" name="Frame109"/>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62610" cy="175260"/>
                      <wp:effectExtent l="0" t="0" r="0" b="0"/>
                      <wp:wrapNone/>
                      <wp:docPr id="110" name="Frame110"/>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0810" cy="175260"/>
                      <wp:effectExtent l="0" t="0" r="0" b="0"/>
                      <wp:wrapNone/>
                      <wp:docPr id="111" name="Frame111"/>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43205" cy="175260"/>
                      <wp:effectExtent l="0" t="0" r="0" b="0"/>
                      <wp:wrapNone/>
                      <wp:docPr id="112" name="Frame112"/>
                      <a:graphic xmlns:a="http://schemas.openxmlformats.org/drawingml/2006/main">
                        <a:graphicData uri="http://schemas.microsoft.com/office/word/2010/wordprocessingShape">
                          <wps:wsp>
                            <wps:cNvSpPr txBox="1"/>
                            <wps:spPr>
                              <a:xfrm>
                                <a:off x="0" y="0"/>
                                <a:ext cx="2432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61670" cy="175260"/>
                      <wp:effectExtent l="0" t="0" r="0" b="0"/>
                      <wp:wrapNone/>
                      <wp:docPr id="113" name="Frame113"/>
                      <a:graphic xmlns:a="http://schemas.openxmlformats.org/drawingml/2006/main">
                        <a:graphicData uri="http://schemas.microsoft.com/office/word/2010/wordprocessingShape">
                          <wps:wsp>
                            <wps:cNvSpPr txBox="1"/>
                            <wps:spPr>
                              <a:xfrm>
                                <a:off x="0" y="0"/>
                                <a:ext cx="661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59385" cy="175260"/>
                      <wp:effectExtent l="0" t="0" r="0" b="0"/>
                      <wp:wrapNone/>
                      <wp:docPr id="114" name="Frame114"/>
                      <a:graphic xmlns:a="http://schemas.openxmlformats.org/drawingml/2006/main">
                        <a:graphicData uri="http://schemas.microsoft.com/office/word/2010/wordprocessingShape">
                          <wps:wsp>
                            <wps:cNvSpPr txBox="1"/>
                            <wps:spPr>
                              <a:xfrm>
                                <a:off x="0" y="0"/>
                                <a:ext cx="159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9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rPr/>
            </w:pPr>
            <w:r>
              <w:rPr/>
              <w:t>​</w:t>
            </w:r>
          </w:p>
        </w:tc>
        <w:tc>
          <w:tcPr>
            <w:tcW w:w="1425" w:type="dxa"/>
            <w:gridSpan w:val="2"/>
            <w:tcBorders/>
            <w:shd w:fill="auto" w:val="clear"/>
            <w:vAlign w:val="center"/>
          </w:tcPr>
          <w:p>
            <w:pPr>
              <w:pStyle w:val="TableContents"/>
              <w:spacing w:before="0" w:after="0"/>
              <w:ind w:left="0" w:right="0" w:hanging="0"/>
              <w:jc w:val="center"/>
              <w:rPr/>
            </w:pPr>
            <w:r>
              <w:rPr/>
              <w:t>​</w:t>
            </w:r>
          </w:p>
        </w:tc>
        <w:tc>
          <w:tcPr>
            <w:tcW w:w="251" w:type="dxa"/>
            <w:tcBorders/>
            <w:shd w:fill="auto" w:val="clear"/>
            <w:vAlign w:val="center"/>
          </w:tcPr>
          <w:p>
            <w:pPr>
              <w:pStyle w:val="TableContents"/>
              <w:spacing w:before="0" w:after="0"/>
              <w:ind w:left="0" w:right="0" w:hanging="0"/>
              <w:rPr/>
            </w:pPr>
            <w:r>
              <w:rPr/>
              <w:t>​</w:t>
            </w:r>
          </w:p>
        </w:tc>
      </w:tr>
      <w:tr>
        <w:trPr/>
        <w:tc>
          <w:tcPr>
            <w:tcW w:w="439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206" w:type="dxa"/>
            <w:tcBorders/>
            <w:shd w:fill="auto" w:val="clear"/>
            <w:vAlign w:val="center"/>
          </w:tcPr>
          <w:p>
            <w:pPr>
              <w:pStyle w:val="TableContents"/>
              <w:spacing w:before="0" w:after="0"/>
              <w:ind w:left="0" w:right="0" w:hanging="0"/>
              <w:rPr/>
            </w:pPr>
            <w:r>
              <w:rPr/>
              <w:t>​</w:t>
            </w:r>
          </w:p>
        </w:tc>
        <w:tc>
          <w:tcPr>
            <w:tcW w:w="142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251" w:type="dxa"/>
            <w:tcBorders/>
            <w:shd w:fill="auto" w:val="clear"/>
            <w:vAlign w:val="center"/>
          </w:tcPr>
          <w:p>
            <w:pPr>
              <w:pStyle w:val="TableContents"/>
              <w:spacing w:before="0" w:after="0"/>
              <w:ind w:left="0" w:right="0" w:hanging="0"/>
              <w:rPr/>
            </w:pPr>
            <w:r>
              <w:rPr/>
              <w:t>​</w:t>
            </w:r>
          </w:p>
        </w:tc>
      </w:tr>
      <w:tr>
        <w:trPr/>
        <w:tc>
          <w:tcPr>
            <w:tcW w:w="439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shares </w:t>
            </w:r>
          </w:p>
        </w:tc>
        <w:tc>
          <w:tcPr>
            <w:tcW w:w="206" w:type="dxa"/>
            <w:tcBorders/>
            <w:shd w:fill="auto" w:val="clear"/>
            <w:vAlign w:val="center"/>
          </w:tcPr>
          <w:p>
            <w:pPr>
              <w:pStyle w:val="TableContents"/>
              <w:spacing w:before="0" w:after="0"/>
              <w:ind w:left="0" w:right="0" w:hanging="0"/>
              <w:rPr/>
            </w:pPr>
            <w:r>
              <w:rPr/>
              <w:t>  </w:t>
            </w:r>
          </w:p>
        </w:tc>
        <w:tc>
          <w:tcPr>
            <w:tcW w:w="14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 share</w:t>
            </w:r>
          </w:p>
        </w:tc>
        <w:tc>
          <w:tcPr>
            <w:tcW w:w="251" w:type="dxa"/>
            <w:tcBorders/>
            <w:shd w:fill="auto" w:val="clear"/>
            <w:vAlign w:val="center"/>
          </w:tcPr>
          <w:p>
            <w:pPr>
              <w:pStyle w:val="TableContents"/>
              <w:spacing w:before="0" w:after="0"/>
              <w:ind w:left="0" w:right="0" w:hanging="0"/>
              <w:rPr/>
            </w:pPr>
            <w:r>
              <w:rPr/>
              <w:t>  </w:t>
            </w:r>
          </w:p>
        </w:tc>
      </w:tr>
      <w:tr>
        <w:trPr/>
        <w:tc>
          <w:tcPr>
            <w:tcW w:w="439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rPr/>
            </w:pPr>
            <w:r>
              <w:rPr/>
              <w:t>​</w:t>
            </w:r>
          </w:p>
        </w:tc>
        <w:tc>
          <w:tcPr>
            <w:tcW w:w="383" w:type="dxa"/>
            <w:tcBorders/>
            <w:shd w:fill="auto" w:val="clear"/>
            <w:vAlign w:val="center"/>
          </w:tcPr>
          <w:p>
            <w:pPr>
              <w:pStyle w:val="TableContents"/>
              <w:spacing w:before="0" w:after="0"/>
              <w:ind w:left="0" w:right="0" w:hanging="0"/>
              <w:jc w:val="center"/>
              <w:rPr/>
            </w:pPr>
            <w:r>
              <w:rPr/>
              <w:t>​</w:t>
            </w:r>
          </w:p>
        </w:tc>
        <w:tc>
          <w:tcPr>
            <w:tcW w:w="1042" w:type="dxa"/>
            <w:tcBorders/>
            <w:shd w:fill="auto" w:val="clear"/>
            <w:vAlign w:val="center"/>
          </w:tcPr>
          <w:p>
            <w:pPr>
              <w:pStyle w:val="TableContents"/>
              <w:spacing w:before="0" w:after="0"/>
              <w:ind w:left="0" w:right="0" w:hanging="0"/>
              <w:jc w:val="center"/>
              <w:rPr/>
            </w:pPr>
            <w:r>
              <w:rPr/>
              <w:t>​</w:t>
            </w:r>
          </w:p>
        </w:tc>
        <w:tc>
          <w:tcPr>
            <w:tcW w:w="251" w:type="dxa"/>
            <w:tcBorders/>
            <w:shd w:fill="auto" w:val="clear"/>
            <w:vAlign w:val="center"/>
          </w:tcPr>
          <w:p>
            <w:pPr>
              <w:pStyle w:val="TableContents"/>
              <w:spacing w:before="0" w:after="0"/>
              <w:ind w:left="0" w:right="0" w:hanging="0"/>
              <w:rPr/>
            </w:pPr>
            <w:r>
              <w:rPr/>
              <w:t>​</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as of January 1, 2023</w:t>
            </w:r>
          </w:p>
        </w:tc>
        <w:tc>
          <w:tcPr>
            <w:tcW w:w="20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4,882</w:t>
            </w:r>
          </w:p>
        </w:tc>
        <w:tc>
          <w:tcPr>
            <w:tcW w:w="206" w:type="dxa"/>
            <w:tcBorders/>
            <w:shd w:fill="CCEEFF" w:val="clear"/>
            <w:vAlign w:val="center"/>
          </w:tcPr>
          <w:p>
            <w:pPr>
              <w:pStyle w:val="TableContents"/>
              <w:spacing w:before="0" w:after="0"/>
              <w:ind w:left="0" w:right="0" w:hanging="0"/>
              <w:rPr/>
            </w:pPr>
            <w:r>
              <w:rPr/>
              <w:t>​</w:t>
            </w:r>
          </w:p>
        </w:tc>
        <w:tc>
          <w:tcPr>
            <w:tcW w:w="38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17.23</w:t>
            </w:r>
          </w:p>
        </w:tc>
        <w:tc>
          <w:tcPr>
            <w:tcW w:w="251" w:type="dxa"/>
            <w:tcBorders/>
            <w:shd w:fill="CCEEFF" w:val="clear"/>
            <w:vAlign w:val="center"/>
          </w:tcPr>
          <w:p>
            <w:pPr>
              <w:pStyle w:val="TableContents"/>
              <w:spacing w:before="0" w:after="0"/>
              <w:ind w:left="0" w:right="0" w:hanging="0"/>
              <w:rPr/>
            </w:pPr>
            <w:r>
              <w:rPr/>
              <w:t>​</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20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958</w:t>
            </w:r>
          </w:p>
        </w:tc>
        <w:tc>
          <w:tcPr>
            <w:tcW w:w="206" w:type="dxa"/>
            <w:tcBorders/>
            <w:shd w:fill="auto" w:val="clear"/>
            <w:vAlign w:val="center"/>
          </w:tcPr>
          <w:p>
            <w:pPr>
              <w:pStyle w:val="TableContents"/>
              <w:spacing w:before="0" w:after="0"/>
              <w:ind w:left="0" w:right="0" w:hanging="0"/>
              <w:rPr/>
            </w:pPr>
            <w:r>
              <w:rPr/>
              <w:t>​</w:t>
            </w:r>
          </w:p>
        </w:tc>
        <w:tc>
          <w:tcPr>
            <w:tcW w:w="38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19.76</w:t>
            </w:r>
          </w:p>
        </w:tc>
        <w:tc>
          <w:tcPr>
            <w:tcW w:w="251" w:type="dxa"/>
            <w:tcBorders/>
            <w:shd w:fill="auto" w:val="clear"/>
            <w:vAlign w:val="center"/>
          </w:tcPr>
          <w:p>
            <w:pPr>
              <w:pStyle w:val="TableContents"/>
              <w:spacing w:before="0" w:after="0"/>
              <w:ind w:left="0" w:right="0" w:hanging="0"/>
              <w:rPr/>
            </w:pPr>
            <w:r>
              <w:rPr/>
              <w:t>​</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w:t>
            </w:r>
          </w:p>
        </w:tc>
        <w:tc>
          <w:tcPr>
            <w:tcW w:w="20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206" w:type="dxa"/>
            <w:tcBorders/>
            <w:shd w:fill="CCEEFF" w:val="clear"/>
            <w:vAlign w:val="center"/>
          </w:tcPr>
          <w:p>
            <w:pPr>
              <w:pStyle w:val="TableContents"/>
              <w:spacing w:before="0" w:after="0"/>
              <w:ind w:left="0" w:right="0" w:hanging="0"/>
              <w:rPr/>
            </w:pPr>
            <w:r>
              <w:rPr/>
              <w:t>​</w:t>
            </w:r>
          </w:p>
        </w:tc>
        <w:tc>
          <w:tcPr>
            <w:tcW w:w="38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18.02</w:t>
            </w:r>
          </w:p>
        </w:tc>
        <w:tc>
          <w:tcPr>
            <w:tcW w:w="251" w:type="dxa"/>
            <w:tcBorders/>
            <w:shd w:fill="CCEEFF" w:val="clear"/>
            <w:vAlign w:val="center"/>
          </w:tcPr>
          <w:p>
            <w:pPr>
              <w:pStyle w:val="TableContents"/>
              <w:spacing w:before="0" w:after="0"/>
              <w:ind w:left="0" w:right="0" w:hanging="0"/>
              <w:rPr/>
            </w:pPr>
            <w:r>
              <w:rPr/>
              <w:t>​</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Cancelled</w:t>
            </w:r>
          </w:p>
        </w:tc>
        <w:tc>
          <w:tcPr>
            <w:tcW w:w="20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206" w:type="dxa"/>
            <w:tcBorders/>
            <w:shd w:fill="auto" w:val="clear"/>
            <w:vAlign w:val="center"/>
          </w:tcPr>
          <w:p>
            <w:pPr>
              <w:pStyle w:val="TableContents"/>
              <w:spacing w:before="0" w:after="0"/>
              <w:ind w:left="0" w:right="0" w:hanging="0"/>
              <w:rPr/>
            </w:pPr>
            <w:r>
              <w:rPr/>
              <w:t>​</w:t>
            </w:r>
          </w:p>
        </w:tc>
        <w:tc>
          <w:tcPr>
            <w:tcW w:w="38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19.04</w:t>
            </w:r>
          </w:p>
        </w:tc>
        <w:tc>
          <w:tcPr>
            <w:tcW w:w="251" w:type="dxa"/>
            <w:tcBorders/>
            <w:shd w:fill="auto" w:val="clear"/>
            <w:vAlign w:val="center"/>
          </w:tcPr>
          <w:p>
            <w:pPr>
              <w:pStyle w:val="TableContents"/>
              <w:spacing w:before="0" w:after="0"/>
              <w:ind w:left="0" w:right="0" w:hanging="0"/>
              <w:rPr/>
            </w:pPr>
            <w:r>
              <w:rPr/>
              <w:t>​</w:t>
            </w:r>
          </w:p>
        </w:tc>
      </w:tr>
      <w:tr>
        <w:trPr/>
        <w:tc>
          <w:tcPr>
            <w:tcW w:w="43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Exercised</w:t>
            </w:r>
          </w:p>
        </w:tc>
        <w:tc>
          <w:tcPr>
            <w:tcW w:w="206" w:type="dxa"/>
            <w:tcBorders/>
            <w:shd w:fill="CCEEFF" w:val="cle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206" w:type="dxa"/>
            <w:tcBorders/>
            <w:shd w:fill="CCEEFF" w:val="clear"/>
            <w:vAlign w:val="center"/>
          </w:tcPr>
          <w:p>
            <w:pPr>
              <w:pStyle w:val="TableContents"/>
              <w:spacing w:before="0" w:after="0"/>
              <w:ind w:left="0" w:right="0" w:hanging="0"/>
              <w:rPr/>
            </w:pPr>
            <w:r>
              <w:rPr/>
              <w:t>​</w:t>
            </w:r>
          </w:p>
        </w:tc>
        <w:tc>
          <w:tcPr>
            <w:tcW w:w="38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251" w:type="dxa"/>
            <w:tcBorders/>
            <w:shd w:fill="CCEEFF" w:val="clear"/>
            <w:vAlign w:val="center"/>
          </w:tcPr>
          <w:p>
            <w:pPr>
              <w:pStyle w:val="TableContents"/>
              <w:spacing w:before="0" w:after="0"/>
              <w:ind w:left="0" w:right="0" w:hanging="0"/>
              <w:rPr/>
            </w:pPr>
            <w:r>
              <w:rPr/>
              <w:t>​</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as of March 31, 2023</w:t>
            </w:r>
          </w:p>
        </w:tc>
        <w:tc>
          <w:tcPr>
            <w:tcW w:w="206" w:type="dxa"/>
            <w:tcBorders/>
            <w:shd w:fill="auto" w:val="clear"/>
            <w:vAlign w:val="center"/>
          </w:tcPr>
          <w:p>
            <w:pPr>
              <w:pStyle w:val="TableContents"/>
              <w:spacing w:before="0" w:after="0"/>
              <w:ind w:left="0" w:right="0" w:hanging="0"/>
              <w:rPr/>
            </w:pPr>
            <w:r>
              <w:rPr/>
              <w:t>​</w:t>
            </w:r>
          </w:p>
        </w:tc>
        <w:tc>
          <w:tcPr>
            <w:tcW w:w="8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5,644</w:t>
            </w:r>
          </w:p>
        </w:tc>
        <w:tc>
          <w:tcPr>
            <w:tcW w:w="206" w:type="dxa"/>
            <w:tcBorders/>
            <w:shd w:fill="auto" w:val="clear"/>
            <w:vAlign w:val="center"/>
          </w:tcPr>
          <w:p>
            <w:pPr>
              <w:pStyle w:val="TableContents"/>
              <w:spacing w:before="0" w:after="0"/>
              <w:ind w:left="0" w:right="0" w:hanging="0"/>
              <w:rPr/>
            </w:pPr>
            <w:r>
              <w:rPr/>
              <w:t>​</w:t>
            </w:r>
          </w:p>
        </w:tc>
        <w:tc>
          <w:tcPr>
            <w:tcW w:w="38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18.14</w:t>
            </w:r>
          </w:p>
        </w:tc>
        <w:tc>
          <w:tcPr>
            <w:tcW w:w="251" w:type="dxa"/>
            <w:tcBorders/>
            <w:shd w:fill="auto" w:val="clear"/>
            <w:vAlign w:val="center"/>
          </w:tcPr>
          <w:p>
            <w:pPr>
              <w:pStyle w:val="TableContents"/>
              <w:spacing w:before="0" w:after="0"/>
              <w:ind w:left="0" w:right="0" w:hanging="0"/>
              <w:rPr/>
            </w:pPr>
            <w:r>
              <w:rPr/>
              <w:t>​</w:t>
            </w:r>
          </w:p>
        </w:tc>
      </w:tr>
      <w:tr>
        <w:trPr/>
        <w:tc>
          <w:tcPr>
            <w:tcW w:w="439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383" w:type="dxa"/>
            <w:tcBorders/>
            <w:shd w:fill="CCEEFF" w:val="clear"/>
            <w:vAlign w:val="center"/>
          </w:tcPr>
          <w:p>
            <w:pPr>
              <w:pStyle w:val="TableContents"/>
              <w:spacing w:before="0" w:after="0"/>
              <w:ind w:left="0" w:right="0" w:hanging="0"/>
              <w:rPr/>
            </w:pPr>
            <w:r>
              <w:rPr/>
              <w:t>​</w:t>
            </w:r>
          </w:p>
        </w:tc>
        <w:tc>
          <w:tcPr>
            <w:tcW w:w="1042" w:type="dxa"/>
            <w:tcBorders/>
            <w:shd w:fill="CCEEFF" w:val="clear"/>
            <w:vAlign w:val="center"/>
          </w:tcPr>
          <w:p>
            <w:pPr>
              <w:pStyle w:val="TableContents"/>
              <w:spacing w:before="0" w:after="0"/>
              <w:ind w:left="0" w:right="0" w:hanging="0"/>
              <w:jc w:val="right"/>
              <w:rPr/>
            </w:pPr>
            <w:r>
              <w:rPr/>
              <w:t>​</w:t>
            </w:r>
          </w:p>
        </w:tc>
        <w:tc>
          <w:tcPr>
            <w:tcW w:w="251" w:type="dxa"/>
            <w:tcBorders/>
            <w:shd w:fill="CCEEFF" w:val="clear"/>
            <w:vAlign w:val="center"/>
          </w:tcPr>
          <w:p>
            <w:pPr>
              <w:pStyle w:val="TableContents"/>
              <w:spacing w:before="0" w:after="0"/>
              <w:ind w:left="0" w:right="0" w:hanging="0"/>
              <w:rPr/>
            </w:pPr>
            <w:r>
              <w:rPr/>
              <w:t>​</w:t>
            </w:r>
          </w:p>
        </w:tc>
      </w:tr>
      <w:tr>
        <w:trPr/>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vested and exercisable as of March 31, 2023</w:t>
            </w:r>
          </w:p>
        </w:tc>
        <w:tc>
          <w:tcPr>
            <w:tcW w:w="20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3,112</w:t>
            </w:r>
          </w:p>
        </w:tc>
        <w:tc>
          <w:tcPr>
            <w:tcW w:w="206" w:type="dxa"/>
            <w:tcBorders/>
            <w:shd w:fill="auto" w:val="clear"/>
            <w:vAlign w:val="center"/>
          </w:tcPr>
          <w:p>
            <w:pPr>
              <w:pStyle w:val="TableContents"/>
              <w:spacing w:before="0" w:after="0"/>
              <w:ind w:left="0" w:right="0" w:hanging="0"/>
              <w:rPr/>
            </w:pPr>
            <w:r>
              <w:rPr/>
              <w:t>​</w:t>
            </w:r>
          </w:p>
        </w:tc>
        <w:tc>
          <w:tcPr>
            <w:tcW w:w="38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15.28</w:t>
            </w:r>
          </w:p>
        </w:tc>
        <w:tc>
          <w:tcPr>
            <w:tcW w:w="25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As of March 31, 2023, the intrinsic value of options outstanding was $36,070. The intrinsic value for stock options is calculated based on the difference between the exercise prices of the underlying awards and the quoted stock price of the Company’s common stock as of the reporting date.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total intrinsic value of stock options exercised for the three months ended March 31, 2023 was $3,576. No stock options were exercised for the three months ended March 31, 2022. The total intrinsic value of stock options exercisable as of March 31, 2023 and 2022 was $31,617 and $41,577, respectively.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weighted average grant date fair value per share of options granted during the three months ended March 31, 2023 and 2022 was $15.87 and $12.38, respectively.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weighted average grant date fair value per share of options vested as of March 31, 2023 was $11.31.</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weighted average remaining contractual life is 5.8 years for options exercisable as of March 31, 2023. The weighted average remaining contractual life was 7.3 years for options outstanding as of March 31, 2023.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360" w:right="0" w:hanging="0"/>
        <w:rPr>
          <w:rFonts w:ascii="Times New Roman;Times;serif" w:hAnsi="Times New Roman;Times;serif"/>
          <w:b/>
          <w:i/>
          <w:sz w:val="20"/>
        </w:rPr>
      </w:pPr>
      <w:bookmarkStart w:id="662" w:name="Tc_NfljW2BIYkKkBE2tXJG5jg_6_5"/>
      <w:bookmarkStart w:id="663" w:name="Tc_UKHkh0mvjkGp5SWLTPYx9Q_6_2"/>
      <w:bookmarkStart w:id="664" w:name="Tc_ZYFwJcEAmE2Y98dzFXczGQ_6_0"/>
      <w:bookmarkStart w:id="665" w:name="Tc_KbcehG-ij068Ub1sQ7q2Xw_5_0"/>
      <w:bookmarkStart w:id="666" w:name="Tc_C4NfoGZN2UGCsQNp62oQMw_4_5"/>
      <w:bookmarkStart w:id="667" w:name="Tc_UfEX-SzbaECYdKtEDJQWRg_4_2"/>
      <w:bookmarkStart w:id="668" w:name="Tc_CGPT-poAP0Wlwx_0I7ccCQ_4_0"/>
      <w:bookmarkStart w:id="669" w:name="Tc_y2b2GVbCs0iHbeKlakmpcA_2_5"/>
      <w:bookmarkStart w:id="670" w:name="Tc_dhhW-sCGHkCrzgSIcgB_hg_2_2"/>
      <w:bookmarkStart w:id="671" w:name="Tc_F-E60sK_g02Bah624Lchwg_1_2"/>
      <w:bookmarkStart w:id="672" w:name="Tc_SWQsYNKK8EmORwfgVTD4Aw_8_13"/>
      <w:bookmarkStart w:id="673" w:name="Tc_GYiutqNSOkWG5wlnjWbJWg_8_11"/>
      <w:bookmarkStart w:id="674" w:name="Tc_oswL7D4fi0yz5ixwogEnGw_8_10"/>
      <w:bookmarkStart w:id="675" w:name="Tc_OnLKZBZSCEmBdwZpoGRciA_8_7"/>
      <w:bookmarkStart w:id="676" w:name="Tc_vUgS0AsrZUqaN86Db_Prpw_8_5"/>
      <w:bookmarkStart w:id="677" w:name="Tc_hQi-qCrxhEe9QCeIyghzjQ_8_4"/>
      <w:bookmarkStart w:id="678" w:name="Tc_o_LIM2ZdfEWFQXyvxsl-4g_8_0"/>
      <w:bookmarkStart w:id="679" w:name="Tc_1KjN-05PLUGMv9g9hzhjfg_7_13"/>
      <w:bookmarkStart w:id="680" w:name="Tc_b5PeGHlQa0mN7fFuiGS31A_7_11"/>
      <w:bookmarkStart w:id="681" w:name="Tc_B0nJRIY4lUqDwiZuHVMJ-g_7_10"/>
      <w:bookmarkStart w:id="682" w:name="Tc_tCiLdYPFY0eXlF-E4SAupQ_7_7"/>
      <w:bookmarkStart w:id="683" w:name="Tc_SpWlrl0w_Uaa7zq-VNBWXw_7_5"/>
      <w:bookmarkStart w:id="684" w:name="Tc_Mu6OBtND4kS4NUqkCovIgQ_7_4"/>
      <w:bookmarkStart w:id="685" w:name="Tc_pfC4Q99MBEmsc0EhjgIaqw_7_0"/>
      <w:bookmarkStart w:id="686" w:name="Tc_aKovFO-2tEeOfqvl30JrOA_6_13"/>
      <w:bookmarkStart w:id="687" w:name="Tc_M39XYgaS90iRp5__aARtfA_6_11"/>
      <w:bookmarkStart w:id="688" w:name="Tc_vO4jQm3sAEy_tSI8MV6GWg_6_10"/>
      <w:bookmarkStart w:id="689" w:name="Tc_InxA9mZPhEqb9I6e3KCqqg_6_7"/>
      <w:bookmarkStart w:id="690" w:name="Tc_xglr2c6do0GwOtmWoieXLQ_6_5"/>
      <w:bookmarkStart w:id="691" w:name="Tc_xeUOngPRLEm6i8bIUZUnFA_6_4"/>
      <w:bookmarkStart w:id="692" w:name="Tc_Ymd5scFiqk-huxydXjaKDA_6_0"/>
      <w:bookmarkStart w:id="693" w:name="Tc_h5YpTonoSkexM-YMo_OE7Q_5_13"/>
      <w:bookmarkStart w:id="694" w:name="Tc_EVoCizNH_kaYc81I2E9OCw_5_11"/>
      <w:bookmarkStart w:id="695" w:name="Tc_BJURPwT4uUGUf9UyvHd4xw_5_10"/>
      <w:bookmarkStart w:id="696" w:name="Tc_5SKsOxxN2EebjBC0y3AO6w_5_7"/>
      <w:bookmarkStart w:id="697" w:name="Tc_ra5lyjtkP0irVorUnc6FjA_5_5"/>
      <w:bookmarkStart w:id="698" w:name="Tc_Fk6xwHr7QEWPcW8GdL6JNA_5_4"/>
      <w:bookmarkStart w:id="699" w:name="Tc_tPG8zPsyWEavpi58S8Tcqg_5_0"/>
      <w:bookmarkStart w:id="700" w:name="Tc_IBsKhjPkdUevPfyH6ixQvA_3_9"/>
      <w:bookmarkStart w:id="701" w:name="Tc_o-6L2k2T3UWeNdNPUazVXg_3_3"/>
      <w:bookmarkStart w:id="702" w:name="Tc_3otVEV_K702CyHsUx6K_0w_2_9"/>
      <w:bookmarkStart w:id="703" w:name="Tc_2L_CjtETJUObD9l_4CNFww_2_2"/>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r>
        <w:rPr>
          <w:rFonts w:ascii="Times New Roman;Times;serif" w:hAnsi="Times New Roman;Times;serif"/>
          <w:b/>
          <w:i/>
          <w:sz w:val="20"/>
        </w:rPr>
        <w:t>Stock-Based Compensation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The fair value of BTI stock options granted during the three months ended March 31, 2023 and 2022 was estimated using the Black-Scholes pricing model with the following assumptions: </w:t>
      </w:r>
    </w:p>
    <w:p>
      <w:pPr>
        <w:pStyle w:val="TextBody"/>
        <w:spacing w:before="0" w:after="0"/>
        <w:ind w:left="0" w:right="0" w:hanging="0"/>
        <w:rPr/>
      </w:pPr>
      <w:r>
        <w:rPr/>
        <w:t>​</w:t>
      </w:r>
    </w:p>
    <w:tbl>
      <w:tblPr>
        <w:tblW w:w="7515" w:type="dxa"/>
        <w:jc w:val="left"/>
        <w:tblInd w:w="0" w:type="dxa"/>
        <w:tblCellMar>
          <w:top w:w="0" w:type="dxa"/>
          <w:left w:w="0" w:type="dxa"/>
          <w:bottom w:w="0" w:type="dxa"/>
          <w:right w:w="0" w:type="dxa"/>
        </w:tblCellMar>
      </w:tblPr>
      <w:tblGrid>
        <w:gridCol w:w="2626"/>
        <w:gridCol w:w="326"/>
        <w:gridCol w:w="109"/>
        <w:gridCol w:w="466"/>
        <w:gridCol w:w="526"/>
        <w:gridCol w:w="166"/>
        <w:gridCol w:w="466"/>
        <w:gridCol w:w="526"/>
        <w:gridCol w:w="109"/>
        <w:gridCol w:w="466"/>
        <w:gridCol w:w="526"/>
        <w:gridCol w:w="166"/>
        <w:gridCol w:w="466"/>
        <w:gridCol w:w="571"/>
      </w:tblGrid>
      <w:tr>
        <w:trPr/>
        <w:tc>
          <w:tcPr>
            <w:tcW w:w="26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667510" cy="175260"/>
                      <wp:effectExtent l="0" t="0" r="0" b="0"/>
                      <wp:wrapNone/>
                      <wp:docPr id="115" name="Frame115"/>
                      <a:graphic xmlns:a="http://schemas.openxmlformats.org/drawingml/2006/main">
                        <a:graphicData uri="http://schemas.microsoft.com/office/word/2010/wordprocessingShape">
                          <wps:wsp>
                            <wps:cNvSpPr txBox="1"/>
                            <wps:spPr>
                              <a:xfrm>
                                <a:off x="0" y="0"/>
                                <a:ext cx="1667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17" name="Frame11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95910" cy="175260"/>
                      <wp:effectExtent l="0" t="0" r="0" b="0"/>
                      <wp:wrapNone/>
                      <wp:docPr id="118" name="Frame118"/>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34010" cy="175260"/>
                      <wp:effectExtent l="0" t="0" r="0" b="0"/>
                      <wp:wrapNone/>
                      <wp:docPr id="119" name="Frame119"/>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05410" cy="175260"/>
                      <wp:effectExtent l="0" t="0" r="0" b="0"/>
                      <wp:wrapNone/>
                      <wp:docPr id="120" name="Frame120"/>
                      <a:graphic xmlns:a="http://schemas.openxmlformats.org/drawingml/2006/main">
                        <a:graphicData uri="http://schemas.microsoft.com/office/word/2010/wordprocessingShape">
                          <wps:wsp>
                            <wps:cNvSpPr txBox="1"/>
                            <wps:spPr>
                              <a:xfrm>
                                <a:off x="0" y="0"/>
                                <a:ext cx="105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95910" cy="175260"/>
                      <wp:effectExtent l="0" t="0" r="0" b="0"/>
                      <wp:wrapNone/>
                      <wp:docPr id="121" name="Frame121"/>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34010" cy="175260"/>
                      <wp:effectExtent l="0" t="0" r="0" b="0"/>
                      <wp:wrapNone/>
                      <wp:docPr id="122" name="Frame122"/>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3" name="Frame12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95910" cy="175260"/>
                      <wp:effectExtent l="0" t="0" r="0" b="0"/>
                      <wp:wrapNone/>
                      <wp:docPr id="124" name="Frame124"/>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34010" cy="175260"/>
                      <wp:effectExtent l="0" t="0" r="0" b="0"/>
                      <wp:wrapNone/>
                      <wp:docPr id="125" name="Frame125"/>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05410" cy="175260"/>
                      <wp:effectExtent l="0" t="0" r="0" b="0"/>
                      <wp:wrapNone/>
                      <wp:docPr id="126" name="Frame126"/>
                      <a:graphic xmlns:a="http://schemas.openxmlformats.org/drawingml/2006/main">
                        <a:graphicData uri="http://schemas.microsoft.com/office/word/2010/wordprocessingShape">
                          <wps:wsp>
                            <wps:cNvSpPr txBox="1"/>
                            <wps:spPr>
                              <a:xfrm>
                                <a:off x="0" y="0"/>
                                <a:ext cx="105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95910" cy="175260"/>
                      <wp:effectExtent l="0" t="0" r="0" b="0"/>
                      <wp:wrapNone/>
                      <wp:docPr id="127" name="Frame127"/>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62585" cy="175260"/>
                      <wp:effectExtent l="0" t="0" r="0" b="0"/>
                      <wp:wrapNone/>
                      <wp:docPr id="128" name="Frame128"/>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59" w:type="dxa"/>
            <w:gridSpan w:val="6"/>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95" w:type="dxa"/>
            <w:gridSpan w:val="5"/>
            <w:tcBorders/>
            <w:shd w:fill="auto" w:val="clear"/>
            <w:vAlign w:val="center"/>
          </w:tcPr>
          <w:p>
            <w:pPr>
              <w:pStyle w:val="TableContents"/>
              <w:spacing w:before="0" w:after="0"/>
              <w:ind w:left="0" w:right="0" w:hanging="0"/>
              <w:jc w:val="center"/>
              <w:rPr/>
            </w:pPr>
            <w:r>
              <w:rPr/>
              <w:t>​</w:t>
            </w:r>
          </w:p>
        </w:tc>
      </w:tr>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59" w:type="dxa"/>
            <w:gridSpan w:val="6"/>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shd w:fill="auto" w:val="clear"/>
            <w:vAlign w:val="center"/>
          </w:tcPr>
          <w:p>
            <w:pPr>
              <w:pStyle w:val="TableContents"/>
              <w:spacing w:before="0" w:after="0"/>
              <w:ind w:left="0" w:right="0" w:hanging="0"/>
              <w:jc w:val="center"/>
              <w:rPr/>
            </w:pPr>
            <w:r>
              <w:rPr/>
              <w:t>​</w:t>
            </w:r>
          </w:p>
        </w:tc>
        <w:tc>
          <w:tcPr>
            <w:tcW w:w="219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215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109" w:type="dxa"/>
            <w:tcBorders/>
            <w:shd w:fill="auto" w:val="clear"/>
            <w:vAlign w:val="center"/>
          </w:tcPr>
          <w:p>
            <w:pPr>
              <w:pStyle w:val="TableContents"/>
              <w:spacing w:before="0" w:after="0"/>
              <w:ind w:left="0" w:right="0" w:hanging="0"/>
              <w:jc w:val="center"/>
              <w:rPr/>
            </w:pPr>
            <w:r>
              <w:rPr/>
              <w:t>​</w:t>
            </w:r>
          </w:p>
        </w:tc>
        <w:tc>
          <w:tcPr>
            <w:tcW w:w="219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2022</w:t>
            </w:r>
          </w:p>
        </w:tc>
      </w:tr>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466" w:type="dxa"/>
            <w:tcBorders/>
            <w:shd w:fill="auto" w:val="clear"/>
            <w:vAlign w:val="center"/>
          </w:tcPr>
          <w:p>
            <w:pPr>
              <w:pStyle w:val="TableContents"/>
              <w:spacing w:before="0" w:after="0"/>
              <w:ind w:left="0" w:right="0" w:hanging="0"/>
              <w:jc w:val="center"/>
              <w:rPr/>
            </w:pPr>
            <w:r>
              <w:rPr/>
              <w:t>​</w:t>
            </w:r>
          </w:p>
        </w:tc>
        <w:tc>
          <w:tcPr>
            <w:tcW w:w="526" w:type="dxa"/>
            <w:tcBorders/>
            <w:shd w:fill="auto" w:val="clear"/>
            <w:vAlign w:val="center"/>
          </w:tcPr>
          <w:p>
            <w:pPr>
              <w:pStyle w:val="TableContents"/>
              <w:spacing w:before="0" w:after="0"/>
              <w:ind w:left="0" w:right="0" w:hanging="0"/>
              <w:jc w:val="center"/>
              <w:rPr/>
            </w:pPr>
            <w:r>
              <w:rPr/>
              <w:t>​</w:t>
            </w:r>
          </w:p>
        </w:tc>
        <w:tc>
          <w:tcPr>
            <w:tcW w:w="166" w:type="dxa"/>
            <w:tcBorders/>
            <w:shd w:fill="auto" w:val="clear"/>
            <w:vAlign w:val="center"/>
          </w:tcPr>
          <w:p>
            <w:pPr>
              <w:pStyle w:val="TableContents"/>
              <w:spacing w:before="0" w:after="0"/>
              <w:ind w:left="0" w:right="0" w:hanging="0"/>
              <w:jc w:val="center"/>
              <w:rPr/>
            </w:pPr>
            <w:r>
              <w:rPr/>
              <w:t>​</w:t>
            </w:r>
          </w:p>
        </w:tc>
        <w:tc>
          <w:tcPr>
            <w:tcW w:w="466" w:type="dxa"/>
            <w:tcBorders/>
            <w:shd w:fill="auto" w:val="clear"/>
            <w:vAlign w:val="center"/>
          </w:tcPr>
          <w:p>
            <w:pPr>
              <w:pStyle w:val="TableContents"/>
              <w:spacing w:before="0" w:after="0"/>
              <w:ind w:left="0" w:right="0" w:hanging="0"/>
              <w:jc w:val="center"/>
              <w:rPr/>
            </w:pPr>
            <w:r>
              <w:rPr/>
              <w:t>​</w:t>
            </w:r>
          </w:p>
        </w:tc>
        <w:tc>
          <w:tcPr>
            <w:tcW w:w="5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466" w:type="dxa"/>
            <w:tcBorders/>
            <w:shd w:fill="auto" w:val="clear"/>
            <w:vAlign w:val="center"/>
          </w:tcPr>
          <w:p>
            <w:pPr>
              <w:pStyle w:val="TableContents"/>
              <w:spacing w:before="0" w:after="0"/>
              <w:ind w:left="0" w:right="0" w:hanging="0"/>
              <w:jc w:val="center"/>
              <w:rPr/>
            </w:pPr>
            <w:r>
              <w:rPr/>
              <w:t>​</w:t>
            </w:r>
          </w:p>
        </w:tc>
        <w:tc>
          <w:tcPr>
            <w:tcW w:w="526" w:type="dxa"/>
            <w:tcBorders/>
            <w:shd w:fill="auto" w:val="clear"/>
            <w:vAlign w:val="center"/>
          </w:tcPr>
          <w:p>
            <w:pPr>
              <w:pStyle w:val="TableContents"/>
              <w:spacing w:before="0" w:after="0"/>
              <w:ind w:left="0" w:right="0" w:hanging="0"/>
              <w:jc w:val="center"/>
              <w:rPr/>
            </w:pPr>
            <w:r>
              <w:rPr/>
              <w:t>​</w:t>
            </w:r>
          </w:p>
        </w:tc>
        <w:tc>
          <w:tcPr>
            <w:tcW w:w="166" w:type="dxa"/>
            <w:tcBorders/>
            <w:shd w:fill="auto" w:val="clear"/>
            <w:vAlign w:val="center"/>
          </w:tcPr>
          <w:p>
            <w:pPr>
              <w:pStyle w:val="TableContents"/>
              <w:spacing w:before="0" w:after="0"/>
              <w:ind w:left="0" w:right="0" w:hanging="0"/>
              <w:jc w:val="center"/>
              <w:rPr/>
            </w:pPr>
            <w:r>
              <w:rPr/>
              <w:t>​</w:t>
            </w:r>
          </w:p>
        </w:tc>
        <w:tc>
          <w:tcPr>
            <w:tcW w:w="466"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term</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years</w:t>
            </w:r>
          </w:p>
        </w:tc>
        <w:tc>
          <w:tcPr>
            <w:tcW w:w="16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years</w:t>
            </w:r>
          </w:p>
        </w:tc>
        <w:tc>
          <w:tcPr>
            <w:tcW w:w="109" w:type="dxa"/>
            <w:tcBorders/>
            <w:shd w:fill="CCEEFF" w:val="clear"/>
            <w:vAlign w:val="center"/>
          </w:tcPr>
          <w:p>
            <w:pPr>
              <w:pStyle w:val="TableContents"/>
              <w:spacing w:before="0" w:after="0"/>
              <w:ind w:left="0" w:right="0" w:hanging="0"/>
              <w:rPr/>
            </w:pPr>
            <w:r>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years</w:t>
            </w:r>
          </w:p>
        </w:tc>
        <w:tc>
          <w:tcPr>
            <w:tcW w:w="16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5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years</w:t>
            </w:r>
          </w:p>
        </w:tc>
      </w:tr>
      <w:tr>
        <w:trPr/>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stock price volatility</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97.0</w:t>
            </w:r>
          </w:p>
        </w:tc>
        <w:tc>
          <w:tcPr>
            <w:tcW w:w="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97.9</w:t>
            </w:r>
          </w:p>
        </w:tc>
        <w:tc>
          <w:tcPr>
            <w:tcW w:w="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92.7</w:t>
            </w:r>
          </w:p>
        </w:tc>
        <w:tc>
          <w:tcPr>
            <w:tcW w:w="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5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Risk-free rate of interest</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5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2023, the Company began using the historical volatility of its common stock to estimate volatility. Prior to 2023, volatility was estimated using a combination of the historical volatility of publicly traded peer companies and that of the Company’s common stock. The expected term of the awards is estimated based on the simplified method, which calculates the expected term based upon the midpoint of the life of the award and the vesting period. The Company uses the simplified method because it does not have sufficient option exercise data to provide a reasonable basis upon which to estimate the expected term. The expected dividend yield is zero percent as the Company has no history of paying dividends nor does management expect to pay dividends over the contractual terms of these options. The risk-free interest rates are determined by reference to the U.S. Treasury yield curve in effect at the time of grant, with maturities approximating the expected term of the stock options. The fair value of the underlying common stock is generally determined as the closing price of the Company’s common stock on The Nasdaq Capital Market on the grant date, with consideration of whether there is material nonpublic information that could impact that estimated fair value when it is released.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 recognized stock-based compensation expense related to awards issued under the 2017 Plan and the 2020 Plan, as well as the OnkosXcel RSUs and PSUs, of $4,877 and $3,825 for the three months ended March 31, 2023 and 2022, respectively, which were comprised as follows:</w:t>
      </w:r>
    </w:p>
    <w:p>
      <w:pPr>
        <w:pStyle w:val="TextBody"/>
        <w:spacing w:before="0" w:after="0"/>
        <w:ind w:left="0" w:right="0" w:hanging="0"/>
        <w:rPr/>
      </w:pPr>
      <w:r>
        <w:rPr/>
        <w:t>​</w:t>
      </w:r>
    </w:p>
    <w:tbl>
      <w:tblPr>
        <w:tblW w:w="5879" w:type="dxa"/>
        <w:jc w:val="left"/>
        <w:tblInd w:w="0" w:type="dxa"/>
        <w:tblCellMar>
          <w:top w:w="0" w:type="dxa"/>
          <w:left w:w="0" w:type="dxa"/>
          <w:bottom w:w="0" w:type="dxa"/>
          <w:right w:w="0" w:type="dxa"/>
        </w:tblCellMar>
      </w:tblPr>
      <w:tblGrid>
        <w:gridCol w:w="2956"/>
        <w:gridCol w:w="326"/>
        <w:gridCol w:w="308"/>
        <w:gridCol w:w="834"/>
        <w:gridCol w:w="159"/>
        <w:gridCol w:w="308"/>
        <w:gridCol w:w="834"/>
        <w:gridCol w:w="154"/>
      </w:tblGrid>
      <w:tr>
        <w:trPr/>
        <w:tc>
          <w:tcPr>
            <w:tcW w:w="2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877060" cy="175260"/>
                      <wp:effectExtent l="0" t="0" r="0" b="0"/>
                      <wp:wrapNone/>
                      <wp:docPr id="129" name="Frame129"/>
                      <a:graphic xmlns:a="http://schemas.openxmlformats.org/drawingml/2006/main">
                        <a:graphicData uri="http://schemas.microsoft.com/office/word/2010/wordprocessingShape">
                          <wps:wsp>
                            <wps:cNvSpPr txBox="1"/>
                            <wps:spPr>
                              <a:xfrm>
                                <a:off x="0" y="0"/>
                                <a:ext cx="1877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95580" cy="175260"/>
                      <wp:effectExtent l="0" t="0" r="0" b="0"/>
                      <wp:wrapNone/>
                      <wp:docPr id="131" name="Frame131"/>
                      <a:graphic xmlns:a="http://schemas.openxmlformats.org/drawingml/2006/main">
                        <a:graphicData uri="http://schemas.microsoft.com/office/word/2010/wordprocessingShape">
                          <wps:wsp>
                            <wps:cNvSpPr txBox="1"/>
                            <wps:spPr>
                              <a:xfrm>
                                <a:off x="0" y="0"/>
                                <a:ext cx="1955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29590" cy="175260"/>
                      <wp:effectExtent l="0" t="0" r="0" b="0"/>
                      <wp:wrapNone/>
                      <wp:docPr id="132" name="Frame132"/>
                      <a:graphic xmlns:a="http://schemas.openxmlformats.org/drawingml/2006/main">
                        <a:graphicData uri="http://schemas.microsoft.com/office/word/2010/wordprocessingShape">
                          <wps:wsp>
                            <wps:cNvSpPr txBox="1"/>
                            <wps:spPr>
                              <a:xfrm>
                                <a:off x="0" y="0"/>
                                <a:ext cx="5295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00965" cy="175260"/>
                      <wp:effectExtent l="0" t="0" r="0" b="0"/>
                      <wp:wrapNone/>
                      <wp:docPr id="133" name="Frame133"/>
                      <a:graphic xmlns:a="http://schemas.openxmlformats.org/drawingml/2006/main">
                        <a:graphicData uri="http://schemas.microsoft.com/office/word/2010/wordprocessingShape">
                          <wps:wsp>
                            <wps:cNvSpPr txBox="1"/>
                            <wps:spPr>
                              <a:xfrm>
                                <a:off x="0" y="0"/>
                                <a:ext cx="1009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95580" cy="175260"/>
                      <wp:effectExtent l="0" t="0" r="0" b="0"/>
                      <wp:wrapNone/>
                      <wp:docPr id="134" name="Frame134"/>
                      <a:graphic xmlns:a="http://schemas.openxmlformats.org/drawingml/2006/main">
                        <a:graphicData uri="http://schemas.microsoft.com/office/word/2010/wordprocessingShape">
                          <wps:wsp>
                            <wps:cNvSpPr txBox="1"/>
                            <wps:spPr>
                              <a:xfrm>
                                <a:off x="0" y="0"/>
                                <a:ext cx="1955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29590" cy="175260"/>
                      <wp:effectExtent l="0" t="0" r="0" b="0"/>
                      <wp:wrapNone/>
                      <wp:docPr id="135" name="Frame135"/>
                      <a:graphic xmlns:a="http://schemas.openxmlformats.org/drawingml/2006/main">
                        <a:graphicData uri="http://schemas.microsoft.com/office/word/2010/wordprocessingShape">
                          <wps:wsp>
                            <wps:cNvSpPr txBox="1"/>
                            <wps:spPr>
                              <a:xfrm>
                                <a:off x="0" y="0"/>
                                <a:ext cx="5295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97790" cy="175260"/>
                      <wp:effectExtent l="0" t="0" r="0" b="0"/>
                      <wp:wrapNone/>
                      <wp:docPr id="136" name="Frame136"/>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4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54" w:type="dxa"/>
            <w:tcBorders/>
            <w:shd w:fill="auto" w:val="clear"/>
            <w:vAlign w:val="center"/>
          </w:tcPr>
          <w:p>
            <w:pPr>
              <w:pStyle w:val="TableContents"/>
              <w:spacing w:before="0" w:after="1"/>
              <w:ind w:left="0" w:right="0" w:hanging="0"/>
              <w:rPr/>
            </w:pPr>
            <w:r>
              <w:rPr/>
              <w:t>​</w:t>
            </w:r>
          </w:p>
        </w:tc>
      </w:tr>
      <w:tr>
        <w:trPr/>
        <w:tc>
          <w:tcPr>
            <w:tcW w:w="29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9" w:type="dxa"/>
            <w:tcBorders/>
            <w:shd w:fill="auto" w:val="clear"/>
            <w:vAlign w:val="center"/>
          </w:tcPr>
          <w:p>
            <w:pPr>
              <w:pStyle w:val="TableContents"/>
              <w:spacing w:before="0" w:after="1"/>
              <w:ind w:left="0" w:right="0" w:hanging="0"/>
              <w:jc w:val="center"/>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before="0" w:after="1"/>
              <w:ind w:left="0" w:right="0" w:hanging="0"/>
              <w:rPr/>
            </w:pPr>
            <w:r>
              <w:rPr/>
              <w:t>​</w:t>
            </w:r>
          </w:p>
        </w:tc>
      </w:tr>
      <w:tr>
        <w:trPr/>
        <w:tc>
          <w:tcPr>
            <w:tcW w:w="29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8" w:type="dxa"/>
            <w:tcBorders/>
            <w:shd w:fill="auto" w:val="clear"/>
            <w:vAlign w:val="center"/>
          </w:tcPr>
          <w:p>
            <w:pPr>
              <w:pStyle w:val="TableContents"/>
              <w:spacing w:before="0" w:after="1"/>
              <w:ind w:left="0" w:right="0" w:hanging="0"/>
              <w:rPr/>
            </w:pPr>
            <w:r>
              <w:rPr/>
              <w:t>​</w:t>
            </w:r>
          </w:p>
        </w:tc>
        <w:tc>
          <w:tcPr>
            <w:tcW w:w="834" w:type="dxa"/>
            <w:tcBorders/>
            <w:shd w:fill="auto" w:val="clear"/>
            <w:vAlign w:val="center"/>
          </w:tcPr>
          <w:p>
            <w:pPr>
              <w:pStyle w:val="TableContents"/>
              <w:spacing w:before="0" w:after="1"/>
              <w:ind w:left="0" w:right="0" w:hanging="0"/>
              <w:jc w:val="center"/>
              <w:rPr/>
            </w:pPr>
            <w:r>
              <w:rPr/>
              <w:t>​</w:t>
            </w:r>
          </w:p>
        </w:tc>
        <w:tc>
          <w:tcPr>
            <w:tcW w:w="159" w:type="dxa"/>
            <w:tcBorders/>
            <w:shd w:fill="auto" w:val="clear"/>
            <w:vAlign w:val="center"/>
          </w:tcPr>
          <w:p>
            <w:pPr>
              <w:pStyle w:val="TableContents"/>
              <w:spacing w:before="0" w:after="1"/>
              <w:ind w:left="0" w:right="0" w:hanging="0"/>
              <w:jc w:val="center"/>
              <w:rPr/>
            </w:pPr>
            <w:r>
              <w:rPr/>
              <w:t>​</w:t>
            </w:r>
          </w:p>
        </w:tc>
        <w:tc>
          <w:tcPr>
            <w:tcW w:w="308" w:type="dxa"/>
            <w:tcBorders/>
            <w:shd w:fill="auto" w:val="clear"/>
            <w:vAlign w:val="center"/>
          </w:tcPr>
          <w:p>
            <w:pPr>
              <w:pStyle w:val="TableContents"/>
              <w:spacing w:before="0" w:after="1"/>
              <w:ind w:left="0" w:right="0" w:hanging="0"/>
              <w:rPr/>
            </w:pPr>
            <w:r>
              <w:rPr/>
              <w:t>​</w:t>
            </w:r>
          </w:p>
        </w:tc>
        <w:tc>
          <w:tcPr>
            <w:tcW w:w="834" w:type="dxa"/>
            <w:tcBorders/>
            <w:shd w:fill="auto" w:val="clear"/>
            <w:vAlign w:val="center"/>
          </w:tcPr>
          <w:p>
            <w:pPr>
              <w:pStyle w:val="TableContents"/>
              <w:spacing w:before="0" w:after="1"/>
              <w:ind w:left="0" w:right="0" w:hanging="0"/>
              <w:jc w:val="center"/>
              <w:rPr/>
            </w:pPr>
            <w:r>
              <w:rPr/>
              <w:t>​</w:t>
            </w:r>
          </w:p>
        </w:tc>
        <w:tc>
          <w:tcPr>
            <w:tcW w:w="154" w:type="dxa"/>
            <w:tcBorders/>
            <w:shd w:fill="auto" w:val="clear"/>
            <w:vAlign w:val="center"/>
          </w:tcPr>
          <w:p>
            <w:pPr>
              <w:pStyle w:val="TableContents"/>
              <w:spacing w:before="0" w:after="1"/>
              <w:ind w:left="0" w:right="0" w:hanging="0"/>
              <w:rPr/>
            </w:pPr>
            <w:r>
              <w:rPr/>
              <w:t>​</w:t>
            </w:r>
          </w:p>
        </w:tc>
      </w:tr>
      <w:tr>
        <w:trPr/>
        <w:tc>
          <w:tcPr>
            <w:tcW w:w="29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Research and development </w:t>
            </w:r>
          </w:p>
        </w:tc>
        <w:tc>
          <w:tcPr>
            <w:tcW w:w="326" w:type="dxa"/>
            <w:tcBorders/>
            <w:shd w:fill="CCEEFF" w:val="clear"/>
            <w:vAlign w:val="center"/>
          </w:tcPr>
          <w:p>
            <w:pPr>
              <w:pStyle w:val="TableContents"/>
              <w:spacing w:before="0" w:after="1"/>
              <w:ind w:left="0" w:right="0" w:hanging="0"/>
              <w:rPr/>
            </w:pPr>
            <w:r>
              <w:rPr/>
              <w:t>    </w:t>
            </w:r>
          </w:p>
        </w:tc>
        <w:tc>
          <w:tcPr>
            <w:tcW w:w="30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1,297</w:t>
            </w:r>
          </w:p>
        </w:tc>
        <w:tc>
          <w:tcPr>
            <w:tcW w:w="159" w:type="dxa"/>
            <w:tcBorders/>
            <w:shd w:fill="CCEEFF" w:val="clear"/>
            <w:vAlign w:val="center"/>
          </w:tcPr>
          <w:p>
            <w:pPr>
              <w:pStyle w:val="TableContents"/>
              <w:spacing w:before="0" w:after="1"/>
              <w:ind w:left="0" w:right="0" w:hanging="0"/>
              <w:rPr/>
            </w:pPr>
            <w:r>
              <w:rPr/>
              <w:t>​</w:t>
            </w:r>
          </w:p>
        </w:tc>
        <w:tc>
          <w:tcPr>
            <w:tcW w:w="30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1,001</w:t>
            </w:r>
          </w:p>
        </w:tc>
        <w:tc>
          <w:tcPr>
            <w:tcW w:w="154" w:type="dxa"/>
            <w:tcBorders/>
            <w:shd w:fill="CCEEFF" w:val="clear"/>
            <w:vAlign w:val="center"/>
          </w:tcPr>
          <w:p>
            <w:pPr>
              <w:pStyle w:val="TableContents"/>
              <w:spacing w:before="0" w:after="1"/>
              <w:ind w:left="0" w:right="0" w:hanging="0"/>
              <w:rPr/>
            </w:pPr>
            <w:r>
              <w:rPr/>
              <w:t>​</w:t>
            </w:r>
          </w:p>
        </w:tc>
      </w:tr>
      <w:tr>
        <w:trPr/>
        <w:tc>
          <w:tcPr>
            <w:tcW w:w="29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auto" w:val="clear"/>
            <w:vAlign w:val="center"/>
          </w:tcPr>
          <w:p>
            <w:pPr>
              <w:pStyle w:val="TableContents"/>
              <w:spacing w:before="0" w:after="1"/>
              <w:ind w:left="0" w:right="0" w:hanging="0"/>
              <w:rPr/>
            </w:pPr>
            <w:r>
              <w:rPr/>
              <w:t>​</w:t>
            </w:r>
          </w:p>
        </w:tc>
        <w:tc>
          <w:tcPr>
            <w:tcW w:w="30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3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3,580</w:t>
            </w:r>
          </w:p>
        </w:tc>
        <w:tc>
          <w:tcPr>
            <w:tcW w:w="159" w:type="dxa"/>
            <w:tcBorders/>
            <w:shd w:fill="auto" w:val="clear"/>
            <w:vAlign w:val="center"/>
          </w:tcPr>
          <w:p>
            <w:pPr>
              <w:pStyle w:val="TableContents"/>
              <w:spacing w:before="0" w:after="1"/>
              <w:ind w:left="0" w:right="0" w:hanging="0"/>
              <w:rPr/>
            </w:pPr>
            <w:r>
              <w:rPr/>
              <w:t>​</w:t>
            </w:r>
          </w:p>
        </w:tc>
        <w:tc>
          <w:tcPr>
            <w:tcW w:w="30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3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2,824</w:t>
            </w:r>
          </w:p>
        </w:tc>
        <w:tc>
          <w:tcPr>
            <w:tcW w:w="154" w:type="dxa"/>
            <w:tcBorders/>
            <w:shd w:fill="auto" w:val="clear"/>
            <w:vAlign w:val="center"/>
          </w:tcPr>
          <w:p>
            <w:pPr>
              <w:pStyle w:val="TableContents"/>
              <w:spacing w:before="0" w:after="1"/>
              <w:ind w:left="0" w:right="0" w:hanging="0"/>
              <w:rPr/>
            </w:pPr>
            <w:r>
              <w:rPr/>
              <w:t>​</w:t>
            </w:r>
          </w:p>
        </w:tc>
      </w:tr>
      <w:tr>
        <w:trPr/>
        <w:tc>
          <w:tcPr>
            <w:tcW w:w="29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30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4,877</w:t>
            </w:r>
          </w:p>
        </w:tc>
        <w:tc>
          <w:tcPr>
            <w:tcW w:w="159" w:type="dxa"/>
            <w:tcBorders/>
            <w:shd w:fill="CCEEFF" w:val="clear"/>
            <w:vAlign w:val="center"/>
          </w:tcPr>
          <w:p>
            <w:pPr>
              <w:pStyle w:val="TableContents"/>
              <w:spacing w:before="0" w:after="1"/>
              <w:ind w:left="0" w:right="0" w:hanging="0"/>
              <w:rPr/>
            </w:pPr>
            <w:r>
              <w:rPr/>
              <w:t>​</w:t>
            </w:r>
          </w:p>
        </w:tc>
        <w:tc>
          <w:tcPr>
            <w:tcW w:w="30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3,825</w:t>
            </w:r>
          </w:p>
        </w:tc>
        <w:tc>
          <w:tcPr>
            <w:tcW w:w="154"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Unrecognized compensation expense related to unvested BTI stock option awards as of March 31, 2023, was $28,849 and will be recognized over the remaining vesting periods of the underlying awards. The weighted-average period over which such compensation is expected to be recognized is 1.9 years.</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2020 Employee Stock Purchase Plan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Company’s 2020 Employee Stock Purchase Plan (the “ESPP”) was also approved and became effective at the Company’s 2020 annual meeting of stockholders on May 20, 2020. The ESPP is designed to assist eligible employees of the Company with the opportunity to purchase the Company’s common stock at a discount through accumulated payroll deductions during successive offering periods. The aggregate number of shares that may be issued pursuant to rights granted under the ESPP is 100 shares of common stock. In addition, the number of shares available for issuance under the ESPP will increase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of Directors. The number of shares that may be issued or transferred pursuant to rights granted under the component of the ESPP that is intended to qualify for favorable U.S. federal tax treatment under Section 423 of the Internal Revenue Code (the “Section 423 Component”) shall not exceed 500 shares. The purchase price will be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determined by the administrator of the ESPP and, for purposes of the Section 423 Component, shall not be less than 85% of the fair value of a share on the first trading day or on the last trading day of the applicable offering period, whichever is lower. The shares available for issuance under the ESPP increased by 281 shares and 280 shares on January 1, 2023 and 2022, respectively. To date, no shares have been sold under the ESPP.</w:t>
      </w:r>
    </w:p>
    <w:p>
      <w:pPr>
        <w:pStyle w:val="TextBody"/>
        <w:spacing w:before="0" w:after="200"/>
        <w:ind w:left="0" w:right="0" w:hanging="0"/>
        <w:rPr>
          <w:rFonts w:ascii="Times New Roman;Times;serif" w:hAnsi="Times New Roman;Times;serif"/>
          <w:b/>
          <w:sz w:val="20"/>
        </w:rPr>
      </w:pPr>
      <w:bookmarkStart w:id="704" w:name="Tc_zOB8090pi0CQMMtyY_VemA_13_2"/>
      <w:bookmarkStart w:id="705" w:name="Tc_LQKkqPiYG02QAF3awbiXTA_13_0"/>
      <w:bookmarkStart w:id="706" w:name="Tc_bdK4vr5mxEmilGf6HgPwcw_12_0"/>
      <w:bookmarkStart w:id="707" w:name="Tc_PnHis-Z06UiZRcQ12RktoQ_11_2"/>
      <w:bookmarkStart w:id="708" w:name="Tc_8Wbe1aRLOkSyP36OTUmBwg_11_0"/>
      <w:bookmarkStart w:id="709" w:name="Tc_4npb9-U780qBFWMzTJIIYw_10_0"/>
      <w:bookmarkStart w:id="710" w:name="Tc_wdW9TSySdEuRNw2AYbYx6Q_9_2"/>
      <w:bookmarkStart w:id="711" w:name="Tc_Xr8fYDn-Sk2MYBby25w90g_9_0"/>
      <w:bookmarkStart w:id="712" w:name="Tc_cOwkB9JONUWnqUey9a_c7Q_8_3"/>
      <w:bookmarkStart w:id="713" w:name="Tc_iB9-ak1KKkKgSKw8ENCVpg_8_0"/>
      <w:bookmarkStart w:id="714" w:name="Tc__cE21LrKF0i-ipynEmJhbQ_7_3"/>
      <w:bookmarkStart w:id="715" w:name="Tc_zgPR3Z9GEkiXWnsCI9gWww_7_0"/>
      <w:bookmarkStart w:id="716" w:name="Tc_Jt216S56jU2WVJtLxua_QQ_6_0"/>
      <w:bookmarkStart w:id="717" w:name="Tc_wqcME77iVEioKV5pVQnxhA_5_0"/>
      <w:bookmarkStart w:id="718" w:name="Tc_IYUjium-xEO1MkXSuAWhvA_4_0"/>
      <w:bookmarkStart w:id="719" w:name="Tc_EixaI60x70quCmla776g5w_3_2"/>
      <w:bookmarkStart w:id="720" w:name="Tc_iwkm43mix0m1ck2vp58voA_3_0"/>
      <w:bookmarkStart w:id="721" w:name="Tc_asEwTMXx-kar8oiwIP3NHA_1_2"/>
      <w:bookmarkStart w:id="722" w:name="Tc_OMNfjtNsUU2_JHNcRn0NKg_1_0"/>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r>
        <w:rPr>
          <w:rFonts w:ascii="Times New Roman;Times;serif" w:hAnsi="Times New Roman;Times;serif"/>
          <w:b/>
          <w:sz w:val="20"/>
        </w:rPr>
        <w:t>Note 12. Leases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BTI leases office space for its corporate headquarters at 555 Long Wharf Drive, New Haven, Connecticut (the “HQ Lease”) under an operating lease that expires in February 2026. The Company has an option to renew the HQ Lease for one additional five-year term. Payments under the HQ Lease are fixed.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 also leases equipment such as copiers and information technology equipment.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future minimum annual lease payments under operating leases, as of March 31, 2023, are as follows:</w:t>
      </w:r>
    </w:p>
    <w:p>
      <w:pPr>
        <w:pStyle w:val="TextBody"/>
        <w:spacing w:before="0" w:after="0"/>
        <w:ind w:left="0" w:right="0" w:hanging="0"/>
        <w:rPr/>
      </w:pPr>
      <w:r>
        <w:rPr/>
        <w:t>​</w:t>
      </w:r>
    </w:p>
    <w:tbl>
      <w:tblPr>
        <w:tblW w:w="4964" w:type="dxa"/>
        <w:jc w:val="left"/>
        <w:tblInd w:w="0" w:type="dxa"/>
        <w:tblCellMar>
          <w:top w:w="0" w:type="dxa"/>
          <w:left w:w="0" w:type="dxa"/>
          <w:bottom w:w="0" w:type="dxa"/>
          <w:right w:w="0" w:type="dxa"/>
        </w:tblCellMar>
      </w:tblPr>
      <w:tblGrid>
        <w:gridCol w:w="3811"/>
        <w:gridCol w:w="326"/>
        <w:gridCol w:w="211"/>
        <w:gridCol w:w="616"/>
      </w:tblGrid>
      <w:tr>
        <w:trPr/>
        <w:tc>
          <w:tcPr>
            <w:tcW w:w="3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419985" cy="175260"/>
                      <wp:effectExtent l="0" t="0" r="0" b="0"/>
                      <wp:wrapNone/>
                      <wp:docPr id="137" name="Frame137"/>
                      <a:graphic xmlns:a="http://schemas.openxmlformats.org/drawingml/2006/main">
                        <a:graphicData uri="http://schemas.microsoft.com/office/word/2010/wordprocessingShape">
                          <wps:wsp>
                            <wps:cNvSpPr txBox="1"/>
                            <wps:spPr>
                              <a:xfrm>
                                <a:off x="0" y="0"/>
                                <a:ext cx="2419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91160" cy="175260"/>
                      <wp:effectExtent l="0" t="0" r="0" b="0"/>
                      <wp:wrapNone/>
                      <wp:docPr id="140" name="Frame140"/>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8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Year ending December 31,</w:t>
            </w:r>
          </w:p>
        </w:tc>
        <w:tc>
          <w:tcPr>
            <w:tcW w:w="326" w:type="dxa"/>
            <w:tcBorders/>
            <w:shd w:fill="auto" w:val="clear"/>
            <w:vAlign w:val="center"/>
          </w:tcPr>
          <w:p>
            <w:pPr>
              <w:pStyle w:val="TableContents"/>
              <w:spacing w:before="0" w:after="1"/>
              <w:ind w:left="0" w:right="0" w:hanging="0"/>
              <w:rPr/>
            </w:pPr>
            <w:r>
              <w:rPr/>
              <w:t>    </w:t>
            </w:r>
          </w:p>
        </w:tc>
        <w:tc>
          <w:tcPr>
            <w:tcW w:w="82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16" w:type="dxa"/>
            <w:tcBorders/>
            <w:shd w:fill="auto" w:val="clear"/>
            <w:vAlign w:val="center"/>
          </w:tcPr>
          <w:p>
            <w:pPr>
              <w:pStyle w:val="TableContents"/>
              <w:spacing w:before="0" w:after="1"/>
              <w:ind w:left="0" w:right="0" w:hanging="0"/>
              <w:jc w:val="center"/>
              <w:rPr/>
            </w:pPr>
            <w:r>
              <w:rPr/>
              <w:t>​</w:t>
            </w:r>
          </w:p>
        </w:tc>
      </w:tr>
      <w:tr>
        <w:trPr/>
        <w:tc>
          <w:tcPr>
            <w:tcW w:w="38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Remainder of 2023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r>
      <w:tr>
        <w:trPr/>
        <w:tc>
          <w:tcPr>
            <w:tcW w:w="38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r>
      <w:tr>
        <w:trPr/>
        <w:tc>
          <w:tcPr>
            <w:tcW w:w="38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38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38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16" w:type="dxa"/>
            <w:tcBorders/>
            <w:shd w:fill="CCEEFF" w:val="clear"/>
            <w:vAlign w:val="center"/>
          </w:tcPr>
          <w:p>
            <w:pPr>
              <w:pStyle w:val="TableContents"/>
              <w:spacing w:before="0" w:after="1"/>
              <w:ind w:left="0" w:right="0" w:hanging="0"/>
              <w:jc w:val="right"/>
              <w:rPr/>
            </w:pPr>
            <w:r>
              <w:rPr/>
              <w:t>—</w:t>
            </w:r>
          </w:p>
        </w:tc>
      </w:tr>
      <w:tr>
        <w:trPr/>
        <w:tc>
          <w:tcPr>
            <w:tcW w:w="38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8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1,117</w:t>
            </w:r>
          </w:p>
        </w:tc>
      </w:tr>
      <w:tr>
        <w:trPr/>
        <w:tc>
          <w:tcPr>
            <w:tcW w:w="38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38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liability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1,028</w:t>
            </w:r>
          </w:p>
        </w:tc>
      </w:tr>
      <w:tr>
        <w:trPr/>
        <w:tc>
          <w:tcPr>
            <w:tcW w:w="38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current portion of lease liability</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38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Long-term portion of operating lease liability</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703</w:t>
            </w:r>
          </w:p>
        </w:tc>
      </w:tr>
    </w:tbl>
    <w:p>
      <w:pPr>
        <w:pStyle w:val="TextBody"/>
        <w:spacing w:before="0" w:after="240"/>
        <w:ind w:left="0" w:right="0" w:hanging="0"/>
        <w:rPr/>
      </w:pPr>
      <w:r>
        <w:rPr/>
        <w: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The current portion of the Company’s operating lease liability of $325, as of March 31, 2023, is included in </w:t>
      </w:r>
      <w:r>
        <w:rPr>
          <w:rFonts w:ascii="Times New Roman;Times;serif" w:hAnsi="Times New Roman;Times;serif"/>
          <w:b w:val="false"/>
          <w:i w:val="false"/>
          <w:caps w:val="false"/>
          <w:smallCaps w:val="false"/>
          <w:sz w:val="20"/>
        </w:rPr>
        <w:t>Other current liabilities</w:t>
      </w:r>
      <w:r>
        <w:rPr>
          <w:rFonts w:ascii="Times New Roman;Times;serif" w:hAnsi="Times New Roman;Times;serif"/>
          <w:sz w:val="20"/>
        </w:rPr>
        <w:t xml:space="preserve"> on the Condensed Consolidated Balance Sheets.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Lease expense was $99 and $98 for the three months ended March 31, 2023 and 2022, respectively.</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Lease renewal options are not included in the ROU asset or lease liability.</w:t>
      </w:r>
    </w:p>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Note 13. Fair Value Measurements</w:t>
      </w:r>
    </w:p>
    <w:p>
      <w:pPr>
        <w:pStyle w:val="TextBody"/>
        <w:spacing w:before="0" w:after="200"/>
        <w:ind w:left="0" w:right="0" w:firstLine="446"/>
        <w:rPr>
          <w:rFonts w:ascii="Times New Roman;Times;serif" w:hAnsi="Times New Roman;Times;serif"/>
          <w:sz w:val="20"/>
        </w:rPr>
      </w:pPr>
      <w:r>
        <w:rPr>
          <w:rFonts w:ascii="Times New Roman;Times;serif" w:hAnsi="Times New Roman;Times;serif"/>
          <w:sz w:val="20"/>
        </w:rPr>
        <w:t xml:space="preserve">The Company groups its assets and liabilities measured at fair value in three levels based on the nature of the inputs and assumptions used to determine fair value. Refer to Note 3, </w:t>
      </w:r>
      <w:r>
        <w:rPr>
          <w:rFonts w:ascii="Times New Roman;Times;serif" w:hAnsi="Times New Roman;Times;serif"/>
          <w:i/>
          <w:sz w:val="20"/>
        </w:rPr>
        <w:t>Summary of Significant Accounting Policies</w:t>
      </w:r>
      <w:r>
        <w:rPr>
          <w:rFonts w:ascii="Times New Roman;Times;serif" w:hAnsi="Times New Roman;Times;serif"/>
          <w:sz w:val="20"/>
        </w:rPr>
        <w:t>, for additional information on the accounting policies related to fair value.</w:t>
      </w:r>
    </w:p>
    <w:p>
      <w:pPr>
        <w:pStyle w:val="TextBody"/>
        <w:spacing w:before="0" w:after="200"/>
        <w:ind w:left="0" w:right="0" w:firstLine="446"/>
        <w:rPr>
          <w:rFonts w:ascii="Times New Roman;Times;serif" w:hAnsi="Times New Roman;Times;serif"/>
          <w:sz w:val="20"/>
        </w:rPr>
      </w:pPr>
      <w:r>
        <w:rPr>
          <w:rFonts w:ascii="Times New Roman;Times;serif" w:hAnsi="Times New Roman;Times;serif"/>
          <w:sz w:val="20"/>
        </w:rPr>
        <w:t>The carrying amounts of cash and cash equivalents, accounts receivable, net, and accounts payable approximate fair value due to the short-term nature of these instruments. As of March 31, 2023 and December 31, 2022, the Company had $163,036 and $191,022, respectively, primarily in money market funds that hold U.S. government cash equivalent instruments (included in cash and cash equivalents) which were valued based on Level 1 inputs. There were no transfers between levels within the hierarchy during the three months ended March 31, 2023 and the year ended December 31,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450"/>
        <w:rPr>
          <w:rFonts w:ascii="Times New Roman;Times;serif" w:hAnsi="Times New Roman;Times;serif"/>
          <w:sz w:val="20"/>
        </w:rPr>
      </w:pPr>
      <w:bookmarkStart w:id="723" w:name="Tc_oYWNze9IuUyAqGPLSS7qBw_8_3"/>
      <w:bookmarkStart w:id="724" w:name="Tc_o94G0unYSkCtywWXm3YxqA_8_0"/>
      <w:bookmarkStart w:id="725" w:name="Tc_FG5MLlCtmkiupAlZS_s_OA_7_3"/>
      <w:bookmarkStart w:id="726" w:name="Tc_Crukuq7sL0-Ebg1KJ11VhA_7_0"/>
      <w:bookmarkStart w:id="727" w:name="Tc_GUQ96yuEOEmQoV_SnSA5qg_6_3"/>
      <w:bookmarkStart w:id="728" w:name="Tc_AgeVT3BboEim9j9QKSLiRA_6_0"/>
      <w:bookmarkStart w:id="729" w:name="Tc_zVzd1Oi-5k-4w92sy_5Gxg_5_3"/>
      <w:bookmarkStart w:id="730" w:name="Tc_cVVg9GummkWmk7nBzPsI6g_5_0"/>
      <w:bookmarkStart w:id="731" w:name="Tc_-TEqOzflIk2OwgjdomDjRw_4_3"/>
      <w:bookmarkStart w:id="732" w:name="Tc_FT-kKIS1f0e-e2v6v9sTEw_4_0"/>
      <w:bookmarkStart w:id="733" w:name="Tc_0qruN7IoQ0enynsW1Bn4JQ_3_3"/>
      <w:bookmarkStart w:id="734" w:name="Tc_ndS0EHs750ayVUE5X9YTKw_3_0"/>
      <w:bookmarkStart w:id="735" w:name="Tc_YqFjpXdQ6EOaMMHHNFiqHw_1_2"/>
      <w:bookmarkStart w:id="736" w:name="Tc_vzGxRVwV0U-JpmQCe-sEaQ_5_2"/>
      <w:bookmarkStart w:id="737" w:name="Tc_PMGDtw3xakKJ2jKda4kpKg_5_0"/>
      <w:bookmarkStart w:id="738" w:name="Tc_8q_bJOlwdU2cFiuQoPGGGQ_4_0"/>
      <w:bookmarkStart w:id="739" w:name="Tc_SfP88Ns8MkSUlq9tdBj0tQ_3_2"/>
      <w:bookmarkStart w:id="740" w:name="Tc_OmifzGtpv0Ww1s9UeqDhqw_3_0"/>
      <w:bookmarkStart w:id="741" w:name="Tc_CDAXfw9kHU2y6P29WV1n7g_1_2"/>
      <w:bookmarkStart w:id="742" w:name="Tc_nMimyUjAmkaV4D6g0klTrA_7_14"/>
      <w:bookmarkStart w:id="743" w:name="Tc_sI6fySUEXUuMlX8oRa8HCQ_7_11"/>
      <w:bookmarkStart w:id="744" w:name="Tc_PXZugzdvMkub_fp1VhZEAg_7_9"/>
      <w:bookmarkStart w:id="745" w:name="Tc_0aM3OU5IOEqkgKnPJRGXEA_7_8"/>
      <w:bookmarkStart w:id="746" w:name="Tc_aWXJz56dVkyA7x3EwyQ3vg_7_6"/>
      <w:bookmarkStart w:id="747" w:name="Tc_FbwI4wgOpkiQzI_ugJprlA_7_5"/>
      <w:bookmarkStart w:id="748" w:name="Tc_D5VhdyXbgEuP1EjAQSD_YQ_7_2"/>
      <w:bookmarkStart w:id="749" w:name="Tc_psRoyq6kekqnaPMWZBgI7w_6_9"/>
      <w:bookmarkStart w:id="750" w:name="Tc_RXgbJ2GfpUKE-bu2IxCNOQ_6_6"/>
      <w:bookmarkStart w:id="751" w:name="Tc_vWLzx8ICdEKc5reXLzIdRA_6_0"/>
      <w:bookmarkStart w:id="752" w:name="Tc_sGiSL3vOTU6zRfZ7rE0t7w_5_14"/>
      <w:bookmarkStart w:id="753" w:name="Tc_rFvn5XWKUUWr9jz4Lu_Ogg_5_11"/>
      <w:bookmarkStart w:id="754" w:name="Tc_EKyn9F4sGkOerJzQBJk-WQ_5_9"/>
      <w:bookmarkStart w:id="755" w:name="Tc_UbPKrAmOWEOKc9bo1Z_foQ_5_8"/>
      <w:bookmarkStart w:id="756" w:name="Tc_X8ELKr3iGEWT-2gumxd53Q_5_6"/>
      <w:bookmarkStart w:id="757" w:name="Tc_SkHijRognEqzHdwNEkXXYg_5_5"/>
      <w:bookmarkStart w:id="758" w:name="Tc_zuXmOOYUbkyO90mpnJoAMg_5_2"/>
      <w:bookmarkStart w:id="759" w:name="Tc_qvqSnHV0hE-9aNue0vVhdA_5_0"/>
      <w:bookmarkStart w:id="760" w:name="Tc_tCYChNFrgkWQ5vPWbfpimw_3_14"/>
      <w:bookmarkStart w:id="761" w:name="Tc_uI2yU2b_5E-h1AGP3EunUA_3_11"/>
      <w:bookmarkStart w:id="762" w:name="Tc_Ba9dlA-aH0-rC7D0Pm4kjA_3_8"/>
      <w:bookmarkStart w:id="763" w:name="Tc_UgJ3QmU8_kmoOnLyuRGdhQ_3_5"/>
      <w:bookmarkStart w:id="764" w:name="Tc_NEHAACvfMEWyhOR8CMciNw_3_2"/>
      <w:bookmarkStart w:id="765" w:name="Tc_teFxh12nC0Csjf1cYzPClA_2_2"/>
      <w:bookmarkStart w:id="766" w:name="Tc_THlePxdxVE6caDzwNDMr-g_1_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r>
        <w:rPr>
          <w:rFonts w:ascii="Times New Roman;Times;serif" w:hAnsi="Times New Roman;Times;serif"/>
          <w:sz w:val="20"/>
        </w:rPr>
        <w:t>Derivative liabilities measured at fair value on a recurring basis are summarized below.</w:t>
      </w:r>
    </w:p>
    <w:p>
      <w:pPr>
        <w:pStyle w:val="TextBody"/>
        <w:spacing w:before="0" w:after="0"/>
        <w:ind w:left="0" w:right="0" w:hanging="0"/>
        <w:rPr/>
      </w:pPr>
      <w:r>
        <w:rPr/>
        <w:t>​</w:t>
      </w:r>
    </w:p>
    <w:tbl>
      <w:tblPr>
        <w:tblW w:w="8200" w:type="dxa"/>
        <w:jc w:val="left"/>
        <w:tblInd w:w="0" w:type="dxa"/>
        <w:tblCellMar>
          <w:top w:w="0" w:type="dxa"/>
          <w:left w:w="0" w:type="dxa"/>
          <w:bottom w:w="0" w:type="dxa"/>
          <w:right w:w="0" w:type="dxa"/>
        </w:tblCellMar>
      </w:tblPr>
      <w:tblGrid>
        <w:gridCol w:w="3841"/>
        <w:gridCol w:w="109"/>
        <w:gridCol w:w="239"/>
        <w:gridCol w:w="646"/>
        <w:gridCol w:w="109"/>
        <w:gridCol w:w="239"/>
        <w:gridCol w:w="391"/>
        <w:gridCol w:w="109"/>
        <w:gridCol w:w="239"/>
        <w:gridCol w:w="391"/>
        <w:gridCol w:w="109"/>
        <w:gridCol w:w="211"/>
        <w:gridCol w:w="571"/>
        <w:gridCol w:w="109"/>
        <w:gridCol w:w="211"/>
        <w:gridCol w:w="676"/>
      </w:tblGrid>
      <w:tr>
        <w:trPr/>
        <w:tc>
          <w:tcPr>
            <w:tcW w:w="3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439035" cy="175260"/>
                      <wp:effectExtent l="0" t="0" r="0" b="0"/>
                      <wp:wrapNone/>
                      <wp:docPr id="141" name="Frame141"/>
                      <a:graphic xmlns:a="http://schemas.openxmlformats.org/drawingml/2006/main">
                        <a:graphicData uri="http://schemas.microsoft.com/office/word/2010/wordprocessingShape">
                          <wps:wsp>
                            <wps:cNvSpPr txBox="1"/>
                            <wps:spPr>
                              <a:xfrm>
                                <a:off x="0" y="0"/>
                                <a:ext cx="2439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51765" cy="175260"/>
                      <wp:effectExtent l="0" t="0" r="0" b="0"/>
                      <wp:wrapNone/>
                      <wp:docPr id="143" name="Frame143"/>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10210" cy="175260"/>
                      <wp:effectExtent l="0" t="0" r="0" b="0"/>
                      <wp:wrapNone/>
                      <wp:docPr id="144" name="Frame144"/>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51765" cy="175260"/>
                      <wp:effectExtent l="0" t="0" r="0" b="0"/>
                      <wp:wrapNone/>
                      <wp:docPr id="146" name="Frame146"/>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48285" cy="175260"/>
                      <wp:effectExtent l="0" t="0" r="0" b="0"/>
                      <wp:wrapNone/>
                      <wp:docPr id="147" name="Frame147"/>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1765" cy="175260"/>
                      <wp:effectExtent l="0" t="0" r="0" b="0"/>
                      <wp:wrapNone/>
                      <wp:docPr id="149" name="Frame149"/>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48285" cy="175260"/>
                      <wp:effectExtent l="0" t="0" r="0" b="0"/>
                      <wp:wrapNone/>
                      <wp:docPr id="150" name="Frame150"/>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1" name="Frame15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2" name="Frame15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62585" cy="175260"/>
                      <wp:effectExtent l="0" t="0" r="0" b="0"/>
                      <wp:wrapNone/>
                      <wp:docPr id="153" name="Frame15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4" name="Frame15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29260" cy="175260"/>
                      <wp:effectExtent l="0" t="0" r="0" b="0"/>
                      <wp:wrapNone/>
                      <wp:docPr id="156" name="Frame15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8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250" w:type="dxa"/>
            <w:gridSpan w:val="1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8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250"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38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shd w:fill="auto" w:val="clear"/>
            <w:vAlign w:val="center"/>
          </w:tcPr>
          <w:p>
            <w:pPr>
              <w:pStyle w:val="TableContents"/>
              <w:spacing w:before="0" w:after="0"/>
              <w:ind w:left="0" w:right="0" w:hanging="0"/>
              <w:rPr/>
            </w:pPr>
            <w:r>
              <w:rPr/>
              <w:t>​</w:t>
            </w:r>
          </w:p>
        </w:tc>
        <w:tc>
          <w:tcPr>
            <w:tcW w:w="6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shd w:fill="auto" w:val="clear"/>
            <w:vAlign w:val="center"/>
          </w:tcPr>
          <w:p>
            <w:pPr>
              <w:pStyle w:val="TableContents"/>
              <w:spacing w:before="0" w:after="0"/>
              <w:ind w:left="0" w:right="0" w:hanging="0"/>
              <w:rPr/>
            </w:pPr>
            <w:r>
              <w:rPr/>
              <w:t>​</w:t>
            </w:r>
          </w:p>
        </w:tc>
        <w:tc>
          <w:tcPr>
            <w:tcW w:w="6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shd w:fill="auto" w:val="clear"/>
            <w:vAlign w:val="center"/>
          </w:tcPr>
          <w:p>
            <w:pPr>
              <w:pStyle w:val="TableContents"/>
              <w:spacing w:before="0" w:after="0"/>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r>
      <w:tr>
        <w:trPr/>
        <w:tc>
          <w:tcPr>
            <w:tcW w:w="38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Derivative liability - Equity Investment Right</w:t>
            </w:r>
          </w:p>
        </w:tc>
        <w:tc>
          <w:tcPr>
            <w:tcW w:w="109"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1,227</w:t>
            </w:r>
          </w:p>
        </w:tc>
        <w:tc>
          <w:tcPr>
            <w:tcW w:w="109"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1,227</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1,227</w:t>
            </w:r>
          </w:p>
        </w:tc>
      </w:tr>
      <w:tr>
        <w:trPr/>
        <w:tc>
          <w:tcPr>
            <w:tcW w:w="38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Derivative liability - OnkosXcel Warrants</w:t>
            </w:r>
          </w:p>
        </w:tc>
        <w:tc>
          <w:tcPr>
            <w:tcW w:w="109"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1,347</w:t>
            </w:r>
          </w:p>
        </w:tc>
        <w:tc>
          <w:tcPr>
            <w:tcW w:w="109"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1,347</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1,347</w:t>
            </w:r>
          </w:p>
        </w:tc>
      </w:tr>
      <w:tr>
        <w:trPr/>
        <w:tc>
          <w:tcPr>
            <w:tcW w:w="3841"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derivative liabilities</w:t>
            </w:r>
          </w:p>
        </w:tc>
        <w:tc>
          <w:tcPr>
            <w:tcW w:w="109" w:type="dxa"/>
            <w:tcBorders/>
            <w:shd w:fill="CCEEFF" w:val="clear"/>
            <w:vAlign w:val="center"/>
          </w:tcPr>
          <w:p>
            <w:pPr>
              <w:pStyle w:val="TableContents"/>
              <w:spacing w:before="0" w:after="0"/>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2,574</w:t>
            </w:r>
          </w:p>
        </w:tc>
        <w:tc>
          <w:tcPr>
            <w:tcW w:w="109" w:type="dxa"/>
            <w:tcBorders/>
            <w:shd w:fill="CCEEFF" w:val="clear"/>
            <w:vAlign w:val="center"/>
          </w:tcPr>
          <w:p>
            <w:pPr>
              <w:pStyle w:val="TableContents"/>
              <w:spacing w:before="0" w:after="0"/>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2,574</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2,574</w:t>
            </w:r>
          </w:p>
        </w:tc>
      </w:tr>
    </w:tbl>
    <w:p>
      <w:pPr>
        <w:pStyle w:val="TextBody"/>
        <w:spacing w:before="0" w:after="0"/>
        <w:ind w:left="0" w:right="0" w:firstLine="446"/>
        <w:rPr/>
      </w:pPr>
      <w:r>
        <w:rPr/>
        <w:t>​</w:t>
      </w:r>
    </w:p>
    <w:p>
      <w:pPr>
        <w:pStyle w:val="TextBody"/>
        <w:spacing w:before="0" w:after="200"/>
        <w:ind w:left="0" w:right="0" w:firstLine="446"/>
        <w:rPr>
          <w:rFonts w:ascii="Times New Roman;Times;serif" w:hAnsi="Times New Roman;Times;serif"/>
          <w:sz w:val="20"/>
        </w:rPr>
      </w:pPr>
      <w:r>
        <w:rPr>
          <w:rFonts w:ascii="Times New Roman;Times;serif" w:hAnsi="Times New Roman;Times;serif"/>
          <w:sz w:val="20"/>
        </w:rPr>
        <w:t>Derivative liabilities are comprised of the OnkosXcel Warrants and Equity Investment Right held by the Lenders. The fair value of the derivative liabilities was determined using Monte Carlo simulation models for the Equity Investment Right, and Binomial Option Pricing and Distribution models for the OnkosXcel Warrants.</w:t>
      </w:r>
    </w:p>
    <w:p>
      <w:pPr>
        <w:pStyle w:val="TextBody"/>
        <w:spacing w:before="0" w:after="200"/>
        <w:ind w:left="0" w:right="0" w:firstLine="446"/>
        <w:rPr>
          <w:rFonts w:ascii="Times New Roman;Times;serif" w:hAnsi="Times New Roman;Times;serif"/>
          <w:sz w:val="20"/>
        </w:rPr>
      </w:pPr>
      <w:r>
        <w:rPr>
          <w:rFonts w:ascii="Times New Roman;Times;serif" w:hAnsi="Times New Roman;Times;serif"/>
          <w:sz w:val="20"/>
        </w:rPr>
        <w:t>The following table presents changes in Level 3 liabilities measured at fair value for the three months ended March 31, 2023. Both observable and unobservable inputs were used to determine the fair value of positions that the Company has classified within the Level 3 category.</w:t>
      </w:r>
    </w:p>
    <w:p>
      <w:pPr>
        <w:pStyle w:val="TextBody"/>
        <w:spacing w:before="0" w:after="0"/>
        <w:ind w:left="0" w:right="0" w:hanging="0"/>
        <w:rPr/>
      </w:pPr>
      <w:r>
        <w:rPr/>
        <w:t>​</w:t>
      </w:r>
    </w:p>
    <w:tbl>
      <w:tblPr>
        <w:tblW w:w="4295" w:type="dxa"/>
        <w:jc w:val="left"/>
        <w:tblInd w:w="0" w:type="dxa"/>
        <w:tblCellMar>
          <w:top w:w="0" w:type="dxa"/>
          <w:left w:w="0" w:type="dxa"/>
          <w:bottom w:w="0" w:type="dxa"/>
          <w:right w:w="0" w:type="dxa"/>
        </w:tblCellMar>
      </w:tblPr>
      <w:tblGrid>
        <w:gridCol w:w="2581"/>
        <w:gridCol w:w="109"/>
        <w:gridCol w:w="380"/>
        <w:gridCol w:w="1225"/>
      </w:tblGrid>
      <w:tr>
        <w:trPr/>
        <w:tc>
          <w:tcPr>
            <w:tcW w:w="25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638935" cy="175260"/>
                      <wp:effectExtent l="0" t="0" r="0" b="0"/>
                      <wp:wrapNone/>
                      <wp:docPr id="157" name="Frame157"/>
                      <a:graphic xmlns:a="http://schemas.openxmlformats.org/drawingml/2006/main">
                        <a:graphicData uri="http://schemas.microsoft.com/office/word/2010/wordprocessingShape">
                          <wps:wsp>
                            <wps:cNvSpPr txBox="1"/>
                            <wps:spPr>
                              <a:xfrm>
                                <a:off x="0" y="0"/>
                                <a:ext cx="1638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41300" cy="175260"/>
                      <wp:effectExtent l="0" t="0" r="0" b="0"/>
                      <wp:wrapNone/>
                      <wp:docPr id="159" name="Frame159"/>
                      <a:graphic xmlns:a="http://schemas.openxmlformats.org/drawingml/2006/main">
                        <a:graphicData uri="http://schemas.microsoft.com/office/word/2010/wordprocessingShape">
                          <wps:wsp>
                            <wps:cNvSpPr txBox="1"/>
                            <wps:spPr>
                              <a:xfrm>
                                <a:off x="0" y="0"/>
                                <a:ext cx="2413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777875" cy="175260"/>
                      <wp:effectExtent l="0" t="0" r="0" b="0"/>
                      <wp:wrapNone/>
                      <wp:docPr id="160" name="Frame160"/>
                      <a:graphic xmlns:a="http://schemas.openxmlformats.org/drawingml/2006/main">
                        <a:graphicData uri="http://schemas.microsoft.com/office/word/2010/wordprocessingShape">
                          <wps:wsp>
                            <wps:cNvSpPr txBox="1"/>
                            <wps:spPr>
                              <a:xfrm>
                                <a:off x="0" y="0"/>
                                <a:ext cx="777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6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liabilities</w:t>
            </w:r>
          </w:p>
        </w:tc>
      </w:tr>
      <w:tr>
        <w:trPr/>
        <w:tc>
          <w:tcPr>
            <w:tcW w:w="25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80" w:type="dxa"/>
            <w:tcBorders/>
            <w:shd w:fill="auto" w:val="clear"/>
            <w:vAlign w:val="center"/>
          </w:tcPr>
          <w:p>
            <w:pPr>
              <w:pStyle w:val="TableContents"/>
              <w:spacing w:before="0" w:after="0"/>
              <w:ind w:left="0" w:right="0" w:hanging="0"/>
              <w:rPr/>
            </w:pPr>
            <w:r>
              <w:rPr/>
              <w:t>​</w:t>
            </w:r>
          </w:p>
        </w:tc>
        <w:tc>
          <w:tcPr>
            <w:tcW w:w="1225" w:type="dxa"/>
            <w:tcBorders/>
            <w:shd w:fill="auto" w:val="clear"/>
            <w:vAlign w:val="center"/>
          </w:tcPr>
          <w:p>
            <w:pPr>
              <w:pStyle w:val="TableContents"/>
              <w:spacing w:before="0" w:after="0"/>
              <w:ind w:left="0" w:right="0" w:hanging="0"/>
              <w:rPr/>
            </w:pPr>
            <w:r>
              <w:rPr/>
              <w:t>​</w:t>
            </w:r>
          </w:p>
        </w:tc>
      </w:tr>
      <w:tr>
        <w:trPr/>
        <w:tc>
          <w:tcPr>
            <w:tcW w:w="258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 December 31, 2022</w:t>
            </w:r>
          </w:p>
        </w:tc>
        <w:tc>
          <w:tcPr>
            <w:tcW w:w="109" w:type="dxa"/>
            <w:tcBorders/>
            <w:shd w:fill="CCEEFF" w:val="clear"/>
            <w:vAlign w:val="center"/>
          </w:tcPr>
          <w:p>
            <w:pPr>
              <w:pStyle w:val="TableContents"/>
              <w:spacing w:before="0" w:after="0"/>
              <w:ind w:left="0" w:right="0" w:hanging="0"/>
              <w:rPr/>
            </w:pPr>
            <w:r>
              <w:rPr/>
              <w:t>​</w:t>
            </w:r>
          </w:p>
        </w:tc>
        <w:tc>
          <w:tcPr>
            <w:tcW w:w="38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2,343</w:t>
            </w:r>
          </w:p>
        </w:tc>
      </w:tr>
      <w:tr>
        <w:trPr/>
        <w:tc>
          <w:tcPr>
            <w:tcW w:w="2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fair value</w:t>
            </w:r>
          </w:p>
        </w:tc>
        <w:tc>
          <w:tcPr>
            <w:tcW w:w="109" w:type="dxa"/>
            <w:tcBorders/>
            <w:shd w:fill="auto" w:val="clear"/>
            <w:vAlign w:val="center"/>
          </w:tcPr>
          <w:p>
            <w:pPr>
              <w:pStyle w:val="TableContents"/>
              <w:spacing w:before="0" w:after="0"/>
              <w:ind w:left="0" w:right="0" w:hanging="0"/>
              <w:rPr/>
            </w:pPr>
            <w:r>
              <w:rPr/>
              <w:t>​</w:t>
            </w:r>
          </w:p>
        </w:tc>
        <w:tc>
          <w:tcPr>
            <w:tcW w:w="38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258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 - March 31, 2023</w:t>
            </w:r>
          </w:p>
        </w:tc>
        <w:tc>
          <w:tcPr>
            <w:tcW w:w="109" w:type="dxa"/>
            <w:tcBorders/>
            <w:shd w:fill="CCEEFF" w:val="clear"/>
            <w:vAlign w:val="center"/>
          </w:tcPr>
          <w:p>
            <w:pPr>
              <w:pStyle w:val="TableContents"/>
              <w:spacing w:before="0" w:after="0"/>
              <w:ind w:left="0" w:right="0" w:hanging="0"/>
              <w:rPr/>
            </w:pPr>
            <w:r>
              <w:rPr/>
              <w:t>​</w:t>
            </w:r>
          </w:p>
        </w:tc>
        <w:tc>
          <w:tcPr>
            <w:tcW w:w="38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25"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2,574</w:t>
            </w:r>
          </w:p>
        </w:tc>
      </w:tr>
    </w:tbl>
    <w:p>
      <w:pPr>
        <w:pStyle w:val="TextBody"/>
        <w:spacing w:before="0" w:after="0"/>
        <w:ind w:left="0" w:right="0" w:firstLine="446"/>
        <w:rPr/>
      </w:pPr>
      <w:r>
        <w:rPr/>
        <w:t>​</w:t>
      </w:r>
    </w:p>
    <w:p>
      <w:pPr>
        <w:pStyle w:val="TextBody"/>
        <w:spacing w:before="0" w:after="200"/>
        <w:ind w:left="0" w:right="0" w:firstLine="446"/>
        <w:rPr>
          <w:rFonts w:ascii="Times New Roman;Times;serif" w:hAnsi="Times New Roman;Times;serif"/>
          <w:sz w:val="20"/>
        </w:rPr>
      </w:pPr>
      <w:r>
        <w:rPr>
          <w:rFonts w:ascii="Times New Roman;Times;serif" w:hAnsi="Times New Roman;Times;serif"/>
          <w:sz w:val="20"/>
        </w:rPr>
        <w:t>The change from the day one fair value of the derivative liabilities was reported in the Condensed Consolidated Balance Sheets as Derivative liabilities and Condensed Consolidated Statements of Operations as Other expense, net, as of and for the three months ended March 31, 2023.</w:t>
      </w:r>
    </w:p>
    <w:p>
      <w:pPr>
        <w:pStyle w:val="TextBody"/>
        <w:spacing w:before="0" w:after="200"/>
        <w:ind w:left="0" w:right="0" w:firstLine="446"/>
        <w:rPr>
          <w:rFonts w:ascii="Times New Roman;Times;serif" w:hAnsi="Times New Roman;Times;serif"/>
          <w:sz w:val="20"/>
        </w:rPr>
      </w:pPr>
      <w:r>
        <w:rPr>
          <w:rFonts w:ascii="Times New Roman;Times;serif" w:hAnsi="Times New Roman;Times;serif"/>
          <w:sz w:val="20"/>
        </w:rPr>
        <w:t>Inputs used to calculate the estimated fair value of the Equity Investment Right at March 31, 2023 were as follows:</w:t>
      </w:r>
    </w:p>
    <w:p>
      <w:pPr>
        <w:pStyle w:val="TextBody"/>
        <w:spacing w:before="0" w:after="0"/>
        <w:ind w:left="0" w:right="0" w:hanging="0"/>
        <w:rPr/>
      </w:pPr>
      <w:r>
        <w:rPr/>
        <w:t>​</w:t>
      </w:r>
    </w:p>
    <w:tbl>
      <w:tblPr>
        <w:tblW w:w="6695" w:type="dxa"/>
        <w:jc w:val="left"/>
        <w:tblInd w:w="0" w:type="dxa"/>
        <w:tblCellMar>
          <w:top w:w="0" w:type="dxa"/>
          <w:left w:w="0" w:type="dxa"/>
          <w:bottom w:w="0" w:type="dxa"/>
          <w:right w:w="0" w:type="dxa"/>
        </w:tblCellMar>
      </w:tblPr>
      <w:tblGrid>
        <w:gridCol w:w="4666"/>
        <w:gridCol w:w="109"/>
        <w:gridCol w:w="960"/>
        <w:gridCol w:w="960"/>
      </w:tblGrid>
      <w:tr>
        <w:trPr/>
        <w:tc>
          <w:tcPr>
            <w:tcW w:w="4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962910" cy="175260"/>
                      <wp:effectExtent l="0" t="0" r="0" b="0"/>
                      <wp:wrapNone/>
                      <wp:docPr id="161" name="Frame161"/>
                      <a:graphic xmlns:a="http://schemas.openxmlformats.org/drawingml/2006/main">
                        <a:graphicData uri="http://schemas.microsoft.com/office/word/2010/wordprocessingShape">
                          <wps:wsp>
                            <wps:cNvSpPr txBox="1"/>
                            <wps:spPr>
                              <a:xfrm>
                                <a:off x="0" y="0"/>
                                <a:ext cx="2962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09600" cy="175260"/>
                      <wp:effectExtent l="0" t="0" r="0" b="0"/>
                      <wp:wrapNone/>
                      <wp:docPr id="163" name="Frame163"/>
                      <a:graphic xmlns:a="http://schemas.openxmlformats.org/drawingml/2006/main">
                        <a:graphicData uri="http://schemas.microsoft.com/office/word/2010/wordprocessingShape">
                          <wps:wsp>
                            <wps:cNvSpPr txBox="1"/>
                            <wps:spPr>
                              <a:xfrm>
                                <a:off x="0" y="0"/>
                                <a:ext cx="6096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09600" cy="175260"/>
                      <wp:effectExtent l="0" t="0" r="0" b="0"/>
                      <wp:wrapNone/>
                      <wp:docPr id="164" name="Frame164"/>
                      <a:graphic xmlns:a="http://schemas.openxmlformats.org/drawingml/2006/main">
                        <a:graphicData uri="http://schemas.microsoft.com/office/word/2010/wordprocessingShape">
                          <wps:wsp>
                            <wps:cNvSpPr txBox="1"/>
                            <wps:spPr>
                              <a:xfrm>
                                <a:off x="0" y="0"/>
                                <a:ext cx="6096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6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Investment Right</w:t>
            </w:r>
          </w:p>
        </w:tc>
      </w:tr>
      <w:tr>
        <w:trPr/>
        <w:tc>
          <w:tcPr>
            <w:tcW w:w="46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60" w:type="dxa"/>
            <w:tcBorders/>
            <w:shd w:fill="auto" w:val="clear"/>
            <w:vAlign w:val="center"/>
          </w:tcPr>
          <w:p>
            <w:pPr>
              <w:pStyle w:val="TableContents"/>
              <w:spacing w:before="0" w:after="0"/>
              <w:ind w:left="0" w:right="0" w:hanging="0"/>
              <w:jc w:val="center"/>
              <w:rPr/>
            </w:pPr>
            <w:r>
              <w:rPr/>
              <w:t>​</w:t>
            </w:r>
          </w:p>
        </w:tc>
        <w:tc>
          <w:tcPr>
            <w:tcW w:w="960" w:type="dxa"/>
            <w:tcBorders/>
            <w:shd w:fill="auto" w:val="clear"/>
            <w:vAlign w:val="center"/>
          </w:tcPr>
          <w:p>
            <w:pPr>
              <w:pStyle w:val="TableContents"/>
              <w:spacing w:before="0" w:after="0"/>
              <w:ind w:left="0" w:right="0" w:hanging="0"/>
              <w:jc w:val="center"/>
              <w:rPr/>
            </w:pPr>
            <w:r>
              <w:rPr/>
              <w:t>​</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Strike price relative to volume weighted 30-day average</w:t>
            </w:r>
          </w:p>
        </w:tc>
        <w:tc>
          <w:tcPr>
            <w:tcW w:w="109" w:type="dxa"/>
            <w:tcBorders/>
            <w:shd w:fill="CCEEFF" w:val="clear"/>
            <w:vAlign w:val="center"/>
          </w:tcPr>
          <w:p>
            <w:pPr>
              <w:pStyle w:val="TableContents"/>
              <w:spacing w:before="0" w:after="0"/>
              <w:ind w:left="0" w:right="0" w:hanging="0"/>
              <w:rPr/>
            </w:pPr>
            <w:r>
              <w:rPr/>
              <w:t>​</w:t>
            </w:r>
          </w:p>
        </w:tc>
        <w:tc>
          <w:tcPr>
            <w:tcW w:w="96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96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Volatility (annual)</w:t>
            </w:r>
          </w:p>
        </w:tc>
        <w:tc>
          <w:tcPr>
            <w:tcW w:w="109" w:type="dxa"/>
            <w:tcBorders/>
            <w:shd w:fill="auto" w:val="clear"/>
            <w:vAlign w:val="center"/>
          </w:tcPr>
          <w:p>
            <w:pPr>
              <w:pStyle w:val="TableContents"/>
              <w:spacing w:before="0" w:after="0"/>
              <w:ind w:left="0" w:right="0" w:hanging="0"/>
              <w:rPr/>
            </w:pPr>
            <w:r>
              <w:rPr/>
              <w:t>​</w:t>
            </w:r>
          </w:p>
        </w:tc>
        <w:tc>
          <w:tcPr>
            <w:tcW w:w="96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97.4</w:t>
            </w:r>
          </w:p>
        </w:tc>
        <w:tc>
          <w:tcPr>
            <w:tcW w:w="96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Probability of exercise</w:t>
            </w:r>
          </w:p>
        </w:tc>
        <w:tc>
          <w:tcPr>
            <w:tcW w:w="109" w:type="dxa"/>
            <w:tcBorders/>
            <w:shd w:fill="CCEEFF" w:val="clear"/>
            <w:vAlign w:val="center"/>
          </w:tcPr>
          <w:p>
            <w:pPr>
              <w:pStyle w:val="TableContents"/>
              <w:spacing w:before="0" w:after="0"/>
              <w:ind w:left="0" w:right="0" w:hanging="0"/>
              <w:rPr/>
            </w:pPr>
            <w:r>
              <w:rPr/>
              <w:t>​</w:t>
            </w:r>
          </w:p>
        </w:tc>
        <w:tc>
          <w:tcPr>
            <w:tcW w:w="96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96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Time period</w:t>
            </w:r>
          </w:p>
        </w:tc>
        <w:tc>
          <w:tcPr>
            <w:tcW w:w="109" w:type="dxa"/>
            <w:tcBorders/>
            <w:shd w:fill="auto" w:val="clear"/>
            <w:vAlign w:val="center"/>
          </w:tcPr>
          <w:p>
            <w:pPr>
              <w:pStyle w:val="TableContents"/>
              <w:spacing w:before="0" w:after="0"/>
              <w:ind w:left="0" w:right="0" w:hanging="0"/>
              <w:rPr/>
            </w:pPr>
            <w:r>
              <w:rPr/>
              <w:t>​</w:t>
            </w:r>
          </w:p>
        </w:tc>
        <w:tc>
          <w:tcPr>
            <w:tcW w:w="96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96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years</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Estimated premium to 30-day average</w:t>
            </w:r>
          </w:p>
        </w:tc>
        <w:tc>
          <w:tcPr>
            <w:tcW w:w="109" w:type="dxa"/>
            <w:tcBorders/>
            <w:shd w:fill="CCEEFF" w:val="clear"/>
            <w:vAlign w:val="center"/>
          </w:tcPr>
          <w:p>
            <w:pPr>
              <w:pStyle w:val="TableContents"/>
              <w:spacing w:before="0" w:after="0"/>
              <w:ind w:left="0" w:right="0" w:hanging="0"/>
              <w:rPr/>
            </w:pPr>
            <w:r>
              <w:rPr/>
              <w:t>​</w:t>
            </w:r>
          </w:p>
        </w:tc>
        <w:tc>
          <w:tcPr>
            <w:tcW w:w="96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96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Discount rate</w:t>
            </w:r>
          </w:p>
        </w:tc>
        <w:tc>
          <w:tcPr>
            <w:tcW w:w="109" w:type="dxa"/>
            <w:tcBorders/>
            <w:shd w:fill="auto" w:val="clear"/>
            <w:vAlign w:val="center"/>
          </w:tcPr>
          <w:p>
            <w:pPr>
              <w:pStyle w:val="TableContents"/>
              <w:spacing w:before="0" w:after="0"/>
              <w:ind w:left="0" w:right="0" w:hanging="0"/>
              <w:rPr/>
            </w:pPr>
            <w:r>
              <w:rPr/>
              <w:t>​</w:t>
            </w:r>
          </w:p>
        </w:tc>
        <w:tc>
          <w:tcPr>
            <w:tcW w:w="96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96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00"/>
        <w:ind w:left="0" w:right="0" w:firstLine="446"/>
        <w:rPr>
          <w:rFonts w:ascii="Times New Roman;Times;serif" w:hAnsi="Times New Roman;Times;serif"/>
          <w:sz w:val="20"/>
        </w:rPr>
      </w:pPr>
      <w:r>
        <w:rPr>
          <w:rFonts w:ascii="Times New Roman;Times;serif" w:hAnsi="Times New Roman;Times;serif"/>
          <w:sz w:val="20"/>
        </w:rPr>
        <w:t>In estimating the fair value of the derivative liability related to the OnkosXcel Warrants, inputs included third-party fair value estimates of OnkosXcel limited liability company units along with the volatility of those units (which was set at 100% based on the historical volatility of the Company’s stock), and the timing and probability of the relevant capital transactions occurring.</w:t>
      </w:r>
    </w:p>
    <w:p>
      <w:pPr>
        <w:pStyle w:val="TextBody"/>
        <w:spacing w:before="0" w:after="200"/>
        <w:ind w:left="0" w:right="0" w:firstLine="446"/>
        <w:rPr>
          <w:rFonts w:ascii="Times New Roman;Times;serif" w:hAnsi="Times New Roman;Times;serif"/>
          <w:sz w:val="20"/>
        </w:rPr>
      </w:pPr>
      <w:r>
        <w:rPr>
          <w:rFonts w:ascii="Times New Roman;Times;serif" w:hAnsi="Times New Roman;Times;serif"/>
          <w:sz w:val="20"/>
        </w:rPr>
        <w:t>The estimated fair value of the Credit Agreement and RIFA as of March 31, 2023, were $54,698 and $32,416, respectively. Both observable and unobservable inputs were used to determine the fair value of long-term debt, which was classified within the Level 3 category.</w:t>
      </w:r>
    </w:p>
    <w:p>
      <w:pPr>
        <w:pStyle w:val="TextBody"/>
        <w:spacing w:before="0" w:after="0"/>
        <w:ind w:left="0" w:right="0" w:firstLine="446"/>
        <w:rPr>
          <w:rFonts w:ascii="Times New Roman;Times;serif" w:hAnsi="Times New Roman;Times;serif"/>
          <w:sz w:val="20"/>
        </w:rPr>
      </w:pPr>
      <w:r>
        <w:rPr>
          <w:rFonts w:ascii="Times New Roman;Times;serif" w:hAnsi="Times New Roman;Times;serif"/>
          <w:sz w:val="20"/>
        </w:rPr>
        <w:t xml:space="preserve">The fair value of the BTI warrants issued in 2022, which is a non-recurring fair value, were determined as of the date of issuance using a Black-Scholes pricing model and the fair value of $3,245 was recorded as a component of stockholders’ equity in Additional-paid-in-capital in the Condensed Consolidated Balance Sheets, with the offset recorded as a discount on the amounts funded under the OFA Facilities. This non-recurring measurement is classified as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Level 3. The inputs used were a strike price of $20.04, the Company’s stock price of $14.93, volatility of 95%, term of </w:t>
      </w:r>
      <w:r>
        <w:rPr>
          <w:rFonts w:ascii="Times New Roman;Times;serif" w:hAnsi="Times New Roman;Times;serif"/>
          <w:b w:val="false"/>
          <w:i w:val="false"/>
          <w:caps w:val="false"/>
          <w:smallCaps w:val="false"/>
          <w:sz w:val="20"/>
        </w:rPr>
        <w:t>7</w:t>
      </w:r>
      <w:r>
        <w:rPr>
          <w:rFonts w:ascii="Times New Roman;Times;serif" w:hAnsi="Times New Roman;Times;serif"/>
          <w:sz w:val="20"/>
        </w:rPr>
        <w:t xml:space="preserve"> years and risk-free rate of 2.95%.</w:t>
      </w:r>
    </w:p>
    <w:p>
      <w:pPr>
        <w:pStyle w:val="TextBody"/>
        <w:spacing w:before="0" w:after="240"/>
        <w:ind w:left="0" w:right="0" w:firstLine="360"/>
        <w:rPr/>
      </w:pPr>
      <w:r>
        <w:rPr/>
        <w:t>​</w:t>
      </w:r>
    </w:p>
    <w:p>
      <w:pPr>
        <w:pStyle w:val="TextBody"/>
        <w:spacing w:before="0" w:after="200"/>
        <w:ind w:left="0" w:right="0" w:hanging="0"/>
        <w:rPr>
          <w:rFonts w:ascii="Times New Roman;Times;serif" w:hAnsi="Times New Roman;Times;serif"/>
          <w:b/>
          <w:sz w:val="20"/>
        </w:rPr>
      </w:pPr>
      <w:bookmarkStart w:id="767" w:name="Tc_8D78y-ZBy0-QpaMdvQ0nKw_7_5"/>
      <w:bookmarkStart w:id="768" w:name="Tc_WW8C6NnVNk6ev1wDU74D_w_7_2"/>
      <w:bookmarkStart w:id="769" w:name="Tc_H3O58ziXw0Wr9g_jael2Yg_7_0"/>
      <w:bookmarkStart w:id="770" w:name="Tc_e86ADPF3jEy0Jt42Mo33Dg_6_0"/>
      <w:bookmarkStart w:id="771" w:name="Tc__U8FzANRcUqQ9Pn4npteWg_5_5"/>
      <w:bookmarkStart w:id="772" w:name="Tc_pCOZj3L81UOadkefFARvyw_5_2"/>
      <w:bookmarkStart w:id="773" w:name="Tc_gvUkPg-4EEOHU4omJrLPmQ_5_0"/>
      <w:bookmarkStart w:id="774" w:name="Tc_uytktqvQ202QMeHMGSyCww_3_5"/>
      <w:bookmarkStart w:id="775" w:name="Tc_z7lPZ01lbE-dH1us8bJDlA_3_2"/>
      <w:bookmarkStart w:id="776" w:name="Tc_6yjq3f9K6UysdDpwzDCbSw_2_2"/>
      <w:bookmarkStart w:id="777" w:name="Tc_NUXm6yv4nkihYoLKlA-soA_1_2"/>
      <w:bookmarkEnd w:id="767"/>
      <w:bookmarkEnd w:id="768"/>
      <w:bookmarkEnd w:id="769"/>
      <w:bookmarkEnd w:id="770"/>
      <w:bookmarkEnd w:id="771"/>
      <w:bookmarkEnd w:id="772"/>
      <w:bookmarkEnd w:id="773"/>
      <w:bookmarkEnd w:id="774"/>
      <w:bookmarkEnd w:id="775"/>
      <w:bookmarkEnd w:id="776"/>
      <w:bookmarkEnd w:id="777"/>
      <w:r>
        <w:rPr>
          <w:rFonts w:ascii="Times New Roman;Times;serif" w:hAnsi="Times New Roman;Times;serif"/>
          <w:b/>
          <w:sz w:val="20"/>
        </w:rPr>
        <w:t>Note 14. Net Loss Per Share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highlight w:val="white"/>
        </w:rPr>
        <w:t>Basic and diluted net loss per share are as follows</w:t>
      </w:r>
      <w:r>
        <w:rPr>
          <w:rFonts w:ascii="Times New Roman;Times;serif" w:hAnsi="Times New Roman;Times;serif"/>
          <w:sz w:val="20"/>
        </w:rPr>
        <w:t>:</w:t>
      </w:r>
    </w:p>
    <w:p>
      <w:pPr>
        <w:pStyle w:val="TextBody"/>
        <w:spacing w:before="0" w:after="0"/>
        <w:ind w:left="0" w:right="0" w:hanging="0"/>
        <w:rPr/>
      </w:pPr>
      <w:r>
        <w:rPr/>
        <w:t>​</w:t>
      </w:r>
    </w:p>
    <w:tbl>
      <w:tblPr>
        <w:tblW w:w="6151" w:type="dxa"/>
        <w:jc w:val="left"/>
        <w:tblInd w:w="0" w:type="dxa"/>
        <w:tblCellMar>
          <w:top w:w="0" w:type="dxa"/>
          <w:left w:w="0" w:type="dxa"/>
          <w:bottom w:w="0" w:type="dxa"/>
          <w:right w:w="0" w:type="dxa"/>
        </w:tblCellMar>
      </w:tblPr>
      <w:tblGrid>
        <w:gridCol w:w="3331"/>
        <w:gridCol w:w="326"/>
        <w:gridCol w:w="211"/>
        <w:gridCol w:w="796"/>
        <w:gridCol w:w="326"/>
        <w:gridCol w:w="211"/>
        <w:gridCol w:w="796"/>
        <w:gridCol w:w="154"/>
      </w:tblGrid>
      <w:tr>
        <w:trPr/>
        <w:tc>
          <w:tcPr>
            <w:tcW w:w="3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15185" cy="175260"/>
                      <wp:effectExtent l="0" t="0" r="0" b="0"/>
                      <wp:wrapNone/>
                      <wp:docPr id="165" name="Frame165"/>
                      <a:graphic xmlns:a="http://schemas.openxmlformats.org/drawingml/2006/main">
                        <a:graphicData uri="http://schemas.microsoft.com/office/word/2010/wordprocessingShape">
                          <wps:wsp>
                            <wps:cNvSpPr txBox="1"/>
                            <wps:spPr>
                              <a:xfrm>
                                <a:off x="0" y="0"/>
                                <a:ext cx="2115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05460" cy="175260"/>
                      <wp:effectExtent l="0" t="0" r="0" b="0"/>
                      <wp:wrapNone/>
                      <wp:docPr id="168" name="Frame168"/>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0" name="Frame17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05460" cy="175260"/>
                      <wp:effectExtent l="0" t="0" r="0" b="0"/>
                      <wp:wrapNone/>
                      <wp:docPr id="171" name="Frame171"/>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97790" cy="175260"/>
                      <wp:effectExtent l="0" t="0" r="0" b="0"/>
                      <wp:wrapNone/>
                      <wp:docPr id="172" name="Frame172"/>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40"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shd w:fill="auto" w:val="clear"/>
            <w:vAlign w:val="center"/>
          </w:tcPr>
          <w:p>
            <w:pPr>
              <w:pStyle w:val="TableContents"/>
              <w:spacing w:before="0" w:after="1"/>
              <w:ind w:left="0" w:right="0" w:hanging="0"/>
              <w:rPr/>
            </w:pPr>
            <w:r>
              <w:rPr/>
              <w:t>​</w:t>
            </w:r>
          </w:p>
        </w:tc>
      </w:tr>
      <w:tr>
        <w:trPr/>
        <w:tc>
          <w:tcPr>
            <w:tcW w:w="33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34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4" w:type="dxa"/>
            <w:tcBorders/>
            <w:shd w:fill="auto" w:val="clear"/>
            <w:vAlign w:val="center"/>
          </w:tcPr>
          <w:p>
            <w:pPr>
              <w:pStyle w:val="TableContents"/>
              <w:spacing w:before="0" w:after="1"/>
              <w:ind w:left="0" w:right="0" w:hanging="0"/>
              <w:rPr/>
            </w:pPr>
            <w:r>
              <w:rPr/>
              <w:t>​</w:t>
            </w:r>
          </w:p>
        </w:tc>
      </w:tr>
      <w:tr>
        <w:trPr/>
        <w:tc>
          <w:tcPr>
            <w:tcW w:w="33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before="0" w:after="1"/>
              <w:ind w:left="0" w:right="0" w:hanging="0"/>
              <w:rPr/>
            </w:pPr>
            <w:r>
              <w:rPr/>
              <w:t>​</w:t>
            </w:r>
          </w:p>
        </w:tc>
      </w:tr>
      <w:tr>
        <w:trPr/>
        <w:tc>
          <w:tcPr>
            <w:tcW w:w="33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154" w:type="dxa"/>
            <w:tcBorders/>
            <w:shd w:fill="auto" w:val="clear"/>
            <w:vAlign w:val="center"/>
          </w:tcPr>
          <w:p>
            <w:pPr>
              <w:pStyle w:val="TableContents"/>
              <w:spacing w:before="0" w:after="1"/>
              <w:ind w:left="0" w:right="0" w:hanging="0"/>
              <w:rPr/>
            </w:pPr>
            <w:r>
              <w:rPr/>
              <w:t>​</w:t>
            </w:r>
          </w:p>
        </w:tc>
      </w:tr>
      <w:tr>
        <w:trPr/>
        <w:tc>
          <w:tcPr>
            <w:tcW w:w="33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 (numerator)</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(52,796)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(31,472)</w:t>
            </w:r>
          </w:p>
        </w:tc>
        <w:tc>
          <w:tcPr>
            <w:tcW w:w="154" w:type="dxa"/>
            <w:tcBorders/>
            <w:shd w:fill="CCEEFF" w:val="clear"/>
            <w:vAlign w:val="center"/>
          </w:tcPr>
          <w:p>
            <w:pPr>
              <w:pStyle w:val="TableContents"/>
              <w:spacing w:before="0" w:after="1"/>
              <w:ind w:left="0" w:right="0" w:hanging="0"/>
              <w:rPr/>
            </w:pPr>
            <w:r>
              <w:rPr/>
              <w:t>​</w:t>
            </w:r>
          </w:p>
        </w:tc>
      </w:tr>
      <w:tr>
        <w:trPr/>
        <w:tc>
          <w:tcPr>
            <w:tcW w:w="33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 average shares (denominator)</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28,616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27,980</w:t>
            </w:r>
          </w:p>
        </w:tc>
        <w:tc>
          <w:tcPr>
            <w:tcW w:w="154" w:type="dxa"/>
            <w:tcBorders/>
            <w:shd w:fill="auto" w:val="clear"/>
            <w:vAlign w:val="center"/>
          </w:tcPr>
          <w:p>
            <w:pPr>
              <w:pStyle w:val="TableContents"/>
              <w:spacing w:before="0" w:after="1"/>
              <w:ind w:left="0" w:right="0" w:hanging="0"/>
              <w:rPr/>
            </w:pPr>
            <w:r>
              <w:rPr/>
              <w:t>​</w:t>
            </w:r>
          </w:p>
        </w:tc>
      </w:tr>
      <w:tr>
        <w:trPr/>
        <w:tc>
          <w:tcPr>
            <w:tcW w:w="33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 and diluted net loss per share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154"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firstLine="360"/>
        <w:rPr>
          <w:highlight w:val="white"/>
        </w:rPr>
      </w:pPr>
      <w:r>
        <w:rPr>
          <w:highlight w:val="white"/>
        </w:rPr>
        <w:t>​</w:t>
      </w:r>
    </w:p>
    <w:p>
      <w:pPr>
        <w:pStyle w:val="TextBody"/>
        <w:spacing w:before="0" w:after="0"/>
        <w:ind w:left="0" w:right="0" w:firstLine="360"/>
        <w:rPr>
          <w:rFonts w:ascii="Times New Roman;Times;serif" w:hAnsi="Times New Roman;Times;serif"/>
          <w:sz w:val="20"/>
          <w:highlight w:val="white"/>
        </w:rPr>
      </w:pPr>
      <w:r>
        <w:rPr>
          <w:rFonts w:ascii="Times New Roman;Times;serif" w:hAnsi="Times New Roman;Times;serif"/>
          <w:sz w:val="20"/>
          <w:highlight w:val="white"/>
        </w:rPr>
        <w:t>Potentially dilutive securities outstanding consists of stock options and RSUs. The Company had common stock equivalents outstanding as of March 31, 2023 and 2022 of 5,868 and 4,782 shares, respectively.</w:t>
      </w:r>
    </w:p>
    <w:p>
      <w:pPr>
        <w:pStyle w:val="TextBody"/>
        <w:spacing w:before="0" w:after="240"/>
        <w:ind w:left="0" w:right="0" w:firstLine="360"/>
        <w:rPr>
          <w:highlight w:val="white"/>
        </w:rPr>
      </w:pPr>
      <w:r>
        <w:rPr>
          <w:highlight w:val="white"/>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Note 15. Commitments and Contingencies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From time to time, in the ordinary course of business, the Company may be subject to litigation and regulatory examinations as well as information gathering requests, inquiries and/or investigations. The Company is not currently subject to any matters where it believes there is a reasonable possibility that a material loss may be incurred. As of March 31, 2023, there were no matters which would have a material impact on the Company’s financial results.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April 2022, the Company signed a commercial supply agreement that requires minimum annual payments for the first three years of the agreement that in aggregate total $10,000 for the three-year period.</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bookmarkStart w:id="778" w:name="Item2MANAGEMENTSDISCUSSIONANDANALYSIS_22"/>
      <w:bookmarkStart w:id="779" w:name="_52a2a187_7446_46d7_9e4f_453492c3cbc8"/>
      <w:bookmarkEnd w:id="778"/>
      <w:bookmarkEnd w:id="779"/>
      <w:r>
        <w:rPr>
          <w:rFonts w:ascii="Times New Roman;Times;serif" w:hAnsi="Times New Roman;Times;serif"/>
          <w:b/>
          <w:sz w:val="20"/>
        </w:rPr>
        <w:t>Item 2. Management’s Discussion and Analysis of Financial Condition and Results of Operations</w:t>
      </w:r>
    </w:p>
    <w:p>
      <w:pPr>
        <w:pStyle w:val="TextBody"/>
        <w:spacing w:before="0" w:after="200"/>
        <w:ind w:left="0" w:right="0" w:firstLine="360"/>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unaudited interim condensed consolidated financial statements and related notes appearing elsewhere in this report and the audited financial statements and related notes contained in our Annual Report on Form 10-K for the year ended December 31, 2022. In addition to historical information, this discussion and analysis contains forward-looking statements that involve risks, uncertainties and assumptions. Our actual results may differ materially from those discussed below and in the forward-looking statements. Factors that could cause or contribute to these differences include, without limitation, those discussed in this Management’s Discussion and Analysis of Financial Condition and Results of Operations, those listed under “Summary Risk Factors,” and those discussed in the section titled “Risk Factors” included in Part II, Item 1A. of this report. All dollar amounts in the below Management’s Discussion and Analysis of Financial Condition and Results of Operations are presented in U.S. dollars, and all dollar and share amounts are presented in thousands, unless otherwise noted or the context otherwise provides.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BioXcel Therapeutics, Inc. (“BTI” or the “Company”) is a biopharmaceutical company utilizing artificial intelligence (“AI”) approaches to develop transformative medicines in neuroscience and immuno-oncology. We are focused on utilizing cutting-edge technology and innovative research to develop high-value therapeutics aimed at transforming patients’ lives. We employ a proprietary AI platform to reduce therapeutic development costs and potentially accelerate development timelines. Our approach leverages existing approved drugs and/or clinically evaluated product candidates together with big data and proprietary machine learning algorithms to identify new therapeutic indications. We believe this differentiated approach has the potential to reduce the expense and time associated with drug development in diseases with substantial unmet medical needs.</w:t>
      </w:r>
    </w:p>
    <w:p>
      <w:pPr>
        <w:pStyle w:val="TextBody"/>
        <w:spacing w:lineRule="auto" w:line="240" w:before="0" w:after="200"/>
        <w:ind w:left="0" w:right="0" w:firstLine="360"/>
        <w:rPr>
          <w:rFonts w:ascii="Times New Roman;Times;serif" w:hAnsi="Times New Roman;Times;serif"/>
          <w:sz w:val="20"/>
        </w:rPr>
      </w:pPr>
      <w:r>
        <w:rPr>
          <w:rFonts w:ascii="Times New Roman;Times;serif" w:hAnsi="Times New Roman;Times;serif"/>
          <w:sz w:val="20"/>
        </w:rPr>
        <w:t>On April 6, 2022, we announced that the United States (“U.S.”) Food and Drug Administration (“FDA”) approved IGALMI</w:t>
      </w:r>
      <w:r>
        <w:rPr>
          <w:rFonts w:ascii="Times New Roman;Times;serif" w:hAnsi="Times New Roman;Times;serif"/>
          <w:sz w:val="15"/>
        </w:rPr>
        <w:t>TM</w:t>
      </w:r>
      <w:r>
        <w:rPr>
          <w:rFonts w:ascii="Times New Roman;Times;serif" w:hAnsi="Times New Roman;Times;serif"/>
          <w:sz w:val="20"/>
        </w:rPr>
        <w:t xml:space="preserve"> (dexmedetomidine or “Dex”) sublingual film for the acute treatment of agitation associated with schizophrenia or bipolar I or II disorder in adults. IGALMI is approved to be self-administrated by patients under the supervision of a health care provider. We deployed the first phase of our sales team for high priority targets in May 2022. Furthermore, on July 6, 2022, we announced that IGALMI was commercially available in doses of 120 and 180 microgram (“mcg”) through the Company’s third-party logistics provider and was available for order through wholesalers. We completed deployment of the sales team in December 2022, with the integrated team covering the majority of the U.S. agitation market.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most advanced clinical development program is BXCL501, an investigational proprietary, orally dissolving film formulation of Dex for the treatment of agitation associated with psychiatric and neurological disorders.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are conducting clinical trials for the at-home use of BXCL501 for agitation associated with bipolar disorders and schizophrenia. We also continue to conduct clinical trials evaluating BXCL501 for the acute treatment of agitation in patients with Alzheimer’s disease in residential care facilities and nursing homes and for adjunctive treatment of patients with Major Depressive Disorder (“MDD”).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advanced immuno-oncology asset, BXCL701, is an investigational, oral innate immune activator currently being developed as a potential therapy for the treatment of aggressive forms of prostate cancer, pancreatic cancer, and other solid and liquid tumors.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continue to work closely with our clinical sites to monitor the potential impact of the evolving COVID-19 pandemic and the spread of its variants. To date, we have not experienced any significant delays in any of our ongoing or planned clinical trials, except for occasional COVID-19-related disruptions to our TRANQUILITY II and PLACIDITY trials. However, this could change rapidly.</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IGALMI Commercial Progress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IGALMI commercial momentum continues to strengthen, and the market reaction continue to be positive. We have now delivered more than 130 hospital formulary wins since launch, with nearly 600 votes pending. The corporate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account director team has garnered formulary approval for over 8,000 (approximately 3%) of the targeted integrated delivery network beds with another 69,000 (approximately 25%) pending votes.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sales team has now collectively reached over three quarters of our defined hospital targets. The awareness of IGALMI is growing as a result of the deployment of the full 70-person sales team and enhanced marketing efforts.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peer influence engagement has educated nearly 1,300 healthcare providers this year, which we expect to more than double over the next two quarters.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advertising and media campaign has generated a 70% increase in media impressions between the fourth quarter 2022 and first quarter 2023. The new campaign launched in targeted print media publications such as The American College of Emergency Physicians ACEP Now and Psych Times. Additionally, we deployed geotargeted advertising to reach target health care providers in and around their institutions in order to drive IGALMI demand.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We also launched a consumer-focused website in February 2023 to provide educational resources to both patients and caregivers with an agitation action plan and IGALMI education.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The IGALMI free trial program was also deployed late in the first quarter 2023 with approximately 500 ordering site interactions and early orders already shipped.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continue to be encouraged by the execution of our marketing plan, receptivity to IGALMI, and improvement of our key performance indicators.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Our Clinical Programs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is a summary of the status of our major clinical development programs as of the date of this Quarterly Report on Form 10-Q:</w:t>
      </w:r>
    </w:p>
    <w:p>
      <w:pPr>
        <w:pStyle w:val="TextBody"/>
        <w:spacing w:before="0" w:after="0"/>
        <w:ind w:left="0" w:right="0" w:hanging="0"/>
        <w:jc w:val="center"/>
        <w:rPr/>
      </w:pPr>
      <w:r>
        <w:rPr/>
        <w:drawing>
          <wp:inline distT="0" distB="0" distL="0" distR="0">
            <wp:extent cx="6110605" cy="3437255"/>
            <wp:effectExtent l="0" t="0" r="0" b="0"/>
            <wp:docPr id="17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 descr=""/>
                    <pic:cNvPicPr>
                      <a:picLocks noChangeAspect="1" noChangeArrowheads="1"/>
                    </pic:cNvPicPr>
                  </pic:nvPicPr>
                  <pic:blipFill>
                    <a:blip r:embed="rId2"/>
                    <a:stretch>
                      <a:fillRect/>
                    </a:stretch>
                  </pic:blipFill>
                  <pic:spPr bwMode="auto">
                    <a:xfrm>
                      <a:off x="0" y="0"/>
                      <a:ext cx="6110605" cy="3437255"/>
                    </a:xfrm>
                    <a:prstGeom prst="rect">
                      <a:avLst/>
                    </a:prstGeom>
                  </pic:spPr>
                </pic:pic>
              </a:graphicData>
            </a:graphic>
          </wp:inline>
        </w:drawing>
      </w:r>
    </w:p>
    <w:p>
      <w:pPr>
        <w:pStyle w:val="TextBody"/>
        <w:spacing w:before="0" w:after="24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Neuroscience Program</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BXCL501 Development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indications other than approved by the FDA as IGALMI, BXCL501 remains an investigational, proprietary, orally dissolving film formulation of Dex, a selective alpha-2 receptor agonist, targeting symptoms from stress-related behaviors such as agitation. BXCL501 is our most advanced neuroscience clinical program, developed or being evaluated for at-home acute treatment of agitation related to schizophrenia, bipolar disorders, the acute treatment of agitation related to Alzheimer’s disease, and as an adjunctive treatment for MDD in conjunction with the use of Selective Serotonin Reuptake Inhibitors (“SSRIs”) or Serotonin Norepinephrine Reuptake Inhibitors (“SNRIs”) alone.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As a selective adrenergic agent with a sublingual or buccal route of administration, BXCL501 is designed to be easily administered and has shown an onset of action in multiple clinical trials, including clinical trials studying patients with schizophrenia, bipolar disorders, and Alzheimer’s disease. We believe results from these studies suggest that BXCL501 has the potential to reduce agitation without producing excessive sedation. We also believe BXCL501 is highly differentiated from antipsychotics, which often produce unwanted side effects such as excessive sedation or extra pyramidal motor effects, currently used as a standard of care to treat agitation that often produce unwanted side effects such as excessive sedation and extra-pyramidal motor effects. Managing patient agitation in neuropsychiatric and neurodegenerative disorders represents a significant challenge for physicians and caregivers. We believe BXCL501 has the potential to address these challenges while providing an efficient treatment regimen for patients.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BXCL501 Clinical Trials</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TRANQUILITY Program</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The TRANQUILITY I study of agitation in dementia concluded with a total of four sites enrolling 46 subjects in Part B testing the 40mcg dose versus placebo. The purpose of enrolling this additional cohort was to gather additional evidence supporting dose selection and statistical powering of multiple-site Phase 3 pivotal trials. All patients were able to take the film themselves and properly place it. There were no serious adverse events (“SAEs”) related to the drug, and no falls, loss of consciousness, or syncopal events reported. There were also no local tolerability issues. The adverse events (“AEs”) observed for 40mcg were consistent with those previously observed for 30mcg, 60mcg, and placebo doses. The incidence of individual and categorical AEs for the 40mcg dose were lower than the 60mcg group and similar to the 30mcg dose group.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Efficacy was measured by the change from pre-dose baseline Positive and Negative Syndrome Scale Excitatory Component (“PEC”) total score at two hours, the same primary endpoint utilized in prior pivotal trials of BXCL501. The 40mcg dose showed statistically significant reductions in PEC total score at two hours and demonstrated statistically significant separation from placebo as early as one hour. The magnitude of change in PEC total score was greater for the 40mcg dose than that of 30mcg and somewhat less than the 60mcg dose in previous cohorts. Overall, we believe the 40mcg data support continued evaluation of both 40mcg and 60mcg doses in Phase 3 pivotal trials.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On December 15, 2021, after our initial Breakthrough Therapy designation meetings with the FDA, we announced the initiation of our program to evaluate BXCL501 for the treatment of acute agitation associated with dementia in Alzheimer’s patients. The program’s two studies, TRANQUILITY II and TRANQUILITY III, are designed to evaluate the safety and efficacy of BXCL501 in adults 65 years and older across the range of illness including mild, moderate, and severe illness in assisted living or residential facilities and nursing homes.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program consists of two randomized, double-blind, placebo-controlled, adaptive, parallel group pivotal trials: TRANQUILITY II and TRANQUILITY III.</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study will enroll approximately 150 dementia patients 65 years and older. Patients will self-administer 40mcg or 60mcg of BXCL501 or placebo whenever agitation episodes may occur.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TRANQUILITY II has enrolled patients with mild to moderately severe dementia in assisted living or residential care facilities who generally require minimal assistance with activities of daily living. Enrollment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109"/>
        <w:gridCol w:w="99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been completed, and all patients have completed the study in assisted living facilities and residential care settings. We expect to announce topline data in June 2023.</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TRANQUILITY III will enroll patients with moderate to severe dementia who require moderate or greater assistance with activities of daily living. This study has been initiated and the first patient was enrolled in December 2022.</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studies are designed to assess agitation as measured by the changes from baseline in the PEC total score and total Pittsburgh Agitation Scale scores. For both studies, the primary efficacy endpoint will be the change in PEC total score from baseline measured at two hours after the initial dose.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who complete TRANQUILITY II or TRANQUILITY III will be eligible to enroll in an open label, 52-week safety study designed to describe the safety and efficacy of BXCL501 in continued use. This study is expected to initiate in the second quarter of 2023.</w:t>
            </w:r>
          </w:p>
        </w:tc>
      </w:tr>
    </w:tbl>
    <w:p>
      <w:pPr>
        <w:pStyle w:val="TextBody"/>
        <w:spacing w:before="0" w:after="200"/>
        <w:ind w:left="0" w:right="0" w:firstLine="360"/>
        <w:rPr>
          <w:rFonts w:ascii="Times New Roman;Times;serif" w:hAnsi="Times New Roman;Times;serif"/>
          <w:b/>
          <w:sz w:val="20"/>
        </w:rPr>
      </w:pPr>
      <w:r>
        <w:rPr>
          <w:rFonts w:ascii="Times New Roman;Times;serif" w:hAnsi="Times New Roman;Times;serif"/>
          <w:b/>
          <w:sz w:val="20"/>
        </w:rPr>
        <w:t>Bipolar or Schizophrenia-related Agitation (At-Home Use)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met with the FDA in July 2022 to discuss the design of a registrational study to support potential expansion of BXCL501 for at-home use for the acute treatment of agitation related to schizophrenia and bipolar disorders. We believe we have alignment with the FDA on key design features with respect to our SERENITY III study, which will consist of two parts. The first part is comparable to the pivotal SERENITY I and II studies. Using similar inclusion and exclusion criterion under a well-controlled in-patient setting, acutely agitated patients with schizophrenia or bipolar disorders will be randomized to self-administer either 60mcg of BXCL501 or placebo, in a double-blind placebo-controlled trial. The primary endpoint will be efficacy as measured by the PEC total score change from baseline at two hours post-dose. The secondary objective will be safety and tolerability. The first part of SERENITY III initiated with the first patients dosed in December 2022. Part 1 enrollment has been completed with topline results expected in May 2023. Part 2 of the study is expected to initiate in the second quarter of 2023. The primary objective of the second part of the study is to assess the safety of a 60mcg dose when self-administered in an at-home setting. Patients with schizophrenia or bipolar disorders and a history of agitation will be randomized to self-administer 60mcg of BXCL501, or placebo, when they experience an episode of agitation in an at-home setting over a period of three months. Patients will return for regularly scheduled outpatient visits where investigators will review information collected from patients and reliable informants to determine and characterize any adverse effects.</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Major Depressive Disorder (“MDD”)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are also evaluating BXCL501 as an adjunctive treatment for MDD. The initial clinical study in this program is a double-blind, placebo-controlled, multiple ascending dose trial to evaluate the safety and tolerability of daily doses of BXCL501 in healthy volunteers. We expect to report topline results in May 2023. Seven dosing cohorts of healthy adult volunteers have been completed, including cohorts receiving 30mcg, 60mcg, 80mcg, or 120mcg BXCL501 (or placebo) once daily for seven days, and with cohorts receiving twice-a-day dosing of 30mcg in the morning and 60mcg in the evening (or placebo). Another cohort of subjects received 40mcg in the morning and 80mcg in the evening (or placebo). A final cohort tested 60mcg in the morning and 80mcg in the evening (or placebo) plus twice daily 30 milligrams (“mg”) duloxetine in the morning and evening. BXCL501 has been generally well tolerated across completed cohorts. We anticipate that the safety and tolerability results of this study will enable dose selection for a Phase 2 proof-of-confidence trial in MDD.</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Pediatric Study</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In June 2021, we initiated a global clinical trial designed to evaluate the safety and efficacy of BXCL501 in the acute treatment of agitation associated with pediatric schizophrenia and bipolar disorders, in part to fulfill pediatric study requirements agreed to with the FDA in connection with IGALMI’s approval. The trial protocol has been reviewed by the FDA, as well as by the European Medicines Agency, to fulfill potential commitments to study the effects of BXCL501 in pediatric patients ages 13 to 17 with schizophrenia and ages 10 to 17 with bipolar disorders. Enrollment of patients with schizophrenia, schizoaffective disorder, bipolar I, and bipolar II disorder is ongoing in this multisite, double- blind, placebo-controlled parallel group trial. Approximately 40% of the 150 total subjects have been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enrolled in the U.S. and several European sites are planned to initiate enrollment in the second quarter of 2023. Similar to our registration trials in schizophrenia and bipolar disorder (SERENITY I and II), the primary endpoint is the change from baseline PEC total score at two hours.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Additional Neuroscience Opportunities</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BXCL501 Pipeline Opportunities for Franchise Expansion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Given the differentiated design of BXCL501 and its selective mechanism of action, we believe BXCL501 has the potential for broad applicability across several indications where agitation is a symptom of a condition or underlying disease.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As announced on August 1, 2022, the National Institute on Drug Abuse awarded a grant to Columbia University to fund clinical testing of BXCL501 as a potential treatment for opioid withdrawal. The Company will supply the drug product for the conduct of this study.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December 2020, the Veterans Affairs Connecticut Healthcare System and Yale University Medical School were awarded a grant by the U.S. Department of Defense’s Congressionally Directed Medical Research Programs to evaluate BXCL501 in patients with post-traumatic stress disorder who suffer from alcohol use disorder (“AUD”). The Company is providing BXCL501 for studies that will evaluate whether BXCL501 has the potential to treat AUD in this patient population.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are currently conducting studies designed to develop algorithms for wearable technologies that are designed to detect early signs of agitation. Feasibility studies demonstrated that patients were able to wear these devices and that these devices were able to transmit data to our service vendor. The goal of this program is to establish a predictive algorithm that would allow caregivers to treat patients before they become highly agitated.</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BXCL502 Development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identified a second neuropsychiatric drug candidate, BXCL502, through our AI-based platform. We plan to evaluate BXCL502 initially as a monotherapy and possibly as a combination with BXCL501 for the chronic treatment of agitation in patients with dementia. The active pharmaceutical ingredient (“API”) underlying BXCL502 is designed to affect serotonergic signaling in the brain. Our preclinical data suggests BXCL502 has the potential to treat stress-related neuropsychiatric symptoms in dementia. In previously published third-party clinical trial data, daily administration of the API of BXCL502 demonstrated improvement in behaviors using a well-established, clinically validated symptom scale. Formulation and clinical development planning are currently under way with BXCL502.</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Other Product Candidates Leveraging the AI Platform</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are targeting neuropsychiatric disorders with high unmet medical needs. Our focus is on treating stress-related symptoms, such as agitation, that are responsible for increased levels of healthcare burden. We are also using AI approaches and machine learning to identify new candidates for rare neurological diseases.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utilize proprietary algorithms to identify associated mechanisms with existing pharmacology to test whether these agents can improve the disease profile in the animal model either through disease modification or symptomatic manner. The agents identified must be those we believe can enter the clinic with the potential for an efficient development path (similar to BXCL501). We are also developing an AI-based research and development platform to help identify potential product candidates and indications across a range of treatment areas.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OnkosXcel Therapeutics, LLC</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On April 19, 2022, we announced the formation of a wholly owned, clinical-stage subsidiary, OnkosXcel Therapeutics, LLC (“OnkosXcel”), to develop potentially transformative medicines in oncology. OnkosXcel uses proprietary AI capabilities to drive the capital-efficient development of innovative anti-cancer therapeutics. On March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14, 2023 we announced that OnkosXcel had confidentially submitted a draft registration statement on Form S-1 with the SEC relating to the proposed initial public offering of its common stock following its conversion into a corporation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approach to drug discovery leverages the application and methodology of EvolverAI, a proprietary AI-based research and development platform utilized in the successful development of IGALMI, with the aim of efficiently identifying and developing immuno-oncology product candidates. We believe that BXCL701 reflects the potential of this discovery approach in immuno-oncology. BXCL701 is an investigational, oral innate immune activator which demonstrated a 25% composite response rate in a Phase 2a clinical trial to treat patients with small cell neuroendocrine (“SCNC”) phenotype metastatic castration-resistant prostate cancer (“mCRPC”). We intend to initiate a Phase 2b trial in mCRPC patients with SCNC phenotype in the second half of 2023 following planned meetings with the FDA.</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mCRPC is often characterized as a “cold” tumor, that is, a tumor with an immunosuppressive tumor microenvironment (“TME”) and poor immune cell infiltration. Currently approved checkpoint inhibitors (“CPIs”) which target programmed cell death 1 (“PD-1”), or cytotoxic T-lymphocyte-associated protein 4 have failed to demonstrate meaningful single-agent activity against such difficult-to-treat tumor types, including mCRPC. BXCL701 is designed to promote an immune induced inflammatory response in the TME primarily via inhibition of dipeptidyl peptidases (“DPP”) 8 and 9, which we believe can provide for enhanced CPI therapeutic utility. We believe that BXCL701 can potentially provide significant benefits for approximately 20% of the estimated 288,300 men who will be diagnosed with prostate cancer in the U.S. in 2023 that are expected to progress to the more aggressive mCRPC form of the disease, including approximately 20%, or 11,500, of those patients who will develop the SCNC phenotype, for which there are currently limited treatment options.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Our</w:t>
      </w:r>
      <w:r>
        <w:rPr>
          <w:rFonts w:ascii="Times New Roman;Times;serif" w:hAnsi="Times New Roman;Times;serif"/>
          <w:b/>
          <w:i/>
          <w:spacing w:val="-8"/>
          <w:sz w:val="20"/>
        </w:rPr>
        <w:t xml:space="preserve"> </w:t>
      </w:r>
      <w:r>
        <w:rPr>
          <w:rFonts w:ascii="Times New Roman;Times;serif" w:hAnsi="Times New Roman;Times;serif"/>
          <w:b/>
          <w:i/>
          <w:sz w:val="20"/>
        </w:rPr>
        <w:t>Immuno-Oncology</w:t>
      </w:r>
      <w:r>
        <w:rPr>
          <w:rFonts w:ascii="Times New Roman;Times;serif" w:hAnsi="Times New Roman;Times;serif"/>
          <w:b/>
          <w:i/>
          <w:spacing w:val="-7"/>
          <w:sz w:val="20"/>
        </w:rPr>
        <w:t xml:space="preserve"> </w:t>
      </w:r>
      <w:r>
        <w:rPr>
          <w:rFonts w:ascii="Times New Roman;Times;serif" w:hAnsi="Times New Roman;Times;serif"/>
          <w:b/>
          <w:i/>
          <w:spacing w:val="-2"/>
          <w:sz w:val="20"/>
        </w:rPr>
        <w:t>Programs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Below</w:t>
      </w:r>
      <w:r>
        <w:rPr>
          <w:rFonts w:ascii="Times New Roman;Times;serif" w:hAnsi="Times New Roman;Times;serif"/>
          <w:spacing w:val="-3"/>
          <w:sz w:val="20"/>
        </w:rPr>
        <w:t xml:space="preserve"> </w:t>
      </w:r>
      <w:r>
        <w:rPr>
          <w:rFonts w:ascii="Times New Roman;Times;serif" w:hAnsi="Times New Roman;Times;serif"/>
          <w:sz w:val="20"/>
        </w:rPr>
        <w:t>is</w:t>
      </w:r>
      <w:r>
        <w:rPr>
          <w:rFonts w:ascii="Times New Roman;Times;serif" w:hAnsi="Times New Roman;Times;serif"/>
          <w:spacing w:val="-3"/>
          <w:sz w:val="20"/>
        </w:rPr>
        <w:t xml:space="preserve"> </w:t>
      </w:r>
      <w:r>
        <w:rPr>
          <w:rFonts w:ascii="Times New Roman;Times;serif" w:hAnsi="Times New Roman;Times;serif"/>
          <w:sz w:val="20"/>
        </w:rPr>
        <w:t>a</w:t>
      </w:r>
      <w:r>
        <w:rPr>
          <w:rFonts w:ascii="Times New Roman;Times;serif" w:hAnsi="Times New Roman;Times;serif"/>
          <w:spacing w:val="-3"/>
          <w:sz w:val="20"/>
        </w:rPr>
        <w:t xml:space="preserve"> </w:t>
      </w:r>
      <w:r>
        <w:rPr>
          <w:rFonts w:ascii="Times New Roman;Times;serif" w:hAnsi="Times New Roman;Times;serif"/>
          <w:sz w:val="20"/>
        </w:rPr>
        <w:t>summary</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status</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our</w:t>
      </w:r>
      <w:r>
        <w:rPr>
          <w:rFonts w:ascii="Times New Roman;Times;serif" w:hAnsi="Times New Roman;Times;serif"/>
          <w:spacing w:val="-3"/>
          <w:sz w:val="20"/>
        </w:rPr>
        <w:t xml:space="preserve"> </w:t>
      </w:r>
      <w:r>
        <w:rPr>
          <w:rFonts w:ascii="Times New Roman;Times;serif" w:hAnsi="Times New Roman;Times;serif"/>
          <w:sz w:val="20"/>
        </w:rPr>
        <w:t>immuno-oncology</w:t>
      </w:r>
      <w:r>
        <w:rPr>
          <w:rFonts w:ascii="Times New Roman;Times;serif" w:hAnsi="Times New Roman;Times;serif"/>
          <w:spacing w:val="-3"/>
          <w:sz w:val="20"/>
        </w:rPr>
        <w:t xml:space="preserve"> </w:t>
      </w:r>
      <w:r>
        <w:rPr>
          <w:rFonts w:ascii="Times New Roman;Times;serif" w:hAnsi="Times New Roman;Times;serif"/>
          <w:sz w:val="20"/>
        </w:rPr>
        <w:t>clinical</w:t>
      </w:r>
      <w:r>
        <w:rPr>
          <w:rFonts w:ascii="Times New Roman;Times;serif" w:hAnsi="Times New Roman;Times;serif"/>
          <w:spacing w:val="-3"/>
          <w:sz w:val="20"/>
        </w:rPr>
        <w:t xml:space="preserve"> </w:t>
      </w:r>
      <w:r>
        <w:rPr>
          <w:rFonts w:ascii="Times New Roman;Times;serif" w:hAnsi="Times New Roman;Times;serif"/>
          <w:sz w:val="20"/>
        </w:rPr>
        <w:t>development</w:t>
      </w:r>
      <w:r>
        <w:rPr>
          <w:rFonts w:ascii="Times New Roman;Times;serif" w:hAnsi="Times New Roman;Times;serif"/>
          <w:spacing w:val="-3"/>
          <w:sz w:val="20"/>
        </w:rPr>
        <w:t xml:space="preserve"> </w:t>
      </w:r>
      <w:r>
        <w:rPr>
          <w:rFonts w:ascii="Times New Roman;Times;serif" w:hAnsi="Times New Roman;Times;serif"/>
          <w:sz w:val="20"/>
        </w:rPr>
        <w:t>programs</w:t>
      </w:r>
      <w:r>
        <w:rPr>
          <w:rFonts w:ascii="Times New Roman;Times;serif" w:hAnsi="Times New Roman;Times;serif"/>
          <w:spacing w:val="-3"/>
          <w:sz w:val="20"/>
        </w:rPr>
        <w:t xml:space="preserve"> </w:t>
      </w:r>
      <w:r>
        <w:rPr>
          <w:rFonts w:ascii="Times New Roman;Times;serif" w:hAnsi="Times New Roman;Times;serif"/>
          <w:sz w:val="20"/>
        </w:rPr>
        <w:t>as</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date</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this Quarterly</w:t>
      </w:r>
      <w:r>
        <w:rPr>
          <w:rFonts w:ascii="Times New Roman;Times;serif" w:hAnsi="Times New Roman;Times;serif"/>
          <w:spacing w:val="-4"/>
          <w:sz w:val="20"/>
        </w:rPr>
        <w:t xml:space="preserve"> </w:t>
      </w:r>
      <w:r>
        <w:rPr>
          <w:rFonts w:ascii="Times New Roman;Times;serif" w:hAnsi="Times New Roman;Times;serif"/>
          <w:sz w:val="20"/>
        </w:rPr>
        <w:t>Report</w:t>
      </w:r>
      <w:r>
        <w:rPr>
          <w:rFonts w:ascii="Times New Roman;Times;serif" w:hAnsi="Times New Roman;Times;serif"/>
          <w:spacing w:val="-4"/>
          <w:sz w:val="20"/>
        </w:rPr>
        <w:t xml:space="preserve"> </w:t>
      </w:r>
      <w:r>
        <w:rPr>
          <w:rFonts w:ascii="Times New Roman;Times;serif" w:hAnsi="Times New Roman;Times;serif"/>
          <w:sz w:val="20"/>
        </w:rPr>
        <w:t>on</w:t>
      </w:r>
      <w:r>
        <w:rPr>
          <w:rFonts w:ascii="Times New Roman;Times;serif" w:hAnsi="Times New Roman;Times;serif"/>
          <w:spacing w:val="-4"/>
          <w:sz w:val="20"/>
        </w:rPr>
        <w:t xml:space="preserve"> </w:t>
      </w:r>
      <w:r>
        <w:rPr>
          <w:rFonts w:ascii="Times New Roman;Times;serif" w:hAnsi="Times New Roman;Times;serif"/>
          <w:sz w:val="20"/>
        </w:rPr>
        <w:t>Form</w:t>
      </w:r>
      <w:r>
        <w:rPr>
          <w:rFonts w:ascii="Times New Roman;Times;serif" w:hAnsi="Times New Roman;Times;serif"/>
          <w:spacing w:val="-4"/>
          <w:sz w:val="20"/>
        </w:rPr>
        <w:t xml:space="preserve"> </w:t>
      </w:r>
      <w:r>
        <w:rPr>
          <w:rFonts w:ascii="Times New Roman;Times;serif" w:hAnsi="Times New Roman;Times;serif"/>
          <w:sz w:val="20"/>
        </w:rPr>
        <w:t>10-Q.</w:t>
      </w:r>
      <w:r>
        <w:rPr>
          <w:rFonts w:ascii="Times New Roman;Times;serif" w:hAnsi="Times New Roman;Times;serif"/>
          <w:spacing w:val="-4"/>
          <w:sz w:val="20"/>
        </w:rPr>
        <w:t xml:space="preserve"> </w:t>
      </w:r>
      <w:r>
        <w:rPr>
          <w:rFonts w:ascii="Times New Roman;Times;serif" w:hAnsi="Times New Roman;Times;serif"/>
          <w:sz w:val="20"/>
        </w:rPr>
        <w:t>We</w:t>
      </w:r>
      <w:r>
        <w:rPr>
          <w:rFonts w:ascii="Times New Roman;Times;serif" w:hAnsi="Times New Roman;Times;serif"/>
          <w:spacing w:val="-4"/>
          <w:sz w:val="20"/>
        </w:rPr>
        <w:t xml:space="preserve"> </w:t>
      </w:r>
      <w:r>
        <w:rPr>
          <w:rFonts w:ascii="Times New Roman;Times;serif" w:hAnsi="Times New Roman;Times;serif"/>
          <w:sz w:val="20"/>
        </w:rPr>
        <w:t>believe</w:t>
      </w:r>
      <w:r>
        <w:rPr>
          <w:rFonts w:ascii="Times New Roman;Times;serif" w:hAnsi="Times New Roman;Times;serif"/>
          <w:spacing w:val="-4"/>
          <w:sz w:val="20"/>
        </w:rPr>
        <w:t xml:space="preserve"> </w:t>
      </w:r>
      <w:r>
        <w:rPr>
          <w:rFonts w:ascii="Times New Roman;Times;serif" w:hAnsi="Times New Roman;Times;serif"/>
          <w:sz w:val="20"/>
        </w:rPr>
        <w:t>our</w:t>
      </w:r>
      <w:r>
        <w:rPr>
          <w:rFonts w:ascii="Times New Roman;Times;serif" w:hAnsi="Times New Roman;Times;serif"/>
          <w:spacing w:val="-4"/>
          <w:sz w:val="20"/>
        </w:rPr>
        <w:t xml:space="preserve"> </w:t>
      </w:r>
      <w:r>
        <w:rPr>
          <w:rFonts w:ascii="Times New Roman;Times;serif" w:hAnsi="Times New Roman;Times;serif"/>
          <w:sz w:val="20"/>
        </w:rPr>
        <w:t>product</w:t>
      </w:r>
      <w:r>
        <w:rPr>
          <w:rFonts w:ascii="Times New Roman;Times;serif" w:hAnsi="Times New Roman;Times;serif"/>
          <w:spacing w:val="-4"/>
          <w:sz w:val="20"/>
        </w:rPr>
        <w:t xml:space="preserve"> </w:t>
      </w:r>
      <w:r>
        <w:rPr>
          <w:rFonts w:ascii="Times New Roman;Times;serif" w:hAnsi="Times New Roman;Times;serif"/>
          <w:sz w:val="20"/>
        </w:rPr>
        <w:t>candidates,</w:t>
      </w:r>
      <w:r>
        <w:rPr>
          <w:rFonts w:ascii="Times New Roman;Times;serif" w:hAnsi="Times New Roman;Times;serif"/>
          <w:spacing w:val="-4"/>
          <w:sz w:val="20"/>
        </w:rPr>
        <w:t xml:space="preserve"> </w:t>
      </w:r>
      <w:r>
        <w:rPr>
          <w:rFonts w:ascii="Times New Roman;Times;serif" w:hAnsi="Times New Roman;Times;serif"/>
          <w:sz w:val="20"/>
        </w:rPr>
        <w:t>if</w:t>
      </w:r>
      <w:r>
        <w:rPr>
          <w:rFonts w:ascii="Times New Roman;Times;serif" w:hAnsi="Times New Roman;Times;serif"/>
          <w:spacing w:val="-4"/>
          <w:sz w:val="20"/>
        </w:rPr>
        <w:t xml:space="preserve"> </w:t>
      </w:r>
      <w:r>
        <w:rPr>
          <w:rFonts w:ascii="Times New Roman;Times;serif" w:hAnsi="Times New Roman;Times;serif"/>
          <w:sz w:val="20"/>
        </w:rPr>
        <w:t>successfully</w:t>
      </w:r>
      <w:r>
        <w:rPr>
          <w:rFonts w:ascii="Times New Roman;Times;serif" w:hAnsi="Times New Roman;Times;serif"/>
          <w:spacing w:val="-4"/>
          <w:sz w:val="20"/>
        </w:rPr>
        <w:t xml:space="preserve"> </w:t>
      </w:r>
      <w:r>
        <w:rPr>
          <w:rFonts w:ascii="Times New Roman;Times;serif" w:hAnsi="Times New Roman;Times;serif"/>
          <w:sz w:val="20"/>
        </w:rPr>
        <w:t>developed</w:t>
      </w:r>
      <w:r>
        <w:rPr>
          <w:rFonts w:ascii="Times New Roman;Times;serif" w:hAnsi="Times New Roman;Times;serif"/>
          <w:spacing w:val="-4"/>
          <w:sz w:val="20"/>
        </w:rPr>
        <w:t xml:space="preserve"> </w:t>
      </w:r>
      <w:r>
        <w:rPr>
          <w:rFonts w:ascii="Times New Roman;Times;serif" w:hAnsi="Times New Roman;Times;serif"/>
          <w:sz w:val="20"/>
        </w:rPr>
        <w:t>and</w:t>
      </w:r>
      <w:r>
        <w:rPr>
          <w:rFonts w:ascii="Times New Roman;Times;serif" w:hAnsi="Times New Roman;Times;serif"/>
          <w:spacing w:val="-4"/>
          <w:sz w:val="20"/>
        </w:rPr>
        <w:t xml:space="preserve"> </w:t>
      </w:r>
      <w:r>
        <w:rPr>
          <w:rFonts w:ascii="Times New Roman;Times;serif" w:hAnsi="Times New Roman;Times;serif"/>
          <w:sz w:val="20"/>
        </w:rPr>
        <w:t>approved,</w:t>
      </w:r>
      <w:r>
        <w:rPr>
          <w:rFonts w:ascii="Times New Roman;Times;serif" w:hAnsi="Times New Roman;Times;serif"/>
          <w:spacing w:val="-4"/>
          <w:sz w:val="20"/>
        </w:rPr>
        <w:t xml:space="preserve"> </w:t>
      </w:r>
      <w:r>
        <w:rPr>
          <w:rFonts w:ascii="Times New Roman;Times;serif" w:hAnsi="Times New Roman;Times;serif"/>
          <w:sz w:val="20"/>
        </w:rPr>
        <w:t>have</w:t>
      </w:r>
      <w:r>
        <w:rPr>
          <w:rFonts w:ascii="Times New Roman;Times;serif" w:hAnsi="Times New Roman;Times;serif"/>
          <w:spacing w:val="-4"/>
          <w:sz w:val="20"/>
        </w:rPr>
        <w:t xml:space="preserve"> </w:t>
      </w:r>
      <w:r>
        <w:rPr>
          <w:rFonts w:ascii="Times New Roman;Times;serif" w:hAnsi="Times New Roman;Times;serif"/>
          <w:sz w:val="20"/>
        </w:rPr>
        <w:t>the potential to become compelling treatment options for their respective indications.</w:t>
      </w:r>
    </w:p>
    <w:p>
      <w:pPr>
        <w:pStyle w:val="TextBody"/>
        <w:spacing w:before="0" w:after="0"/>
        <w:ind w:left="0" w:right="0" w:hanging="0"/>
        <w:jc w:val="center"/>
        <w:rPr/>
      </w:pPr>
      <w:r>
        <w:rPr/>
        <w:drawing>
          <wp:inline distT="0" distB="0" distL="0" distR="0">
            <wp:extent cx="6110605" cy="3437255"/>
            <wp:effectExtent l="0" t="0" r="0" b="0"/>
            <wp:docPr id="17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2" descr=""/>
                    <pic:cNvPicPr>
                      <a:picLocks noChangeAspect="1" noChangeArrowheads="1"/>
                    </pic:cNvPicPr>
                  </pic:nvPicPr>
                  <pic:blipFill>
                    <a:blip r:embed="rId3"/>
                    <a:stretch>
                      <a:fillRect/>
                    </a:stretch>
                  </pic:blipFill>
                  <pic:spPr bwMode="auto">
                    <a:xfrm>
                      <a:off x="0" y="0"/>
                      <a:ext cx="6110605" cy="3437255"/>
                    </a:xfrm>
                    <a:prstGeom prst="rect">
                      <a:avLst/>
                    </a:prstGeom>
                  </pic:spPr>
                </pic:pic>
              </a:graphicData>
            </a:graphic>
          </wp:inline>
        </w:drawing>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Leveraging the insights enabled by the application and methodology of EvolverAI, a proprietary AI-based platform used to identify novel therapeutic uses for approved therapeutics and product candidates in clinical evaluation, and our internal industry expertise, we are pursuing two proprietary discovery programs to advance our goal of developing anti-cancer therapeutics. The first program, which encompasses BXCL701 across a range of indications, is based on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application of innate immune modulation technology. This program has been constructed to embrace key distinguishing characteristics</w:t>
      </w:r>
      <w:r>
        <w:rPr>
          <w:rFonts w:ascii="Times New Roman;Times;serif" w:hAnsi="Times New Roman;Times;serif"/>
          <w:spacing w:val="-1"/>
          <w:sz w:val="20"/>
        </w:rPr>
        <w:t xml:space="preserve"> </w:t>
      </w:r>
      <w:r>
        <w:rPr>
          <w:rFonts w:ascii="Times New Roman;Times;serif" w:hAnsi="Times New Roman;Times;serif"/>
          <w:sz w:val="20"/>
        </w:rPr>
        <w:t>of</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1"/>
          <w:sz w:val="20"/>
        </w:rPr>
        <w:t xml:space="preserve"> </w:t>
      </w:r>
      <w:r>
        <w:rPr>
          <w:rFonts w:ascii="Times New Roman;Times;serif" w:hAnsi="Times New Roman;Times;serif"/>
          <w:sz w:val="20"/>
        </w:rPr>
        <w:t>innate</w:t>
      </w:r>
      <w:r>
        <w:rPr>
          <w:rFonts w:ascii="Times New Roman;Times;serif" w:hAnsi="Times New Roman;Times;serif"/>
          <w:spacing w:val="-1"/>
          <w:sz w:val="20"/>
        </w:rPr>
        <w:t xml:space="preserve"> </w:t>
      </w:r>
      <w:r>
        <w:rPr>
          <w:rFonts w:ascii="Times New Roman;Times;serif" w:hAnsi="Times New Roman;Times;serif"/>
          <w:sz w:val="20"/>
        </w:rPr>
        <w:t>immune</w:t>
      </w:r>
      <w:r>
        <w:rPr>
          <w:rFonts w:ascii="Times New Roman;Times;serif" w:hAnsi="Times New Roman;Times;serif"/>
          <w:spacing w:val="-1"/>
          <w:sz w:val="20"/>
        </w:rPr>
        <w:t xml:space="preserve"> </w:t>
      </w:r>
      <w:r>
        <w:rPr>
          <w:rFonts w:ascii="Times New Roman;Times;serif" w:hAnsi="Times New Roman;Times;serif"/>
          <w:sz w:val="20"/>
        </w:rPr>
        <w:t>system</w:t>
      </w:r>
      <w:r>
        <w:rPr>
          <w:rFonts w:ascii="Times New Roman;Times;serif" w:hAnsi="Times New Roman;Times;serif"/>
          <w:spacing w:val="-1"/>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we</w:t>
      </w:r>
      <w:r>
        <w:rPr>
          <w:rFonts w:ascii="Times New Roman;Times;serif" w:hAnsi="Times New Roman;Times;serif"/>
          <w:spacing w:val="-1"/>
          <w:sz w:val="20"/>
        </w:rPr>
        <w:t xml:space="preserve"> </w:t>
      </w:r>
      <w:r>
        <w:rPr>
          <w:rFonts w:ascii="Times New Roman;Times;serif" w:hAnsi="Times New Roman;Times;serif"/>
          <w:sz w:val="20"/>
        </w:rPr>
        <w:t>believe</w:t>
      </w:r>
      <w:r>
        <w:rPr>
          <w:rFonts w:ascii="Times New Roman;Times;serif" w:hAnsi="Times New Roman;Times;serif"/>
          <w:spacing w:val="-1"/>
          <w:sz w:val="20"/>
        </w:rPr>
        <w:t xml:space="preserve"> </w:t>
      </w:r>
      <w:r>
        <w:rPr>
          <w:rFonts w:ascii="Times New Roman;Times;serif" w:hAnsi="Times New Roman;Times;serif"/>
          <w:sz w:val="20"/>
        </w:rPr>
        <w:t>it</w:t>
      </w:r>
      <w:r>
        <w:rPr>
          <w:rFonts w:ascii="Times New Roman;Times;serif" w:hAnsi="Times New Roman;Times;serif"/>
          <w:spacing w:val="-1"/>
          <w:sz w:val="20"/>
        </w:rPr>
        <w:t xml:space="preserve"> </w:t>
      </w:r>
      <w:r>
        <w:rPr>
          <w:rFonts w:ascii="Times New Roman;Times;serif" w:hAnsi="Times New Roman;Times;serif"/>
          <w:sz w:val="20"/>
        </w:rPr>
        <w:t>is</w:t>
      </w:r>
      <w:r>
        <w:rPr>
          <w:rFonts w:ascii="Times New Roman;Times;serif" w:hAnsi="Times New Roman;Times;serif"/>
          <w:spacing w:val="-1"/>
          <w:sz w:val="20"/>
        </w:rPr>
        <w:t xml:space="preserve"> </w:t>
      </w:r>
      <w:r>
        <w:rPr>
          <w:rFonts w:ascii="Times New Roman;Times;serif" w:hAnsi="Times New Roman;Times;serif"/>
          <w:sz w:val="20"/>
        </w:rPr>
        <w:t>supported</w:t>
      </w:r>
      <w:r>
        <w:rPr>
          <w:rFonts w:ascii="Times New Roman;Times;serif" w:hAnsi="Times New Roman;Times;serif"/>
          <w:spacing w:val="-1"/>
          <w:sz w:val="20"/>
        </w:rPr>
        <w:t xml:space="preserve"> </w:t>
      </w:r>
      <w:r>
        <w:rPr>
          <w:rFonts w:ascii="Times New Roman;Times;serif" w:hAnsi="Times New Roman;Times;serif"/>
          <w:sz w:val="20"/>
        </w:rPr>
        <w:t>by</w:t>
      </w:r>
      <w:r>
        <w:rPr>
          <w:rFonts w:ascii="Times New Roman;Times;serif" w:hAnsi="Times New Roman;Times;serif"/>
          <w:spacing w:val="-1"/>
          <w:sz w:val="20"/>
        </w:rPr>
        <w:t xml:space="preserve"> </w:t>
      </w:r>
      <w:r>
        <w:rPr>
          <w:rFonts w:ascii="Times New Roman;Times;serif" w:hAnsi="Times New Roman;Times;serif"/>
          <w:sz w:val="20"/>
        </w:rPr>
        <w:t>our</w:t>
      </w:r>
      <w:r>
        <w:rPr>
          <w:rFonts w:ascii="Times New Roman;Times;serif" w:hAnsi="Times New Roman;Times;serif"/>
          <w:spacing w:val="-1"/>
          <w:sz w:val="20"/>
        </w:rPr>
        <w:t xml:space="preserve"> </w:t>
      </w:r>
      <w:r>
        <w:rPr>
          <w:rFonts w:ascii="Times New Roman;Times;serif" w:hAnsi="Times New Roman;Times;serif"/>
          <w:sz w:val="20"/>
        </w:rPr>
        <w:t>development</w:t>
      </w:r>
      <w:r>
        <w:rPr>
          <w:rFonts w:ascii="Times New Roman;Times;serif" w:hAnsi="Times New Roman;Times;serif"/>
          <w:spacing w:val="-1"/>
          <w:sz w:val="20"/>
        </w:rPr>
        <w:t xml:space="preserve"> </w:t>
      </w:r>
      <w:r>
        <w:rPr>
          <w:rFonts w:ascii="Times New Roman;Times;serif" w:hAnsi="Times New Roman;Times;serif"/>
          <w:sz w:val="20"/>
        </w:rPr>
        <w:t>efforts.</w:t>
      </w:r>
      <w:r>
        <w:rPr>
          <w:rFonts w:ascii="Times New Roman;Times;serif" w:hAnsi="Times New Roman;Times;serif"/>
          <w:spacing w:val="-1"/>
          <w:sz w:val="20"/>
        </w:rPr>
        <w:t xml:space="preserve"> </w:t>
      </w:r>
      <w:r>
        <w:rPr>
          <w:rFonts w:ascii="Times New Roman;Times;serif" w:hAnsi="Times New Roman;Times;serif"/>
          <w:sz w:val="20"/>
        </w:rPr>
        <w:t>This</w:t>
      </w:r>
      <w:r>
        <w:rPr>
          <w:rFonts w:ascii="Times New Roman;Times;serif" w:hAnsi="Times New Roman;Times;serif"/>
          <w:spacing w:val="-1"/>
          <w:sz w:val="20"/>
        </w:rPr>
        <w:t xml:space="preserve"> </w:t>
      </w:r>
      <w:r>
        <w:rPr>
          <w:rFonts w:ascii="Times New Roman;Times;serif" w:hAnsi="Times New Roman;Times;serif"/>
          <w:sz w:val="20"/>
        </w:rPr>
        <w:t>approach</w:t>
      </w:r>
      <w:r>
        <w:rPr>
          <w:rFonts w:ascii="Times New Roman;Times;serif" w:hAnsi="Times New Roman;Times;serif"/>
          <w:spacing w:val="-1"/>
          <w:sz w:val="20"/>
        </w:rPr>
        <w:t xml:space="preserve"> </w:t>
      </w:r>
      <w:r>
        <w:rPr>
          <w:rFonts w:ascii="Times New Roman;Times;serif" w:hAnsi="Times New Roman;Times;serif"/>
          <w:sz w:val="20"/>
        </w:rPr>
        <w:t>has driven</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development</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BXCL701,</w:t>
      </w:r>
      <w:r>
        <w:rPr>
          <w:rFonts w:ascii="Times New Roman;Times;serif" w:hAnsi="Times New Roman;Times;serif"/>
          <w:spacing w:val="-3"/>
          <w:sz w:val="20"/>
        </w:rPr>
        <w:t xml:space="preserve"> </w:t>
      </w:r>
      <w:r>
        <w:rPr>
          <w:rFonts w:ascii="Times New Roman;Times;serif" w:hAnsi="Times New Roman;Times;serif"/>
          <w:sz w:val="20"/>
        </w:rPr>
        <w:t>which</w:t>
      </w:r>
      <w:r>
        <w:rPr>
          <w:rFonts w:ascii="Times New Roman;Times;serif" w:hAnsi="Times New Roman;Times;serif"/>
          <w:spacing w:val="-3"/>
          <w:sz w:val="20"/>
        </w:rPr>
        <w:t xml:space="preserve"> </w:t>
      </w:r>
      <w:r>
        <w:rPr>
          <w:rFonts w:ascii="Times New Roman;Times;serif" w:hAnsi="Times New Roman;Times;serif"/>
          <w:sz w:val="20"/>
        </w:rPr>
        <w:t>we</w:t>
      </w:r>
      <w:r>
        <w:rPr>
          <w:rFonts w:ascii="Times New Roman;Times;serif" w:hAnsi="Times New Roman;Times;serif"/>
          <w:spacing w:val="-3"/>
          <w:sz w:val="20"/>
        </w:rPr>
        <w:t xml:space="preserve"> </w:t>
      </w:r>
      <w:r>
        <w:rPr>
          <w:rFonts w:ascii="Times New Roman;Times;serif" w:hAnsi="Times New Roman;Times;serif"/>
          <w:sz w:val="20"/>
        </w:rPr>
        <w:t>are</w:t>
      </w:r>
      <w:r>
        <w:rPr>
          <w:rFonts w:ascii="Times New Roman;Times;serif" w:hAnsi="Times New Roman;Times;serif"/>
          <w:spacing w:val="-3"/>
          <w:sz w:val="20"/>
        </w:rPr>
        <w:t xml:space="preserve"> </w:t>
      </w:r>
      <w:r>
        <w:rPr>
          <w:rFonts w:ascii="Times New Roman;Times;serif" w:hAnsi="Times New Roman;Times;serif"/>
          <w:sz w:val="20"/>
        </w:rPr>
        <w:t>currently</w:t>
      </w:r>
      <w:r>
        <w:rPr>
          <w:rFonts w:ascii="Times New Roman;Times;serif" w:hAnsi="Times New Roman;Times;serif"/>
          <w:spacing w:val="-3"/>
          <w:sz w:val="20"/>
        </w:rPr>
        <w:t xml:space="preserve"> </w:t>
      </w:r>
      <w:r>
        <w:rPr>
          <w:rFonts w:ascii="Times New Roman;Times;serif" w:hAnsi="Times New Roman;Times;serif"/>
          <w:sz w:val="20"/>
        </w:rPr>
        <w:t>evaluating</w:t>
      </w:r>
      <w:r>
        <w:rPr>
          <w:rFonts w:ascii="Times New Roman;Times;serif" w:hAnsi="Times New Roman;Times;serif"/>
          <w:spacing w:val="-3"/>
          <w:sz w:val="20"/>
        </w:rPr>
        <w:t xml:space="preserve"> </w:t>
      </w:r>
      <w:r>
        <w:rPr>
          <w:rFonts w:ascii="Times New Roman;Times;serif" w:hAnsi="Times New Roman;Times;serif"/>
          <w:sz w:val="20"/>
        </w:rPr>
        <w:t>in</w:t>
      </w:r>
      <w:r>
        <w:rPr>
          <w:rFonts w:ascii="Times New Roman;Times;serif" w:hAnsi="Times New Roman;Times;serif"/>
          <w:spacing w:val="-3"/>
          <w:sz w:val="20"/>
        </w:rPr>
        <w:t xml:space="preserve"> </w:t>
      </w:r>
      <w:r>
        <w:rPr>
          <w:rFonts w:ascii="Times New Roman;Times;serif" w:hAnsi="Times New Roman;Times;serif"/>
          <w:sz w:val="20"/>
        </w:rPr>
        <w:t>a</w:t>
      </w:r>
      <w:r>
        <w:rPr>
          <w:rFonts w:ascii="Times New Roman;Times;serif" w:hAnsi="Times New Roman;Times;serif"/>
          <w:spacing w:val="-3"/>
          <w:sz w:val="20"/>
        </w:rPr>
        <w:t xml:space="preserve"> </w:t>
      </w:r>
      <w:r>
        <w:rPr>
          <w:rFonts w:ascii="Times New Roman;Times;serif" w:hAnsi="Times New Roman;Times;serif"/>
          <w:sz w:val="20"/>
        </w:rPr>
        <w:t>Phase</w:t>
      </w:r>
      <w:r>
        <w:rPr>
          <w:rFonts w:ascii="Times New Roman;Times;serif" w:hAnsi="Times New Roman;Times;serif"/>
          <w:spacing w:val="-3"/>
          <w:sz w:val="20"/>
        </w:rPr>
        <w:t xml:space="preserve"> </w:t>
      </w:r>
      <w:r>
        <w:rPr>
          <w:rFonts w:ascii="Times New Roman;Times;serif" w:hAnsi="Times New Roman;Times;serif"/>
          <w:sz w:val="20"/>
        </w:rPr>
        <w:t>2</w:t>
      </w:r>
      <w:r>
        <w:rPr>
          <w:rFonts w:ascii="Times New Roman;Times;serif" w:hAnsi="Times New Roman;Times;serif"/>
          <w:spacing w:val="-3"/>
          <w:sz w:val="20"/>
        </w:rPr>
        <w:t xml:space="preserve"> </w:t>
      </w:r>
      <w:r>
        <w:rPr>
          <w:rFonts w:ascii="Times New Roman;Times;serif" w:hAnsi="Times New Roman;Times;serif"/>
          <w:sz w:val="20"/>
        </w:rPr>
        <w:t>clinical</w:t>
      </w:r>
      <w:r>
        <w:rPr>
          <w:rFonts w:ascii="Times New Roman;Times;serif" w:hAnsi="Times New Roman;Times;serif"/>
          <w:spacing w:val="-3"/>
          <w:sz w:val="20"/>
        </w:rPr>
        <w:t xml:space="preserve"> </w:t>
      </w:r>
      <w:r>
        <w:rPr>
          <w:rFonts w:ascii="Times New Roman;Times;serif" w:hAnsi="Times New Roman;Times;serif"/>
          <w:sz w:val="20"/>
        </w:rPr>
        <w:t>trial</w:t>
      </w:r>
      <w:r>
        <w:rPr>
          <w:rFonts w:ascii="Times New Roman;Times;serif" w:hAnsi="Times New Roman;Times;serif"/>
          <w:spacing w:val="-3"/>
          <w:sz w:val="20"/>
        </w:rPr>
        <w:t xml:space="preserve"> </w:t>
      </w:r>
      <w:r>
        <w:rPr>
          <w:rFonts w:ascii="Times New Roman;Times;serif" w:hAnsi="Times New Roman;Times;serif"/>
          <w:sz w:val="20"/>
        </w:rPr>
        <w:t>as</w:t>
      </w:r>
      <w:r>
        <w:rPr>
          <w:rFonts w:ascii="Times New Roman;Times;serif" w:hAnsi="Times New Roman;Times;serif"/>
          <w:spacing w:val="-3"/>
          <w:sz w:val="20"/>
        </w:rPr>
        <w:t xml:space="preserve"> </w:t>
      </w:r>
      <w:r>
        <w:rPr>
          <w:rFonts w:ascii="Times New Roman;Times;serif" w:hAnsi="Times New Roman;Times;serif"/>
          <w:sz w:val="20"/>
        </w:rPr>
        <w:t>a</w:t>
      </w:r>
      <w:r>
        <w:rPr>
          <w:rFonts w:ascii="Times New Roman;Times;serif" w:hAnsi="Times New Roman;Times;serif"/>
          <w:spacing w:val="-3"/>
          <w:sz w:val="20"/>
        </w:rPr>
        <w:t xml:space="preserve"> </w:t>
      </w:r>
      <w:r>
        <w:rPr>
          <w:rFonts w:ascii="Times New Roman;Times;serif" w:hAnsi="Times New Roman;Times;serif"/>
          <w:sz w:val="20"/>
        </w:rPr>
        <w:t>potential</w:t>
      </w:r>
      <w:r>
        <w:rPr>
          <w:rFonts w:ascii="Times New Roman;Times;serif" w:hAnsi="Times New Roman;Times;serif"/>
          <w:spacing w:val="-3"/>
          <w:sz w:val="20"/>
        </w:rPr>
        <w:t xml:space="preserve"> </w:t>
      </w:r>
      <w:r>
        <w:rPr>
          <w:rFonts w:ascii="Times New Roman;Times;serif" w:hAnsi="Times New Roman;Times;serif"/>
          <w:sz w:val="20"/>
        </w:rPr>
        <w:t>treatment for mCRPC with SCNC phenotype. Fundamental to the innate immune modulation program is BXCL701’s potential to:</w:t>
      </w:r>
    </w:p>
    <w:tbl>
      <w:tblPr>
        <w:tblW w:w="4545" w:type="dxa"/>
        <w:jc w:val="left"/>
        <w:tblInd w:w="0" w:type="dxa"/>
        <w:tblCellMar>
          <w:top w:w="28" w:type="dxa"/>
          <w:left w:w="28" w:type="dxa"/>
          <w:bottom w:w="28" w:type="dxa"/>
          <w:right w:w="28" w:type="dxa"/>
        </w:tblCellMar>
      </w:tblPr>
      <w:tblGrid>
        <w:gridCol w:w="124"/>
        <w:gridCol w:w="256"/>
        <w:gridCol w:w="416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6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Convert</w:t>
            </w:r>
            <w:r>
              <w:rPr>
                <w:caps w:val="false"/>
                <w:smallCaps w:val="false"/>
                <w:spacing w:val="-4"/>
              </w:rPr>
              <w:t xml:space="preserve"> </w:t>
            </w:r>
            <w:r>
              <w:rPr>
                <w:rFonts w:ascii="Times New Roman;Times;serif" w:hAnsi="Times New Roman;Times;serif"/>
                <w:b w:val="false"/>
                <w:i w:val="false"/>
                <w:caps w:val="false"/>
                <w:smallCaps w:val="false"/>
                <w:sz w:val="20"/>
              </w:rPr>
              <w:t>cold</w:t>
            </w:r>
            <w:r>
              <w:rPr>
                <w:caps w:val="false"/>
                <w:smallCaps w:val="false"/>
                <w:spacing w:val="-3"/>
              </w:rPr>
              <w:t xml:space="preserve"> </w:t>
            </w:r>
            <w:r>
              <w:rPr>
                <w:rFonts w:ascii="Times New Roman;Times;serif" w:hAnsi="Times New Roman;Times;serif"/>
                <w:b w:val="false"/>
                <w:i w:val="false"/>
                <w:caps w:val="false"/>
                <w:smallCaps w:val="false"/>
                <w:sz w:val="20"/>
              </w:rPr>
              <w:t>tumors</w:t>
            </w:r>
            <w:r>
              <w:rPr>
                <w:caps w:val="false"/>
                <w:smallCaps w:val="false"/>
                <w:spacing w:val="-4"/>
              </w:rPr>
              <w:t xml:space="preserve"> </w:t>
            </w:r>
            <w:r>
              <w:rPr>
                <w:rFonts w:ascii="Times New Roman;Times;serif" w:hAnsi="Times New Roman;Times;serif"/>
                <w:b w:val="false"/>
                <w:i w:val="false"/>
                <w:caps w:val="false"/>
                <w:smallCaps w:val="false"/>
                <w:sz w:val="20"/>
              </w:rPr>
              <w:t>into</w:t>
            </w:r>
            <w:r>
              <w:rPr>
                <w:caps w:val="false"/>
                <w:smallCaps w:val="false"/>
                <w:spacing w:val="-3"/>
              </w:rPr>
              <w:t xml:space="preserve"> </w:t>
            </w:r>
            <w:r>
              <w:rPr>
                <w:rFonts w:ascii="Times New Roman;Times;serif" w:hAnsi="Times New Roman;Times;serif"/>
                <w:b w:val="false"/>
                <w:i w:val="false"/>
                <w:caps w:val="false"/>
                <w:smallCaps w:val="false"/>
                <w:sz w:val="20"/>
              </w:rPr>
              <w:t>ones</w:t>
            </w:r>
            <w:r>
              <w:rPr>
                <w:caps w:val="false"/>
                <w:smallCaps w:val="false"/>
                <w:spacing w:val="-4"/>
              </w:rPr>
              <w:t xml:space="preserve"> </w:t>
            </w:r>
            <w:r>
              <w:rPr>
                <w:rFonts w:ascii="Times New Roman;Times;serif" w:hAnsi="Times New Roman;Times;serif"/>
                <w:b w:val="false"/>
                <w:i w:val="false"/>
                <w:caps w:val="false"/>
                <w:smallCaps w:val="false"/>
                <w:sz w:val="20"/>
              </w:rPr>
              <w:t>sensitive</w:t>
            </w:r>
            <w:r>
              <w:rPr>
                <w:caps w:val="false"/>
                <w:smallCaps w:val="false"/>
                <w:spacing w:val="-3"/>
              </w:rPr>
              <w:t xml:space="preserve"> </w:t>
            </w:r>
            <w:r>
              <w:rPr>
                <w:rFonts w:ascii="Times New Roman;Times;serif" w:hAnsi="Times New Roman;Times;serif"/>
                <w:b w:val="false"/>
                <w:i w:val="false"/>
                <w:caps w:val="false"/>
                <w:smallCaps w:val="false"/>
                <w:sz w:val="20"/>
              </w:rPr>
              <w:t>to</w:t>
            </w:r>
            <w:r>
              <w:rPr>
                <w:caps w:val="false"/>
                <w:smallCaps w:val="false"/>
                <w:spacing w:val="-3"/>
              </w:rPr>
              <w:t xml:space="preserve"> </w:t>
            </w:r>
            <w:r>
              <w:rPr>
                <w:rFonts w:ascii="Times New Roman;Times;serif" w:hAnsi="Times New Roman;Times;serif"/>
                <w:b w:val="false"/>
                <w:i w:val="false"/>
                <w:caps w:val="false"/>
                <w:smallCaps w:val="false"/>
                <w:spacing w:val="-2"/>
                <w:sz w:val="20"/>
              </w:rPr>
              <w:t>CPIs;</w:t>
            </w:r>
          </w:p>
        </w:tc>
      </w:tr>
    </w:tbl>
    <w:tbl>
      <w:tblPr>
        <w:tblW w:w="6311" w:type="dxa"/>
        <w:jc w:val="left"/>
        <w:tblInd w:w="0" w:type="dxa"/>
        <w:tblCellMar>
          <w:top w:w="28" w:type="dxa"/>
          <w:left w:w="28" w:type="dxa"/>
          <w:bottom w:w="28" w:type="dxa"/>
          <w:right w:w="28" w:type="dxa"/>
        </w:tblCellMar>
      </w:tblPr>
      <w:tblGrid>
        <w:gridCol w:w="124"/>
        <w:gridCol w:w="256"/>
        <w:gridCol w:w="59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3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Enhance</w:t>
            </w:r>
            <w:r>
              <w:rPr>
                <w:caps w:val="false"/>
                <w:smallCaps w:val="false"/>
                <w:spacing w:val="-6"/>
              </w:rPr>
              <w:t xml:space="preserve"> </w:t>
            </w:r>
            <w:r>
              <w:rPr>
                <w:rFonts w:ascii="Times New Roman;Times;serif" w:hAnsi="Times New Roman;Times;serif"/>
                <w:b w:val="false"/>
                <w:i w:val="false"/>
                <w:caps w:val="false"/>
                <w:smallCaps w:val="false"/>
                <w:sz w:val="20"/>
              </w:rPr>
              <w:t>hot</w:t>
            </w:r>
            <w:r>
              <w:rPr>
                <w:caps w:val="false"/>
                <w:smallCaps w:val="false"/>
                <w:spacing w:val="-4"/>
              </w:rPr>
              <w:t xml:space="preserve"> </w:t>
            </w:r>
            <w:r>
              <w:rPr>
                <w:rFonts w:ascii="Times New Roman;Times;serif" w:hAnsi="Times New Roman;Times;serif"/>
                <w:b w:val="false"/>
                <w:i w:val="false"/>
                <w:caps w:val="false"/>
                <w:smallCaps w:val="false"/>
                <w:sz w:val="20"/>
              </w:rPr>
              <w:t>tumors’</w:t>
            </w:r>
            <w:r>
              <w:rPr>
                <w:caps w:val="false"/>
                <w:smallCaps w:val="false"/>
                <w:spacing w:val="-3"/>
              </w:rPr>
              <w:t xml:space="preserve"> </w:t>
            </w:r>
            <w:r>
              <w:rPr>
                <w:rFonts w:ascii="Times New Roman;Times;serif" w:hAnsi="Times New Roman;Times;serif"/>
                <w:b w:val="false"/>
                <w:i w:val="false"/>
                <w:caps w:val="false"/>
                <w:smallCaps w:val="false"/>
                <w:sz w:val="20"/>
              </w:rPr>
              <w:t>response</w:t>
            </w:r>
            <w:r>
              <w:rPr>
                <w:caps w:val="false"/>
                <w:smallCaps w:val="false"/>
                <w:spacing w:val="-4"/>
              </w:rPr>
              <w:t xml:space="preserve"> </w:t>
            </w:r>
            <w:r>
              <w:rPr>
                <w:rFonts w:ascii="Times New Roman;Times;serif" w:hAnsi="Times New Roman;Times;serif"/>
                <w:b w:val="false"/>
                <w:i w:val="false"/>
                <w:caps w:val="false"/>
                <w:smallCaps w:val="false"/>
                <w:sz w:val="20"/>
              </w:rPr>
              <w:t>rate</w:t>
            </w:r>
            <w:r>
              <w:rPr>
                <w:caps w:val="false"/>
                <w:smallCaps w:val="false"/>
                <w:spacing w:val="-3"/>
              </w:rPr>
              <w:t xml:space="preserve"> </w:t>
            </w:r>
            <w:r>
              <w:rPr>
                <w:rFonts w:ascii="Times New Roman;Times;serif" w:hAnsi="Times New Roman;Times;serif"/>
                <w:b w:val="false"/>
                <w:i w:val="false"/>
                <w:caps w:val="false"/>
                <w:smallCaps w:val="false"/>
                <w:sz w:val="20"/>
              </w:rPr>
              <w:t>and</w:t>
            </w:r>
            <w:r>
              <w:rPr>
                <w:caps w:val="false"/>
                <w:smallCaps w:val="false"/>
                <w:spacing w:val="-4"/>
              </w:rPr>
              <w:t xml:space="preserve"> </w:t>
            </w:r>
            <w:r>
              <w:rPr>
                <w:rFonts w:ascii="Times New Roman;Times;serif" w:hAnsi="Times New Roman;Times;serif"/>
                <w:b w:val="false"/>
                <w:i w:val="false"/>
                <w:caps w:val="false"/>
                <w:smallCaps w:val="false"/>
                <w:sz w:val="20"/>
              </w:rPr>
              <w:t>depth</w:t>
            </w:r>
            <w:r>
              <w:rPr>
                <w:caps w:val="false"/>
                <w:smallCaps w:val="false"/>
                <w:spacing w:val="-3"/>
              </w:rPr>
              <w:t xml:space="preserve"> </w:t>
            </w:r>
            <w:r>
              <w:rPr>
                <w:rFonts w:ascii="Times New Roman;Times;serif" w:hAnsi="Times New Roman;Times;serif"/>
                <w:b w:val="false"/>
                <w:i w:val="false"/>
                <w:caps w:val="false"/>
                <w:smallCaps w:val="false"/>
                <w:sz w:val="20"/>
              </w:rPr>
              <w:t>of</w:t>
            </w:r>
            <w:r>
              <w:rPr>
                <w:caps w:val="false"/>
                <w:smallCaps w:val="false"/>
                <w:spacing w:val="-4"/>
              </w:rPr>
              <w:t xml:space="preserve"> </w:t>
            </w:r>
            <w:r>
              <w:rPr>
                <w:rFonts w:ascii="Times New Roman;Times;serif" w:hAnsi="Times New Roman;Times;serif"/>
                <w:b w:val="false"/>
                <w:i w:val="false"/>
                <w:caps w:val="false"/>
                <w:smallCaps w:val="false"/>
                <w:sz w:val="20"/>
              </w:rPr>
              <w:t>response</w:t>
            </w:r>
            <w:r>
              <w:rPr>
                <w:caps w:val="false"/>
                <w:smallCaps w:val="false"/>
                <w:spacing w:val="-3"/>
              </w:rPr>
              <w:t xml:space="preserve"> </w:t>
            </w:r>
            <w:r>
              <w:rPr>
                <w:rFonts w:ascii="Times New Roman;Times;serif" w:hAnsi="Times New Roman;Times;serif"/>
                <w:b w:val="false"/>
                <w:i w:val="false"/>
                <w:caps w:val="false"/>
                <w:smallCaps w:val="false"/>
                <w:sz w:val="20"/>
              </w:rPr>
              <w:t>to</w:t>
            </w:r>
            <w:r>
              <w:rPr>
                <w:caps w:val="false"/>
                <w:smallCaps w:val="false"/>
                <w:spacing w:val="-4"/>
              </w:rPr>
              <w:t xml:space="preserve"> </w:t>
            </w:r>
            <w:r>
              <w:rPr>
                <w:rFonts w:ascii="Times New Roman;Times;serif" w:hAnsi="Times New Roman;Times;serif"/>
                <w:b w:val="false"/>
                <w:i w:val="false"/>
                <w:caps w:val="false"/>
                <w:smallCaps w:val="false"/>
                <w:sz w:val="20"/>
              </w:rPr>
              <w:t>CPIs;</w:t>
            </w:r>
            <w:r>
              <w:rPr>
                <w:caps w:val="false"/>
                <w:smallCaps w:val="false"/>
                <w:spacing w:val="-3"/>
              </w:rPr>
              <w:t xml:space="preserve"> </w:t>
            </w:r>
            <w:r>
              <w:rPr>
                <w:rFonts w:ascii="Times New Roman;Times;serif" w:hAnsi="Times New Roman;Times;serif"/>
                <w:b w:val="false"/>
                <w:i w:val="false"/>
                <w:caps w:val="false"/>
                <w:smallCaps w:val="false"/>
                <w:spacing w:val="-5"/>
                <w:sz w:val="20"/>
              </w:rPr>
              <w:t>and</w:t>
            </w:r>
          </w:p>
        </w:tc>
      </w:tr>
    </w:tbl>
    <w:tbl>
      <w:tblPr>
        <w:tblW w:w="6331" w:type="dxa"/>
        <w:jc w:val="left"/>
        <w:tblInd w:w="0" w:type="dxa"/>
        <w:tblCellMar>
          <w:top w:w="28" w:type="dxa"/>
          <w:left w:w="28" w:type="dxa"/>
          <w:bottom w:w="28" w:type="dxa"/>
          <w:right w:w="28" w:type="dxa"/>
        </w:tblCellMar>
      </w:tblPr>
      <w:tblGrid>
        <w:gridCol w:w="124"/>
        <w:gridCol w:w="256"/>
        <w:gridCol w:w="59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5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Restore</w:t>
            </w:r>
            <w:r>
              <w:rPr>
                <w:caps w:val="false"/>
                <w:smallCaps w:val="false"/>
                <w:spacing w:val="-6"/>
              </w:rPr>
              <w:t xml:space="preserve"> </w:t>
            </w:r>
            <w:r>
              <w:rPr>
                <w:rFonts w:ascii="Times New Roman;Times;serif" w:hAnsi="Times New Roman;Times;serif"/>
                <w:b w:val="false"/>
                <w:i w:val="false"/>
                <w:caps w:val="false"/>
                <w:smallCaps w:val="false"/>
                <w:sz w:val="20"/>
              </w:rPr>
              <w:t>CPI</w:t>
            </w:r>
            <w:r>
              <w:rPr>
                <w:caps w:val="false"/>
                <w:smallCaps w:val="false"/>
                <w:spacing w:val="-4"/>
              </w:rPr>
              <w:t xml:space="preserve"> </w:t>
            </w:r>
            <w:r>
              <w:rPr>
                <w:rFonts w:ascii="Times New Roman;Times;serif" w:hAnsi="Times New Roman;Times;serif"/>
                <w:b w:val="false"/>
                <w:i w:val="false"/>
                <w:caps w:val="false"/>
                <w:smallCaps w:val="false"/>
                <w:sz w:val="20"/>
              </w:rPr>
              <w:t>sensitivity</w:t>
            </w:r>
            <w:r>
              <w:rPr>
                <w:caps w:val="false"/>
                <w:smallCaps w:val="false"/>
                <w:spacing w:val="-3"/>
              </w:rPr>
              <w:t xml:space="preserve"> </w:t>
            </w:r>
            <w:r>
              <w:rPr>
                <w:rFonts w:ascii="Times New Roman;Times;serif" w:hAnsi="Times New Roman;Times;serif"/>
                <w:b w:val="false"/>
                <w:i w:val="false"/>
                <w:caps w:val="false"/>
                <w:smallCaps w:val="false"/>
                <w:sz w:val="20"/>
              </w:rPr>
              <w:t>to</w:t>
            </w:r>
            <w:r>
              <w:rPr>
                <w:caps w:val="false"/>
                <w:smallCaps w:val="false"/>
                <w:spacing w:val="-4"/>
              </w:rPr>
              <w:t xml:space="preserve"> </w:t>
            </w:r>
            <w:r>
              <w:rPr>
                <w:rFonts w:ascii="Times New Roman;Times;serif" w:hAnsi="Times New Roman;Times;serif"/>
                <w:b w:val="false"/>
                <w:i w:val="false"/>
                <w:caps w:val="false"/>
                <w:smallCaps w:val="false"/>
                <w:sz w:val="20"/>
              </w:rPr>
              <w:t>tumors</w:t>
            </w:r>
            <w:r>
              <w:rPr>
                <w:caps w:val="false"/>
                <w:smallCaps w:val="false"/>
                <w:spacing w:val="-4"/>
              </w:rPr>
              <w:t xml:space="preserve"> </w:t>
            </w:r>
            <w:r>
              <w:rPr>
                <w:rFonts w:ascii="Times New Roman;Times;serif" w:hAnsi="Times New Roman;Times;serif"/>
                <w:b w:val="false"/>
                <w:i w:val="false"/>
                <w:caps w:val="false"/>
                <w:smallCaps w:val="false"/>
                <w:sz w:val="20"/>
              </w:rPr>
              <w:t>that</w:t>
            </w:r>
            <w:r>
              <w:rPr>
                <w:caps w:val="false"/>
                <w:smallCaps w:val="false"/>
                <w:spacing w:val="-3"/>
              </w:rPr>
              <w:t xml:space="preserve"> </w:t>
            </w:r>
            <w:r>
              <w:rPr>
                <w:rFonts w:ascii="Times New Roman;Times;serif" w:hAnsi="Times New Roman;Times;serif"/>
                <w:b w:val="false"/>
                <w:i w:val="false"/>
                <w:caps w:val="false"/>
                <w:smallCaps w:val="false"/>
                <w:sz w:val="20"/>
              </w:rPr>
              <w:t>had</w:t>
            </w:r>
            <w:r>
              <w:rPr>
                <w:caps w:val="false"/>
                <w:smallCaps w:val="false"/>
                <w:spacing w:val="-4"/>
              </w:rPr>
              <w:t xml:space="preserve"> </w:t>
            </w:r>
            <w:r>
              <w:rPr>
                <w:rFonts w:ascii="Times New Roman;Times;serif" w:hAnsi="Times New Roman;Times;serif"/>
                <w:b w:val="false"/>
                <w:i w:val="false"/>
                <w:caps w:val="false"/>
                <w:smallCaps w:val="false"/>
                <w:sz w:val="20"/>
              </w:rPr>
              <w:t>previously</w:t>
            </w:r>
            <w:r>
              <w:rPr>
                <w:caps w:val="false"/>
                <w:smallCaps w:val="false"/>
                <w:spacing w:val="-4"/>
              </w:rPr>
              <w:t xml:space="preserve"> </w:t>
            </w:r>
            <w:r>
              <w:rPr>
                <w:rFonts w:ascii="Times New Roman;Times;serif" w:hAnsi="Times New Roman;Times;serif"/>
                <w:b w:val="false"/>
                <w:i w:val="false"/>
                <w:caps w:val="false"/>
                <w:smallCaps w:val="false"/>
                <w:sz w:val="20"/>
              </w:rPr>
              <w:t>been</w:t>
            </w:r>
            <w:r>
              <w:rPr>
                <w:caps w:val="false"/>
                <w:smallCaps w:val="false"/>
                <w:spacing w:val="-3"/>
              </w:rPr>
              <w:t xml:space="preserve"> </w:t>
            </w:r>
            <w:r>
              <w:rPr>
                <w:rFonts w:ascii="Times New Roman;Times;serif" w:hAnsi="Times New Roman;Times;serif"/>
                <w:b w:val="false"/>
                <w:i w:val="false"/>
                <w:caps w:val="false"/>
                <w:smallCaps w:val="false"/>
                <w:spacing w:val="-2"/>
                <w:sz w:val="20"/>
              </w:rPr>
              <w:t>responsive.</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Encouraged</w:t>
      </w:r>
      <w:r>
        <w:rPr>
          <w:rFonts w:ascii="Times New Roman;Times;serif" w:hAnsi="Times New Roman;Times;serif"/>
          <w:spacing w:val="-3"/>
          <w:sz w:val="20"/>
        </w:rPr>
        <w:t xml:space="preserve"> </w:t>
      </w:r>
      <w:r>
        <w:rPr>
          <w:rFonts w:ascii="Times New Roman;Times;serif" w:hAnsi="Times New Roman;Times;serif"/>
          <w:sz w:val="20"/>
        </w:rPr>
        <w:t>by</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positive</w:t>
      </w:r>
      <w:r>
        <w:rPr>
          <w:rFonts w:ascii="Times New Roman;Times;serif" w:hAnsi="Times New Roman;Times;serif"/>
          <w:spacing w:val="-3"/>
          <w:sz w:val="20"/>
        </w:rPr>
        <w:t xml:space="preserve"> </w:t>
      </w:r>
      <w:r>
        <w:rPr>
          <w:rFonts w:ascii="Times New Roman;Times;serif" w:hAnsi="Times New Roman;Times;serif"/>
          <w:sz w:val="20"/>
        </w:rPr>
        <w:t>results</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BXCL701</w:t>
      </w:r>
      <w:r>
        <w:rPr>
          <w:rFonts w:ascii="Times New Roman;Times;serif" w:hAnsi="Times New Roman;Times;serif"/>
          <w:spacing w:val="-3"/>
          <w:sz w:val="20"/>
        </w:rPr>
        <w:t xml:space="preserve"> </w:t>
      </w:r>
      <w:r>
        <w:rPr>
          <w:rFonts w:ascii="Times New Roman;Times;serif" w:hAnsi="Times New Roman;Times;serif"/>
          <w:sz w:val="20"/>
        </w:rPr>
        <w:t>in</w:t>
      </w:r>
      <w:r>
        <w:rPr>
          <w:rFonts w:ascii="Times New Roman;Times;serif" w:hAnsi="Times New Roman;Times;serif"/>
          <w:spacing w:val="-3"/>
          <w:sz w:val="20"/>
        </w:rPr>
        <w:t xml:space="preserve"> </w:t>
      </w:r>
      <w:r>
        <w:rPr>
          <w:rFonts w:ascii="Times New Roman;Times;serif" w:hAnsi="Times New Roman;Times;serif"/>
          <w:sz w:val="20"/>
        </w:rPr>
        <w:t>our</w:t>
      </w:r>
      <w:r>
        <w:rPr>
          <w:rFonts w:ascii="Times New Roman;Times;serif" w:hAnsi="Times New Roman;Times;serif"/>
          <w:spacing w:val="-3"/>
          <w:sz w:val="20"/>
        </w:rPr>
        <w:t xml:space="preserve"> </w:t>
      </w:r>
      <w:r>
        <w:rPr>
          <w:rFonts w:ascii="Times New Roman;Times;serif" w:hAnsi="Times New Roman;Times;serif"/>
          <w:sz w:val="20"/>
        </w:rPr>
        <w:t>Phase</w:t>
      </w:r>
      <w:r>
        <w:rPr>
          <w:rFonts w:ascii="Times New Roman;Times;serif" w:hAnsi="Times New Roman;Times;serif"/>
          <w:spacing w:val="-3"/>
          <w:sz w:val="20"/>
        </w:rPr>
        <w:t xml:space="preserve"> </w:t>
      </w:r>
      <w:r>
        <w:rPr>
          <w:rFonts w:ascii="Times New Roman;Times;serif" w:hAnsi="Times New Roman;Times;serif"/>
          <w:sz w:val="20"/>
        </w:rPr>
        <w:t>2a</w:t>
      </w:r>
      <w:r>
        <w:rPr>
          <w:rFonts w:ascii="Times New Roman;Times;serif" w:hAnsi="Times New Roman;Times;serif"/>
          <w:spacing w:val="-3"/>
          <w:sz w:val="20"/>
        </w:rPr>
        <w:t xml:space="preserve"> </w:t>
      </w:r>
      <w:r>
        <w:rPr>
          <w:rFonts w:ascii="Times New Roman;Times;serif" w:hAnsi="Times New Roman;Times;serif"/>
          <w:sz w:val="20"/>
        </w:rPr>
        <w:t>trial,</w:t>
      </w:r>
      <w:r>
        <w:rPr>
          <w:rFonts w:ascii="Times New Roman;Times;serif" w:hAnsi="Times New Roman;Times;serif"/>
          <w:spacing w:val="-3"/>
          <w:sz w:val="20"/>
        </w:rPr>
        <w:t xml:space="preserve"> </w:t>
      </w:r>
      <w:r>
        <w:rPr>
          <w:rFonts w:ascii="Times New Roman;Times;serif" w:hAnsi="Times New Roman;Times;serif"/>
          <w:sz w:val="20"/>
        </w:rPr>
        <w:t>we</w:t>
      </w:r>
      <w:r>
        <w:rPr>
          <w:rFonts w:ascii="Times New Roman;Times;serif" w:hAnsi="Times New Roman;Times;serif"/>
          <w:spacing w:val="-3"/>
          <w:sz w:val="20"/>
        </w:rPr>
        <w:t xml:space="preserve"> </w:t>
      </w:r>
      <w:r>
        <w:rPr>
          <w:rFonts w:ascii="Times New Roman;Times;serif" w:hAnsi="Times New Roman;Times;serif"/>
          <w:sz w:val="20"/>
        </w:rPr>
        <w:t>are</w:t>
      </w:r>
      <w:r>
        <w:rPr>
          <w:rFonts w:ascii="Times New Roman;Times;serif" w:hAnsi="Times New Roman;Times;serif"/>
          <w:spacing w:val="-3"/>
          <w:sz w:val="20"/>
        </w:rPr>
        <w:t xml:space="preserve"> </w:t>
      </w:r>
      <w:r>
        <w:rPr>
          <w:rFonts w:ascii="Times New Roman;Times;serif" w:hAnsi="Times New Roman;Times;serif"/>
          <w:sz w:val="20"/>
        </w:rPr>
        <w:t>working</w:t>
      </w:r>
      <w:r>
        <w:rPr>
          <w:rFonts w:ascii="Times New Roman;Times;serif" w:hAnsi="Times New Roman;Times;serif"/>
          <w:spacing w:val="-3"/>
          <w:sz w:val="20"/>
        </w:rPr>
        <w:t xml:space="preserve"> </w:t>
      </w:r>
      <w:r>
        <w:rPr>
          <w:rFonts w:ascii="Times New Roman;Times;serif" w:hAnsi="Times New Roman;Times;serif"/>
          <w:sz w:val="20"/>
        </w:rPr>
        <w:t>toward</w:t>
      </w:r>
      <w:r>
        <w:rPr>
          <w:rFonts w:ascii="Times New Roman;Times;serif" w:hAnsi="Times New Roman;Times;serif"/>
          <w:spacing w:val="-3"/>
          <w:sz w:val="20"/>
        </w:rPr>
        <w:t xml:space="preserve"> </w:t>
      </w:r>
      <w:r>
        <w:rPr>
          <w:rFonts w:ascii="Times New Roman;Times;serif" w:hAnsi="Times New Roman;Times;serif"/>
          <w:sz w:val="20"/>
        </w:rPr>
        <w:t>nomination</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a</w:t>
      </w:r>
      <w:r>
        <w:rPr>
          <w:rFonts w:ascii="Times New Roman;Times;serif" w:hAnsi="Times New Roman;Times;serif"/>
          <w:spacing w:val="-3"/>
          <w:sz w:val="20"/>
        </w:rPr>
        <w:t xml:space="preserve"> </w:t>
      </w:r>
      <w:r>
        <w:rPr>
          <w:rFonts w:ascii="Times New Roman;Times;serif" w:hAnsi="Times New Roman;Times;serif"/>
          <w:sz w:val="20"/>
        </w:rPr>
        <w:t>next-generation DPP8/9 inhibitor for the same indications and to target additional difficult-to-treat solid and liquid tumors.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believe that novel therapeutic approaches to indications of unmet medical need may also emerge from the intersection of innate immunity modulation and synthetic lethality, an approach focused on the identification of cancer-promoting</w:t>
      </w:r>
      <w:r>
        <w:rPr>
          <w:rFonts w:ascii="Times New Roman;Times;serif" w:hAnsi="Times New Roman;Times;serif"/>
          <w:spacing w:val="-4"/>
          <w:sz w:val="20"/>
        </w:rPr>
        <w:t xml:space="preserve"> </w:t>
      </w:r>
      <w:r>
        <w:rPr>
          <w:rFonts w:ascii="Times New Roman;Times;serif" w:hAnsi="Times New Roman;Times;serif"/>
          <w:sz w:val="20"/>
        </w:rPr>
        <w:t>gene</w:t>
      </w:r>
      <w:r>
        <w:rPr>
          <w:rFonts w:ascii="Times New Roman;Times;serif" w:hAnsi="Times New Roman;Times;serif"/>
          <w:spacing w:val="-4"/>
          <w:sz w:val="20"/>
        </w:rPr>
        <w:t xml:space="preserve"> </w:t>
      </w:r>
      <w:r>
        <w:rPr>
          <w:rFonts w:ascii="Times New Roman;Times;serif" w:hAnsi="Times New Roman;Times;serif"/>
          <w:sz w:val="20"/>
        </w:rPr>
        <w:t>pairs</w:t>
      </w:r>
      <w:r>
        <w:rPr>
          <w:rFonts w:ascii="Times New Roman;Times;serif" w:hAnsi="Times New Roman;Times;serif"/>
          <w:spacing w:val="-4"/>
          <w:sz w:val="20"/>
        </w:rPr>
        <w:t xml:space="preserve"> </w:t>
      </w:r>
      <w:r>
        <w:rPr>
          <w:rFonts w:ascii="Times New Roman;Times;serif" w:hAnsi="Times New Roman;Times;serif"/>
          <w:sz w:val="20"/>
        </w:rPr>
        <w:t>with</w:t>
      </w:r>
      <w:r>
        <w:rPr>
          <w:rFonts w:ascii="Times New Roman;Times;serif" w:hAnsi="Times New Roman;Times;serif"/>
          <w:spacing w:val="-4"/>
          <w:sz w:val="20"/>
        </w:rPr>
        <w:t xml:space="preserve"> </w:t>
      </w:r>
      <w:r>
        <w:rPr>
          <w:rFonts w:ascii="Times New Roman;Times;serif" w:hAnsi="Times New Roman;Times;serif"/>
          <w:sz w:val="20"/>
        </w:rPr>
        <w:t>driver</w:t>
      </w:r>
      <w:r>
        <w:rPr>
          <w:rFonts w:ascii="Times New Roman;Times;serif" w:hAnsi="Times New Roman;Times;serif"/>
          <w:spacing w:val="-4"/>
          <w:sz w:val="20"/>
        </w:rPr>
        <w:t xml:space="preserve"> </w:t>
      </w:r>
      <w:r>
        <w:rPr>
          <w:rFonts w:ascii="Times New Roman;Times;serif" w:hAnsi="Times New Roman;Times;serif"/>
          <w:sz w:val="20"/>
        </w:rPr>
        <w:t>mutations</w:t>
      </w:r>
      <w:r>
        <w:rPr>
          <w:rFonts w:ascii="Times New Roman;Times;serif" w:hAnsi="Times New Roman;Times;serif"/>
          <w:spacing w:val="-4"/>
          <w:sz w:val="20"/>
        </w:rPr>
        <w:t xml:space="preserve"> </w:t>
      </w:r>
      <w:r>
        <w:rPr>
          <w:rFonts w:ascii="Times New Roman;Times;serif" w:hAnsi="Times New Roman;Times;serif"/>
          <w:sz w:val="20"/>
        </w:rPr>
        <w:t>whose</w:t>
      </w:r>
      <w:r>
        <w:rPr>
          <w:rFonts w:ascii="Times New Roman;Times;serif" w:hAnsi="Times New Roman;Times;serif"/>
          <w:spacing w:val="-4"/>
          <w:sz w:val="20"/>
        </w:rPr>
        <w:t xml:space="preserve"> </w:t>
      </w:r>
      <w:r>
        <w:rPr>
          <w:rFonts w:ascii="Times New Roman;Times;serif" w:hAnsi="Times New Roman;Times;serif"/>
          <w:sz w:val="20"/>
        </w:rPr>
        <w:t>concomitant</w:t>
      </w:r>
      <w:r>
        <w:rPr>
          <w:rFonts w:ascii="Times New Roman;Times;serif" w:hAnsi="Times New Roman;Times;serif"/>
          <w:spacing w:val="-4"/>
          <w:sz w:val="20"/>
        </w:rPr>
        <w:t xml:space="preserve"> </w:t>
      </w:r>
      <w:r>
        <w:rPr>
          <w:rFonts w:ascii="Times New Roman;Times;serif" w:hAnsi="Times New Roman;Times;serif"/>
          <w:sz w:val="20"/>
        </w:rPr>
        <w:t>disruption</w:t>
      </w:r>
      <w:r>
        <w:rPr>
          <w:rFonts w:ascii="Times New Roman;Times;serif" w:hAnsi="Times New Roman;Times;serif"/>
          <w:spacing w:val="-4"/>
          <w:sz w:val="20"/>
        </w:rPr>
        <w:t xml:space="preserve"> </w:t>
      </w:r>
      <w:r>
        <w:rPr>
          <w:rFonts w:ascii="Times New Roman;Times;serif" w:hAnsi="Times New Roman;Times;serif"/>
          <w:sz w:val="20"/>
        </w:rPr>
        <w:t>activates</w:t>
      </w:r>
      <w:r>
        <w:rPr>
          <w:rFonts w:ascii="Times New Roman;Times;serif" w:hAnsi="Times New Roman;Times;serif"/>
          <w:spacing w:val="-4"/>
          <w:sz w:val="20"/>
        </w:rPr>
        <w:t xml:space="preserve"> </w:t>
      </w:r>
      <w:r>
        <w:rPr>
          <w:rFonts w:ascii="Times New Roman;Times;serif" w:hAnsi="Times New Roman;Times;serif"/>
          <w:sz w:val="20"/>
        </w:rPr>
        <w:t>PD-1.</w:t>
      </w:r>
      <w:r>
        <w:rPr>
          <w:rFonts w:ascii="Times New Roman;Times;serif" w:hAnsi="Times New Roman;Times;serif"/>
          <w:spacing w:val="-4"/>
          <w:sz w:val="20"/>
        </w:rPr>
        <w:t xml:space="preserve"> </w:t>
      </w:r>
      <w:r>
        <w:rPr>
          <w:rFonts w:ascii="Times New Roman;Times;serif" w:hAnsi="Times New Roman;Times;serif"/>
          <w:sz w:val="20"/>
        </w:rPr>
        <w:t>We</w:t>
      </w:r>
      <w:r>
        <w:rPr>
          <w:rFonts w:ascii="Times New Roman;Times;serif" w:hAnsi="Times New Roman;Times;serif"/>
          <w:spacing w:val="-4"/>
          <w:sz w:val="20"/>
        </w:rPr>
        <w:t xml:space="preserve"> </w:t>
      </w:r>
      <w:r>
        <w:rPr>
          <w:rFonts w:ascii="Times New Roman;Times;serif" w:hAnsi="Times New Roman;Times;serif"/>
          <w:sz w:val="20"/>
        </w:rPr>
        <w:t>are</w:t>
      </w:r>
      <w:r>
        <w:rPr>
          <w:rFonts w:ascii="Times New Roman;Times;serif" w:hAnsi="Times New Roman;Times;serif"/>
          <w:spacing w:val="-4"/>
          <w:sz w:val="20"/>
        </w:rPr>
        <w:t xml:space="preserve"> </w:t>
      </w:r>
      <w:r>
        <w:rPr>
          <w:rFonts w:ascii="Times New Roman;Times;serif" w:hAnsi="Times New Roman;Times;serif"/>
          <w:sz w:val="20"/>
        </w:rPr>
        <w:t>working</w:t>
      </w:r>
      <w:r>
        <w:rPr>
          <w:rFonts w:ascii="Times New Roman;Times;serif" w:hAnsi="Times New Roman;Times;serif"/>
          <w:spacing w:val="-4"/>
          <w:sz w:val="20"/>
        </w:rPr>
        <w:t xml:space="preserve"> </w:t>
      </w:r>
      <w:r>
        <w:rPr>
          <w:rFonts w:ascii="Times New Roman;Times;serif" w:hAnsi="Times New Roman;Times;serif"/>
          <w:sz w:val="20"/>
        </w:rPr>
        <w:t>to</w:t>
      </w:r>
      <w:r>
        <w:rPr>
          <w:rFonts w:ascii="Times New Roman;Times;serif" w:hAnsi="Times New Roman;Times;serif"/>
          <w:spacing w:val="-4"/>
          <w:sz w:val="20"/>
        </w:rPr>
        <w:t xml:space="preserve"> </w:t>
      </w:r>
      <w:r>
        <w:rPr>
          <w:rFonts w:ascii="Times New Roman;Times;serif" w:hAnsi="Times New Roman;Times;serif"/>
          <w:sz w:val="20"/>
        </w:rPr>
        <w:t>develop</w:t>
      </w:r>
      <w:r>
        <w:rPr>
          <w:rFonts w:ascii="Times New Roman;Times;serif" w:hAnsi="Times New Roman;Times;serif"/>
          <w:spacing w:val="-4"/>
          <w:sz w:val="20"/>
        </w:rPr>
        <w:t xml:space="preserve"> </w:t>
      </w:r>
      <w:r>
        <w:rPr>
          <w:rFonts w:ascii="Times New Roman;Times;serif" w:hAnsi="Times New Roman;Times;serif"/>
          <w:sz w:val="20"/>
        </w:rPr>
        <w:t>our second AI-driven product candidate, BXCL702, leveraging our innate immunity modulation program and/or our synthetic</w:t>
      </w:r>
      <w:r>
        <w:rPr>
          <w:rFonts w:ascii="Times New Roman;Times;serif" w:hAnsi="Times New Roman;Times;serif"/>
          <w:spacing w:val="-4"/>
          <w:sz w:val="20"/>
        </w:rPr>
        <w:t xml:space="preserve"> </w:t>
      </w:r>
      <w:r>
        <w:rPr>
          <w:rFonts w:ascii="Times New Roman;Times;serif" w:hAnsi="Times New Roman;Times;serif"/>
          <w:sz w:val="20"/>
        </w:rPr>
        <w:t>lethality</w:t>
      </w:r>
      <w:r>
        <w:rPr>
          <w:rFonts w:ascii="Times New Roman;Times;serif" w:hAnsi="Times New Roman;Times;serif"/>
          <w:spacing w:val="-4"/>
          <w:sz w:val="20"/>
        </w:rPr>
        <w:t xml:space="preserve"> </w:t>
      </w:r>
      <w:r>
        <w:rPr>
          <w:rFonts w:ascii="Times New Roman;Times;serif" w:hAnsi="Times New Roman;Times;serif"/>
          <w:sz w:val="20"/>
        </w:rPr>
        <w:t>program,</w:t>
      </w:r>
      <w:r>
        <w:rPr>
          <w:rFonts w:ascii="Times New Roman;Times;serif" w:hAnsi="Times New Roman;Times;serif"/>
          <w:spacing w:val="-4"/>
          <w:sz w:val="20"/>
        </w:rPr>
        <w:t xml:space="preserve"> </w:t>
      </w:r>
      <w:r>
        <w:rPr>
          <w:rFonts w:ascii="Times New Roman;Times;serif" w:hAnsi="Times New Roman;Times;serif"/>
          <w:sz w:val="20"/>
        </w:rPr>
        <w:t>via</w:t>
      </w:r>
      <w:r>
        <w:rPr>
          <w:rFonts w:ascii="Times New Roman;Times;serif" w:hAnsi="Times New Roman;Times;serif"/>
          <w:spacing w:val="-4"/>
          <w:sz w:val="20"/>
        </w:rPr>
        <w:t xml:space="preserve"> </w:t>
      </w:r>
      <w:r>
        <w:rPr>
          <w:rFonts w:ascii="Times New Roman;Times;serif" w:hAnsi="Times New Roman;Times;serif"/>
          <w:sz w:val="20"/>
        </w:rPr>
        <w:t>re-innovation</w:t>
      </w:r>
      <w:r>
        <w:rPr>
          <w:rFonts w:ascii="Times New Roman;Times;serif" w:hAnsi="Times New Roman;Times;serif"/>
          <w:spacing w:val="-4"/>
          <w:sz w:val="20"/>
        </w:rPr>
        <w:t xml:space="preserve"> </w:t>
      </w:r>
      <w:r>
        <w:rPr>
          <w:rFonts w:ascii="Times New Roman;Times;serif" w:hAnsi="Times New Roman;Times;serif"/>
          <w:sz w:val="20"/>
        </w:rPr>
        <w:t>or</w:t>
      </w:r>
      <w:r>
        <w:rPr>
          <w:rFonts w:ascii="Times New Roman;Times;serif" w:hAnsi="Times New Roman;Times;serif"/>
          <w:spacing w:val="-4"/>
          <w:sz w:val="20"/>
        </w:rPr>
        <w:t xml:space="preserve"> </w:t>
      </w:r>
      <w:r>
        <w:rPr>
          <w:rFonts w:ascii="Times New Roman;Times;serif" w:hAnsi="Times New Roman;Times;serif"/>
          <w:sz w:val="20"/>
        </w:rPr>
        <w:t>in-licensing.</w:t>
      </w:r>
      <w:r>
        <w:rPr>
          <w:rFonts w:ascii="Times New Roman;Times;serif" w:hAnsi="Times New Roman;Times;serif"/>
          <w:spacing w:val="-4"/>
          <w:sz w:val="20"/>
        </w:rPr>
        <w:t xml:space="preserve"> </w:t>
      </w:r>
      <w:r>
        <w:rPr>
          <w:rFonts w:ascii="Times New Roman;Times;serif" w:hAnsi="Times New Roman;Times;serif"/>
          <w:sz w:val="20"/>
        </w:rPr>
        <w:t>We</w:t>
      </w:r>
      <w:r>
        <w:rPr>
          <w:rFonts w:ascii="Times New Roman;Times;serif" w:hAnsi="Times New Roman;Times;serif"/>
          <w:spacing w:val="-4"/>
          <w:sz w:val="20"/>
        </w:rPr>
        <w:t xml:space="preserve"> </w:t>
      </w:r>
      <w:r>
        <w:rPr>
          <w:rFonts w:ascii="Times New Roman;Times;serif" w:hAnsi="Times New Roman;Times;serif"/>
          <w:sz w:val="20"/>
        </w:rPr>
        <w:t>anticipate</w:t>
      </w:r>
      <w:r>
        <w:rPr>
          <w:rFonts w:ascii="Times New Roman;Times;serif" w:hAnsi="Times New Roman;Times;serif"/>
          <w:spacing w:val="-4"/>
          <w:sz w:val="20"/>
        </w:rPr>
        <w:t xml:space="preserve"> </w:t>
      </w:r>
      <w:r>
        <w:rPr>
          <w:rFonts w:ascii="Times New Roman;Times;serif" w:hAnsi="Times New Roman;Times;serif"/>
          <w:sz w:val="20"/>
        </w:rPr>
        <w:t>nominating</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4"/>
          <w:sz w:val="20"/>
        </w:rPr>
        <w:t xml:space="preserve"> </w:t>
      </w:r>
      <w:r>
        <w:rPr>
          <w:rFonts w:ascii="Times New Roman;Times;serif" w:hAnsi="Times New Roman;Times;serif"/>
          <w:sz w:val="20"/>
        </w:rPr>
        <w:t>clinical</w:t>
      </w:r>
      <w:r>
        <w:rPr>
          <w:rFonts w:ascii="Times New Roman;Times;serif" w:hAnsi="Times New Roman;Times;serif"/>
          <w:spacing w:val="-4"/>
          <w:sz w:val="20"/>
        </w:rPr>
        <w:t xml:space="preserve"> </w:t>
      </w:r>
      <w:r>
        <w:rPr>
          <w:rFonts w:ascii="Times New Roman;Times;serif" w:hAnsi="Times New Roman;Times;serif"/>
          <w:sz w:val="20"/>
        </w:rPr>
        <w:t>candidate</w:t>
      </w:r>
      <w:r>
        <w:rPr>
          <w:rFonts w:ascii="Times New Roman;Times;serif" w:hAnsi="Times New Roman;Times;serif"/>
          <w:spacing w:val="-4"/>
          <w:sz w:val="20"/>
        </w:rPr>
        <w:t xml:space="preserve"> </w:t>
      </w:r>
      <w:r>
        <w:rPr>
          <w:rFonts w:ascii="Times New Roman;Times;serif" w:hAnsi="Times New Roman;Times;serif"/>
          <w:sz w:val="20"/>
        </w:rPr>
        <w:t>in</w:t>
      </w:r>
      <w:r>
        <w:rPr>
          <w:rFonts w:ascii="Times New Roman;Times;serif" w:hAnsi="Times New Roman;Times;serif"/>
          <w:spacing w:val="-4"/>
          <w:sz w:val="20"/>
        </w:rPr>
        <w:t xml:space="preserve"> </w:t>
      </w:r>
      <w:r>
        <w:rPr>
          <w:rFonts w:ascii="Times New Roman;Times;serif" w:hAnsi="Times New Roman;Times;serif"/>
          <w:sz w:val="20"/>
        </w:rPr>
        <w:t>this</w:t>
      </w:r>
      <w:r>
        <w:rPr>
          <w:rFonts w:ascii="Times New Roman;Times;serif" w:hAnsi="Times New Roman;Times;serif"/>
          <w:spacing w:val="-4"/>
          <w:sz w:val="20"/>
        </w:rPr>
        <w:t xml:space="preserve"> </w:t>
      </w:r>
      <w:r>
        <w:rPr>
          <w:rFonts w:ascii="Times New Roman;Times;serif" w:hAnsi="Times New Roman;Times;serif"/>
          <w:sz w:val="20"/>
        </w:rPr>
        <w:t>program by 2025, at which time we intend to submit an investigational new drug application (“IND”) to the FDA.</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BXCL701 Innate Immune Activator</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BXCL701 is an oral small molecule inhibitor of a class of enzymes called DPPs, specifically DPP8/9 and DPP4. Inhibition of DPP8/9 initiates the activation of the inflammasome and ultimately the activation of the innate immune system. Key characteristics of BXCL701 include: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Orally bioavailable, potentially sole inhibitor of both DPP8/9 and DPP4, key regulators of the inflammasome directed innate immune response, currently in clinical development for cancer.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Novel proposed mechanism of action may complement CPI activity, enabling therapeutic access to immunologically cold tumors as well as other difficult-to-treat cancers, including relapsed or refractory tumor types.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2 clinical proof-of-concept achieved in treating mCRPC patients with either SCNC or adenocarcinoma phenotype.</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Initial focus on mCRPC with SCNC phenotype is designed to provide for a more efficient clinical development pathway than current industry standards.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Immuno-Oncology</w:t>
      </w:r>
      <w:r>
        <w:rPr>
          <w:rFonts w:ascii="Times New Roman;Times;serif" w:hAnsi="Times New Roman;Times;serif"/>
          <w:b/>
          <w:i/>
          <w:spacing w:val="-9"/>
          <w:sz w:val="20"/>
        </w:rPr>
        <w:t xml:space="preserve"> </w:t>
      </w:r>
      <w:r>
        <w:rPr>
          <w:rFonts w:ascii="Times New Roman;Times;serif" w:hAnsi="Times New Roman;Times;serif"/>
          <w:b/>
          <w:i/>
          <w:sz w:val="20"/>
        </w:rPr>
        <w:t>Clinical</w:t>
      </w:r>
      <w:r>
        <w:rPr>
          <w:rFonts w:ascii="Times New Roman;Times;serif" w:hAnsi="Times New Roman;Times;serif"/>
          <w:b/>
          <w:i/>
          <w:spacing w:val="-8"/>
          <w:sz w:val="20"/>
        </w:rPr>
        <w:t xml:space="preserve"> </w:t>
      </w:r>
      <w:r>
        <w:rPr>
          <w:rFonts w:ascii="Times New Roman;Times;serif" w:hAnsi="Times New Roman;Times;serif"/>
          <w:b/>
          <w:i/>
          <w:spacing w:val="-2"/>
          <w:sz w:val="20"/>
        </w:rPr>
        <w:t>Trials</w:t>
      </w:r>
    </w:p>
    <w:p>
      <w:pPr>
        <w:pStyle w:val="TextBody"/>
        <w:spacing w:before="0" w:after="200"/>
        <w:ind w:left="0" w:right="0" w:firstLine="360"/>
        <w:rPr>
          <w:rFonts w:ascii="Times New Roman;Times;serif" w:hAnsi="Times New Roman;Times;serif"/>
          <w:b/>
          <w:sz w:val="20"/>
        </w:rPr>
      </w:pPr>
      <w:r>
        <w:rPr>
          <w:rFonts w:ascii="Times New Roman;Times;serif" w:hAnsi="Times New Roman;Times;serif"/>
          <w:b/>
          <w:sz w:val="20"/>
        </w:rPr>
        <w:t>BXCL701 as a Potential Treatment for mCRPC</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believe BXCL701 may have utility in stimulating increased activation, proliferation, and infiltration of tumor cells by immune effector cells, enabling its potential use in combination with currently approved CPIs to treat cold tumors, such as mCRPC. We elected to pursue mCRPC as an indication for BXCL701 due to its enrichment for DPP mutations, which are especially prevalent in tumors with SCNC phenotype.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BXCL701 is being evaluated in a Phase1b/2a clinical proof-of-concept trial that we are sponsoring, to investigate its potential efficacy when used in combination with pembrolizumab.</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Phase 2a portion of the trial was segregated into two 28-patient trial cohorts, one cohort consisting of mCRPC patients with SCNC phenotype and a second cohort consisting of mCRPC patients with adenocarcinoma phenotype. Initially, we focused on mCRPC with SCNC phenotype as the primary patient population for BXCL701, since DPP9 is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amplified in approximately 17% of treatment-emergent mCRPC with SCNC phenotype, compared to 5% or less in the broader prostate cancer population. However, we also observed responses in mCRPC patients with adenocarcinoma phenotype who were microsatellite stable in the Phase 1b portion of the trial. On this basis, we widened our Phase 2a trial to include relapsed mCRPC patients with either SCNC or adenocarcinoma phenotype. Both cohorts employed a Simon two-stage trial design of 15 trial participants followed by 13 additional patients. The primary endpoint of the Phase 2a portion of this trial was a composite response rate, determined as either a RECIST 1.1 response (defined as a reduction in RECIST score of 30% or more), and/or a reduction in prostate specific antigen (“PSA”) level of 50% or more, and/or a conversion in circulating tumor cells (“CTCs”) from 5 or more CTCs/7.5 milliliter (“ml”) to less than 5 CTCs/7.5ml. Secondary endpoints included duration of response, progression-free survival, changes in circulating cytokines and certain disease-specific biomarkers.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Final Phase 2a results for the SCNC cohort were presented at the 2023 Genitourinary Cancers Symposium of the American Society of Clinical Oncology. BXCL701 in combination with pembrolizumab demonstrated a 25% (seven out of 28 evaluable patients) composite response rate in mCRPC patients with SCNC phenotype, for whom there is no standard of care. As of December 19, 2022, the median duration of response for the seven composite responders was six-plus months (range 1.3 to 17.4 months). Five of these responders were RECIST 1.1 responders (four confirmed responses and one unconfirmed response) with decreases in tumor size ranging from 42% to 67% and a median duration of response of six-plus months (range 1.3 to 17.4 months). The sixth responder was a CTC and PSA</w:t>
      </w:r>
      <w:r>
        <w:rPr>
          <w:rFonts w:ascii="Times New Roman;Times;serif" w:hAnsi="Times New Roman;Times;serif"/>
          <w:sz w:val="15"/>
        </w:rPr>
        <w:t>50</w:t>
      </w:r>
      <w:r>
        <w:rPr>
          <w:rFonts w:ascii="Times New Roman;Times;serif" w:hAnsi="Times New Roman;Times;serif"/>
          <w:sz w:val="20"/>
        </w:rPr>
        <w:t xml:space="preserve"> responder, with a PSA decrease of 73%. The seventh responder was a PSA</w:t>
      </w:r>
      <w:r>
        <w:rPr>
          <w:rFonts w:ascii="Times New Roman;Times;serif" w:hAnsi="Times New Roman;Times;serif"/>
          <w:sz w:val="15"/>
        </w:rPr>
        <w:t>50</w:t>
      </w:r>
      <w:r>
        <w:rPr>
          <w:rFonts w:ascii="Times New Roman;Times;serif" w:hAnsi="Times New Roman;Times;serif"/>
          <w:sz w:val="20"/>
        </w:rPr>
        <w:t xml:space="preserve"> responder, with a PSA decrease of 50%. Based on these results, we intend to pursue expansion of the Phase 2a trial involving mCRPC patients with SCNC phenotype into a Phase 2b trial, which we expect would enroll 60 patients subject to further changes as we seek regulatory guidance. We intend to meet with the FDA in the second half of 2023 to discuss our plan to expand the current trial into a Phase 2b trial, and the potential for this Phase 2b portion to serve as a registrational trial.</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BXCL701 as a Potential Treatment for Small Cell Lung Cancer</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American Cancer Society estimates that in 2023, about 35,751 cases of small cell lung cancer (“SCLC”) will be diagnosed in the U.S. Approximately 60 to 70% of these patients present with extensive disease, and first-line therapy for a majority of these patients involves the combination of a CPI with platinum-based chemotherapy or etoposide.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are encouraged by the therapeutic potential of BXCL701 for SCLC given the activity it has demonstrated in the ongoing SCNC clinical trial, and we plan to initiate clinical trials targeting this indication. We are planning to conduct a Phase 1b/2 trial designed to be a dose-escalation safety lead-in to establish a recommended Phase 2 dose (“RP2D”). The Phase 2 portion of the trial is anticipated to involve 45 patients administered the RP2D of BXCL701 plus atezolizumab for nine treatment cycles over a six-month period.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currently expect to initiate the Phase 1b portion of the trial in the second half of 2023 and the Phase 2 proof-of-concept portion in 2024.</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BXCL701 as a Potential Treatment for Other Cancers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addition to its potential use in combination with CPIs to treat mCRPC, an immunologically cold tumor, we are developing BXCL701 as a therapeutic for pancreatic cancer, and other solid tumors with greater, or “non-cold,” immunological activity that are nonetheless regarded as difficult-to-treat, and hematological malignancies. We believe the synergistic potential of BXCL701 and CPIs, when administered in combination, could increase cancer cell susceptibility to an enhanced immune response, potentially increasing the clinical benefit of CPIs, whose single-agent efficacy in treating these tumor types is generally viewed to be limited to between 13% and 30% of cancer patients and whose duration of response to treatment is often short. As such, we envision the potential therapeutic benefit of BXCL701 increasing the sensitivity of cold tumors to CPI therapy, enabling the potential treatment of a range of cancers including pancreatic cancer, breast cancer, colorectal cancer, and ovarian cancer, as well as enhancing the depth of response to CPIs in other cancers. In addition, based on the preclinical observation that BXCL701 showed direct cytotoxic activity against certain leukemic cells, we have initiated clinical development targeting relapsed or refractory acute myeloid leukemia (“AML”).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Pancreatic Cancer</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American Cancer Society estimates that in 2023, approximately 64,050 cases of pancreatic cancer will be diagnosed in the U.S. We are supporting a Phase 2 Investigator Sponsored Trial (“IST”) sponsored by Georgetown Lombardi Comprehensive Cancer Center designed to evaluate the use of BXCL701 along with pembrolizumab to treat pancreatic cancer. Few therapeutic options are available for patients with this indication, which has a five-year survival rate of less than 10%, among the lowest of all cancers. Pancreatic cancer has among the highest levels of overexpression and amplification of DPPs. Preclinical models demonstrated synergy between DPP inhibition with BXCL701 and anti-PD-1 antibody in the pancreatic cancer tumor microenvironment. Based on these preclinical observations, Georgetown Lombardi intends to assess the safety of BXCL701 when administered in combination with pembrolizumab, as well as estimate the 18-week progression-free survival rate. This trial is expected to begin in the second quarter of 2023.</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Relapsed or Refractory AML</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American Cancer Society estimates that in 2023, about 20,380 new cases of AML will be diagnosed in the U.S. We are supporting a Phase 1b IST sponsored by Dana-Farber Cancer Institute, designed to evaluate the use of BXCL701, along with the current standard of care to treat relapsed or refractory AML. We believe that pyroptosis triggered by BXCL701 may provide potent single agent cytotoxicity directed toward AML. We also believe that DPP9 copy number may provide an actionable biomarker, as high copy number has been observed to correlate with BXCL701 toxicity in human AML cell lines. DPP8/9 inhibition has been shown to be cytotoxic to THP-1 cells, monocytic cancer cells cultured from a patient with AML, but not other cell lines, suggesting a specific vulnerability of AML to these inhibitors that we believe can be exploited for therapeutic benefit. Based on these preclinical observations, Dana-Farber has initiated a Phase 1b trial to determine the maximum tolerated dose or the RP2D, and to assess the safety of BXCL701 as a single agent. This trial began in the first quarter of 2023. Subject to successful completion of this Phase 1b trial, we anticipate that Dana-Farber will conduct additional studies to determine BXCL701's objective response rate in AML in combination with the standard of care.</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Other Potential Anti-Cancer Programs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collaborated with the University of Texas MD Anderson Cancer Center in a Phase 2a IST to evaluate the potential efficacy of BXCL701 administered in combination with pembrolizumab in patients with advanced solid cancer. The design of this open label trial included two cohorts and incorporated a two-stage configuration, which allowed for an expansion of patient enrollment to a total of 17 patients in each cohort if a RECIST 1.1 complete response or partial response was observed in at least one of the initial nine patients. The first cohort enrolled patients who previously had not received CPI therapy, with a second cohort consisting of patients who were either refractory to CPI therapy or had relapsed while on CPI therapy, meaning that no further response to CPI treatment was anticipated among patients in the second cohort. Trial participants received 200mg of pembrolizumab on day one of a 21-day cycle, with 0.2mg BXCL701 administered twice-daily (“BID”), on days one through seven, the dose increasing to 0.3mg BID on days eight through 14. Evaluable trial participants were required to receive a minimum of two treatment cycles. A preliminary assessment conducted after completion of the first stage of the study of BXCL701 dosed in combination with a CPI, noted responses in two patients, one in each of the CPI naïve and the CPI refractory/relapsed cohorts. Responses included a partial response in a patient with endometrial carcinoma who was CPI-naïve, microsatellite stable, and PD-L1 negative (CPS &lt;1), and a partial response in a CPI-refractory patient with uveal melanoma. These preliminary results were presented at the 2021 American Society of Clinical Oncology annual meeting. Patient enrollment in this trial was completed in the third quarter of 2022.</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believe BXCL701 may have potential application in breast cancer, as its use in combination with monoclonal antibody therapy generated encouraging in vivo data in a preclinical disease model where enhanced antibody-dependent cellular cytotoxicity was observed.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FDA has granted BXCL701 orphan drug designation for the treatment of AML, Stage IIb to IV melanoma, pancreatic cancer, and soft tissue sarcoma. As we consider BXCL701’s therapeutic potential for additional indications that represent unmet medical needs, we intend to apply for additional orphan drug designations for BXCL701.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Biomarker Development Initiatives Intended to Complement BXCL701 Administration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are also actively engaged in the identification and development of predictive biomarkers that we believe could be used in conjunction with BXCL701 to predict the likelihood of patient response to therapy across the range of targeted indications. Based on preliminary data from AML patients, we believe DPP9 copy number could correlate to BXCL701 response rate, with a greater likelihood of BXCL701 cytotoxicity in patients with increased DPP9 copy number. We are pursuing its use in our biomarker discovery activities as a potential companion diagnostic. Once our current efficacy trials are completed, we plan to retrospectively analyze correlation between DPP9 copy number and response.</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BXCL701 Lifecycle Management Considerations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envision employing computational and medicinal chemistry approaches to advance development of a next-generation BXCL701 molecule to introduce enhanced life cycle management capabilities. We anticipate that a next-generation molecule may embrace characteristics such as the inhibition of DPP8/9, while providing an improved orally bioavailable pharmacokinetic profile, including a linear pharmacokinetic, a half-life of between 12 and 48 hours, with multiple mechanisms of elimination that are clearly understood and are not burdened with potential drug-drug interaction liabilities. This next generation molecule would be intended to demonstrate anti-cancer activity as either a monotherapy or in combination with an approved CPI.</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Intellectual Property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policy is to protect and enhance the proprietary technologies, inventions, and improvements that are commercially important to our business by filing patent applications in the U.S. and other jurisdictions related to our proprietary technology, inventions, improvements, and product candidates. We also rely on trademarks, trade secrets, and know-how relating to our proprietary technologies and product candidates, continuing innovation, and in-licensing technology and products. This reliance is expected to develop, maintain, and strengthen our proprietary position for novel therapeutics and novel formulations of existing therapeutics across multiple therapeutic areas. We also plan to rely on data exclusivity, market exclusivity, and patent term extensions when available.</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Patent Portfolio</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have multiple patent families filed to protect our Neuroscience program, including BXCL501. As of April 15, 2023, our neuroscience patent portfolio included four Patent Cooperation Treaty (“PCT”) applications, 18 U.S. utility applications, four U.S. provisional, five issued U.S. utility patents, 92 pending non-U.S. utility applications, 11 allowed or granted non-U.S. patents (including three in Japan), one pending U.S. design patent application, and 34 allowed or registered design patents (including two in Japan). Four U.S. utility patents, directed to our proprietary sublingual film formulation of Dex and set to expire no earlier than 2039, are now listed in the FDA's Approved Drug Products with Therapeutic Equivalence Evaluations (the “Orange Book”). In the same family, we also have a granted patent in China, a granted patent in Eurasia, and pending applications in the U.S., China, and other major markets. We expect that patents issuing in this family will expire no earlier than 2039. We have also filed applications in additional patent families that are relevant to BXCL501. We have applications pending in the U.S., Europe and Japan directed to methods of treating insomnia using sublingual Dex. We expect that patents issued from these applications, if any, will expire no earlier than 2035. We also have applications filed in 16 regions/countries, including the U.S., Europe, Japan, and China, directed to methods of treating agitation. We expect that patents issued from these applications, if any, will expire no earlier than 2042. We also have one PCT application directed to treating mania and another to treating depression. If patents issue from those cases, we expect them to expire no earlier than 2041 and 2042, respectively.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have multiple patent families filed to protect our immuno-oncology program, including our core patent family directed to methods of using BXCL701 with immune checkpoint inhibitors, which is granted in the U.S., Japan, Australia, Canada, Russia, China, South Africa, and United Arab Emirates, and with at least one pending application in the U.S., Mexico, the Republic of Korea, New Zealand, Russia, Australia, Brazil, Hong Kong, and Europe. Patents issued from this family, if any, are expected to expire no earlier than 2036. We have one additional patent issued in the U.S. directed to a method of selecting patients based on a biomarker, with an expected expiration date no earlier than 2039.</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Additional applications are directed to administering BXCL701 in combinations with various other molecules, biomarkers, and dosing regimens. We also have one provisional application directed to novel formulations of BXCL701, various dosing regimens, methods of use, and combination therapies. We expect that patents issued from these applications, if any, will expire from 2039 to 2042.</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term of individual patents depends upon the legal term for patents in the countries in which they are obtained. In most countries, including the U.S., the patent term is 20 years from the earliest filing date of a non-provisional patent application. Depending upon the timing, duration, and specifics of FDA approval of our product candidates, a U.S. patent that we own or license may be eligible for limited patent term extension under the Drug Price Competition and Patent Term Restoration Act of 1984 (a.k.a., the “Hatch-Waxman Act”). The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new drug application (“NDA”), plus the time between the submission date of an NDA and the approval of that application. Only one patent applicable to an approved drug is eligible for the extension, and the application for extension must be made prior to patent expiration. The U.S. Patent and Trademark Office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term of a patent can also be extended by Patent Term Adjustment (“PTA”) established in 35 USC 154(b). The intention of the PTA is to accommodate for delays caused by the USPTO during the prosecution of a US utility or plant patent application. Under PTA, the USPTO delay is divided into three types: type A (delays after 14 months from the filing date of the application until the USPTO issues a first Office Action and delays after four months from the filing of certain actions by the applicant until the USPTO responds to such actions); type B (delays after three years from the earliest effective filing date until a patent is granted); and type C (delays due to interferences, secrecy orders, and successful appeals). The total amount of PTA is calculated by adding the types A, B, and C delays, and then subtracting any delay that is overlapped among three types or that is attributable to the applicant.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term of a patent can also be shortened by a terminal disclaimer. A terminal disclaimer is a statement filed by a patent owner in which the owner disclaims or dedicates to the public the terminal part of the term of a patent. Often, the terminal disclaimer is filed in cases where at least one claim of a pending application would have been obvious in light of at least one claim in an earlier-filed patent, AKA non-statutory obviousness-type double patenting rejection.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patent positions of companies such as ours are generally uncertain and involve complex legal and factual questions. No consistent policy regarding the scope of claims allowable in patents in the field of method of use patents or reformulation patents has emerged in the U.S. Patent laws and their interpretation outside of the U.S. are also uncertain. Changes in either the patent laws or their interpretation in the U.S. and other countries may diminish our ability to protect our technology or product candidates and enforce the patent rights that we license, and also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 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the manufacture of those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outside the scope of the rights granted under any issued patents that we own or exclusively in license. For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Basis of Presentation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Company’s condensed consolidated financial statements are prepared in accordance with U.S. Generally Accepted Accounting Principles.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spacing w:before="0" w:after="200"/>
        <w:ind w:left="36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Revenues, Net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Revenues relate to sales of IGALMI and reflect limited market access since commercial launch in July 2022. The revenues are net of rebates, chargebacks, discounts, and other adjustments. During the fourth quarter of 2022, we began contracting directly with intermediaries such as GPOs.</w:t>
      </w:r>
    </w:p>
    <w:p>
      <w:pPr>
        <w:pStyle w:val="TextBody"/>
        <w:spacing w:before="0" w:after="200"/>
        <w:ind w:left="36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Costs and Expenses</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Cost of Goods Sold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Cost of goods sold primarily relate to the costs of producing, packaging and delivering our product to customers.</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Research and Development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research and development expenses reflect costs associated with the identification of our preclinical and clinical product candidates. Expenditures primarily consist of salary, benefits and non-cash stock-based compensation for our research and development personnel, costs incurred under agreements with contract research organizations and sites that conduct our non-clinical studies and clinical trials, costs of outside consultants engaged in research and development activities, non-cash stock-based compensation and travel expenses, the cost of acquiring, developing and manufacturing preclinical and clinical trial materials and lab supplies, and depreciation and other expenses. Payments to BioXcel LLC are also included in research and development expenses. Costs associated with third parties that provide non-clinical services such as toxicology, pharmacology, research and discovery, biomarker studies and similar services are included in the professional fees category of research and development expenses.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expense research and development costs as incurred.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research and development costs by program for the three months ended March 31, 2023 and 2022 were as follows:</w:t>
      </w:r>
    </w:p>
    <w:tbl>
      <w:tblPr>
        <w:tblW w:w="5672" w:type="dxa"/>
        <w:jc w:val="left"/>
        <w:tblInd w:w="0" w:type="dxa"/>
        <w:tblCellMar>
          <w:top w:w="0" w:type="dxa"/>
          <w:left w:w="0" w:type="dxa"/>
          <w:bottom w:w="0" w:type="dxa"/>
          <w:right w:w="0" w:type="dxa"/>
        </w:tblCellMar>
      </w:tblPr>
      <w:tblGrid>
        <w:gridCol w:w="3526"/>
        <w:gridCol w:w="109"/>
        <w:gridCol w:w="211"/>
        <w:gridCol w:w="676"/>
        <w:gridCol w:w="109"/>
        <w:gridCol w:w="211"/>
        <w:gridCol w:w="676"/>
        <w:gridCol w:w="154"/>
      </w:tblGrid>
      <w:tr>
        <w:trPr/>
        <w:tc>
          <w:tcPr>
            <w:tcW w:w="3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239010" cy="175260"/>
                      <wp:effectExtent l="0" t="0" r="0" b="0"/>
                      <wp:wrapNone/>
                      <wp:docPr id="175" name="Frame173"/>
                      <a:graphic xmlns:a="http://schemas.openxmlformats.org/drawingml/2006/main">
                        <a:graphicData uri="http://schemas.microsoft.com/office/word/2010/wordprocessingShape">
                          <wps:wsp>
                            <wps:cNvSpPr txBox="1"/>
                            <wps:spPr>
                              <a:xfrm>
                                <a:off x="0" y="0"/>
                                <a:ext cx="2239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6" name="Frame17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29260" cy="175260"/>
                      <wp:effectExtent l="0" t="0" r="0" b="0"/>
                      <wp:wrapNone/>
                      <wp:docPr id="178" name="Frame17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7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29260" cy="175260"/>
                      <wp:effectExtent l="0" t="0" r="0" b="0"/>
                      <wp:wrapNone/>
                      <wp:docPr id="181" name="Frame17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97790" cy="175260"/>
                      <wp:effectExtent l="0" t="0" r="0" b="0"/>
                      <wp:wrapNone/>
                      <wp:docPr id="182" name="Frame180"/>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26" w:type="dxa"/>
            <w:tcBorders/>
            <w:shd w:fill="auto" w:val="clear"/>
            <w:vAlign w:val="center"/>
          </w:tcPr>
          <w:p>
            <w:pPr>
              <w:pStyle w:val="TableContents"/>
              <w:spacing w:before="0" w:after="0"/>
              <w:ind w:left="0" w:right="0" w:hanging="0"/>
              <w:rPr>
                <w:color w:val="0563C1"/>
              </w:rPr>
            </w:pPr>
            <w:r>
              <w:rPr>
                <w:color w:val="0563C1"/>
              </w:rPr>
              <w:t>​</w:t>
            </w:r>
          </w:p>
        </w:tc>
        <w:tc>
          <w:tcPr>
            <w:tcW w:w="109" w:type="dxa"/>
            <w:tcBorders/>
            <w:shd w:fill="auto" w:val="clear"/>
            <w:vAlign w:val="center"/>
          </w:tcPr>
          <w:p>
            <w:pPr>
              <w:pStyle w:val="TableContents"/>
              <w:spacing w:before="0" w:after="0"/>
              <w:ind w:left="0" w:right="0" w:hanging="0"/>
              <w:rPr>
                <w:color w:val="0563C1"/>
              </w:rPr>
            </w:pPr>
            <w:r>
              <w:rPr>
                <w:color w:val="0563C1"/>
              </w:rPr>
              <w:t>​</w:t>
            </w:r>
          </w:p>
        </w:tc>
        <w:tc>
          <w:tcPr>
            <w:tcW w:w="1883"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shd w:fill="auto" w:val="clear"/>
            <w:vAlign w:val="center"/>
          </w:tcPr>
          <w:p>
            <w:pPr>
              <w:pStyle w:val="TableContents"/>
              <w:spacing w:before="0" w:after="0"/>
              <w:ind w:left="0" w:right="0" w:hanging="0"/>
              <w:rPr/>
            </w:pPr>
            <w:r>
              <w:rPr/>
              <w:t>​</w:t>
            </w:r>
          </w:p>
        </w:tc>
      </w:tr>
      <w:tr>
        <w:trPr/>
        <w:tc>
          <w:tcPr>
            <w:tcW w:w="35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88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4" w:type="dxa"/>
            <w:tcBorders/>
            <w:shd w:fill="auto" w:val="clear"/>
            <w:vAlign w:val="center"/>
          </w:tcPr>
          <w:p>
            <w:pPr>
              <w:pStyle w:val="TableContents"/>
              <w:spacing w:before="0" w:after="0"/>
              <w:ind w:left="0" w:right="0" w:hanging="0"/>
              <w:rPr/>
            </w:pPr>
            <w:r>
              <w:rPr/>
              <w:t>​</w:t>
            </w:r>
          </w:p>
        </w:tc>
      </w:tr>
      <w:tr>
        <w:trPr/>
        <w:tc>
          <w:tcPr>
            <w:tcW w:w="35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before="0" w:after="0"/>
              <w:ind w:left="0" w:right="0" w:hanging="0"/>
              <w:rPr/>
            </w:pPr>
            <w:r>
              <w:rPr/>
              <w:t>​</w:t>
            </w:r>
          </w:p>
        </w:tc>
      </w:tr>
      <w:tr>
        <w:trPr/>
        <w:tc>
          <w:tcPr>
            <w:tcW w:w="3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 external costs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BXCL501</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16,468</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8,516</w:t>
            </w:r>
          </w:p>
        </w:tc>
        <w:tc>
          <w:tcPr>
            <w:tcW w:w="154" w:type="dxa"/>
            <w:tcBorders/>
            <w:shd w:fill="CCEEFF" w:val="clear"/>
            <w:vAlign w:val="center"/>
          </w:tcPr>
          <w:p>
            <w:pPr>
              <w:pStyle w:val="TableContents"/>
              <w:spacing w:before="0" w:after="0"/>
              <w:ind w:left="0" w:right="0" w:hanging="0"/>
              <w:rPr/>
            </w:pPr>
            <w:r>
              <w:rPr/>
              <w:t>​</w:t>
            </w:r>
          </w:p>
        </w:tc>
      </w:tr>
      <w:tr>
        <w:trPr/>
        <w:tc>
          <w:tcPr>
            <w:tcW w:w="3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BXCL701</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2,667</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2,915</w:t>
            </w:r>
          </w:p>
        </w:tc>
        <w:tc>
          <w:tcPr>
            <w:tcW w:w="154" w:type="dxa"/>
            <w:tcBorders/>
            <w:shd w:fill="auto" w:val="clear"/>
            <w:vAlign w:val="center"/>
          </w:tcPr>
          <w:p>
            <w:pPr>
              <w:pStyle w:val="TableContents"/>
              <w:spacing w:before="0" w:after="0"/>
              <w:ind w:left="0" w:right="0" w:hanging="0"/>
              <w:rPr/>
            </w:pPr>
            <w:r>
              <w:rPr/>
              <w:t>​</w:t>
            </w:r>
          </w:p>
        </w:tc>
      </w:tr>
      <w:tr>
        <w:trPr/>
        <w:tc>
          <w:tcPr>
            <w:tcW w:w="3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research and development programs</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891</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154" w:type="dxa"/>
            <w:tcBorders/>
            <w:shd w:fill="CCEEFF" w:val="clear"/>
            <w:vAlign w:val="center"/>
          </w:tcPr>
          <w:p>
            <w:pPr>
              <w:pStyle w:val="TableContents"/>
              <w:spacing w:before="0" w:after="0"/>
              <w:ind w:left="0" w:right="0" w:hanging="0"/>
              <w:rPr/>
            </w:pPr>
            <w:r>
              <w:rPr/>
              <w:t>​</w:t>
            </w:r>
          </w:p>
        </w:tc>
      </w:tr>
      <w:tr>
        <w:trPr/>
        <w:tc>
          <w:tcPr>
            <w:tcW w:w="3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direct external costs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20,026</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11,983</w:t>
            </w:r>
          </w:p>
        </w:tc>
        <w:tc>
          <w:tcPr>
            <w:tcW w:w="154" w:type="dxa"/>
            <w:tcBorders/>
            <w:shd w:fill="auto" w:val="clear"/>
            <w:vAlign w:val="center"/>
          </w:tcPr>
          <w:p>
            <w:pPr>
              <w:pStyle w:val="TableContents"/>
              <w:spacing w:before="0" w:after="0"/>
              <w:ind w:left="0" w:right="0" w:hanging="0"/>
              <w:rPr/>
            </w:pPr>
            <w:r>
              <w:rPr/>
              <w:t>​</w:t>
            </w:r>
          </w:p>
        </w:tc>
      </w:tr>
      <w:tr>
        <w:trPr/>
        <w:tc>
          <w:tcPr>
            <w:tcW w:w="3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Internal personnel costs</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6,754</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5,852</w:t>
            </w:r>
          </w:p>
        </w:tc>
        <w:tc>
          <w:tcPr>
            <w:tcW w:w="154" w:type="dxa"/>
            <w:tcBorders/>
            <w:shd w:fill="CCEEFF" w:val="clear"/>
            <w:vAlign w:val="center"/>
          </w:tcPr>
          <w:p>
            <w:pPr>
              <w:pStyle w:val="TableContents"/>
              <w:spacing w:before="0" w:after="0"/>
              <w:ind w:left="0" w:right="0" w:hanging="0"/>
              <w:rPr/>
            </w:pPr>
            <w:r>
              <w:rPr/>
              <w:t>​</w:t>
            </w:r>
          </w:p>
        </w:tc>
      </w:tr>
      <w:tr>
        <w:trPr/>
        <w:tc>
          <w:tcPr>
            <w:tcW w:w="3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Sub-total direct costs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26,780</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17,835</w:t>
            </w:r>
          </w:p>
        </w:tc>
        <w:tc>
          <w:tcPr>
            <w:tcW w:w="154" w:type="dxa"/>
            <w:tcBorders/>
            <w:shd w:fill="auto" w:val="clear"/>
            <w:vAlign w:val="center"/>
          </w:tcPr>
          <w:p>
            <w:pPr>
              <w:pStyle w:val="TableContents"/>
              <w:spacing w:before="0" w:after="0"/>
              <w:ind w:left="0" w:right="0" w:hanging="0"/>
              <w:rPr/>
            </w:pPr>
            <w:r>
              <w:rPr/>
              <w:t>​</w:t>
            </w:r>
          </w:p>
        </w:tc>
      </w:tr>
      <w:tr>
        <w:trPr/>
        <w:tc>
          <w:tcPr>
            <w:tcW w:w="3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Indirect costs and overhead</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1,020</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c>
          <w:tcPr>
            <w:tcW w:w="154" w:type="dxa"/>
            <w:tcBorders/>
            <w:shd w:fill="CCEEFF" w:val="clear"/>
            <w:vAlign w:val="center"/>
          </w:tcPr>
          <w:p>
            <w:pPr>
              <w:pStyle w:val="TableContents"/>
              <w:spacing w:before="0" w:after="0"/>
              <w:ind w:left="0" w:right="0" w:hanging="0"/>
              <w:rPr/>
            </w:pPr>
            <w:r>
              <w:rPr/>
              <w:t>​</w:t>
            </w:r>
          </w:p>
        </w:tc>
      </w:tr>
      <w:tr>
        <w:trPr/>
        <w:tc>
          <w:tcPr>
            <w:tcW w:w="3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research and development expenses</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27,800</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18,559</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Selling, General and Administrative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Selling, general and administrative expenses primarily consist of salaries, benefits and non-cash stock-based compensation for our sales, executive and administrative personnel. Selling, general and administrative expenses also include legal expenses to pursue patent protection of our intellectual property, professional fees for audit and tax services and insurance charges.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expect that our selling, general and administrative expenses will increase as we expand our clinical programs. We also expect increased selling, general and administrative costs resulting from our clinical trials, the continued commercialization of IGALMI and potential commercialization of our product candidates. We believe that these increases will likely include increased costs for liability insurance, hiring additional personnel to support future market research and current and future product commercialization efforts. In addition, we may also experience increased fees for outside consultants, attorneys, and accountants. We may also incur increased costs to comply with corporate governance, internal controls, investor relations and disclosures and similar requirements applicable to public companies.</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Other Expense (Income)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Other expense (income) primarily consists of interest costs associated with the financing agreements the Company put in place in April 2022, changes in fair value of derivative financial instruments, and interest income earned on cash and cash equivalents that were comprised primarily of money market funds. We expect that interest expense will increase in the future, as we meet additional milestones and draw down additional funds under the financing agreements.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 description of recently issued accounting pronouncements is set forth in Note 3 to the condensed consolidated financial statements included elsewhere in this Quarterly Report on Form 10-Q.</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spacing w:before="0" w:after="200"/>
        <w:ind w:left="36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Three Months Ended March 31, 2023 and 2022</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Product Revenues, Net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Product revenues, net in the three months ended March 31, 2023 were $206, comprised of sales of IGALMI, subsequent to commercial launch in July 2022. Sales to date reflect limited market access. There were no revenues in the first quarter of 2022.</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Cost of Goods Sold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Cost of goods sold for the three months ended March 31, 2023, were $9, which primarily related to the costs to produce, package and deliver IGALMI to customers. There were no cost of goods sold in the first quarter of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Research and Development Expense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Research and development expenses for the three months ended March 31, 2023 and 2022 were as follows:</w:t>
      </w:r>
    </w:p>
    <w:tbl>
      <w:tblPr>
        <w:tblW w:w="8431" w:type="dxa"/>
        <w:jc w:val="left"/>
        <w:tblInd w:w="0" w:type="dxa"/>
        <w:tblCellMar>
          <w:top w:w="0" w:type="dxa"/>
          <w:left w:w="0" w:type="dxa"/>
          <w:bottom w:w="0" w:type="dxa"/>
          <w:right w:w="0" w:type="dxa"/>
        </w:tblCellMar>
      </w:tblPr>
      <w:tblGrid>
        <w:gridCol w:w="3601"/>
        <w:gridCol w:w="326"/>
        <w:gridCol w:w="211"/>
        <w:gridCol w:w="676"/>
        <w:gridCol w:w="326"/>
        <w:gridCol w:w="211"/>
        <w:gridCol w:w="676"/>
        <w:gridCol w:w="326"/>
        <w:gridCol w:w="211"/>
        <w:gridCol w:w="571"/>
        <w:gridCol w:w="109"/>
        <w:gridCol w:w="179"/>
        <w:gridCol w:w="692"/>
        <w:gridCol w:w="316"/>
      </w:tblGrid>
      <w:tr>
        <w:trPr/>
        <w:tc>
          <w:tcPr>
            <w:tcW w:w="3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286635" cy="175260"/>
                      <wp:effectExtent l="0" t="0" r="0" b="0"/>
                      <wp:wrapNone/>
                      <wp:docPr id="183" name="Frame181"/>
                      <a:graphic xmlns:a="http://schemas.openxmlformats.org/drawingml/2006/main">
                        <a:graphicData uri="http://schemas.microsoft.com/office/word/2010/wordprocessingShape">
                          <wps:wsp>
                            <wps:cNvSpPr txBox="1"/>
                            <wps:spPr>
                              <a:xfrm>
                                <a:off x="0" y="0"/>
                                <a:ext cx="2286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29260" cy="175260"/>
                      <wp:effectExtent l="0" t="0" r="0" b="0"/>
                      <wp:wrapNone/>
                      <wp:docPr id="186" name="Frame18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29260" cy="175260"/>
                      <wp:effectExtent l="0" t="0" r="0" b="0"/>
                      <wp:wrapNone/>
                      <wp:docPr id="189" name="Frame18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8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62585" cy="175260"/>
                      <wp:effectExtent l="0" t="0" r="0" b="0"/>
                      <wp:wrapNone/>
                      <wp:docPr id="192" name="Frame19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93" name="Frame19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13665" cy="175260"/>
                      <wp:effectExtent l="0" t="0" r="0" b="0"/>
                      <wp:wrapNone/>
                      <wp:docPr id="194" name="Frame192"/>
                      <a:graphic xmlns:a="http://schemas.openxmlformats.org/drawingml/2006/main">
                        <a:graphicData uri="http://schemas.microsoft.com/office/word/2010/wordprocessingShape">
                          <wps:wsp>
                            <wps:cNvSpPr txBox="1"/>
                            <wps:spPr>
                              <a:xfrm>
                                <a:off x="0" y="0"/>
                                <a:ext cx="113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39420" cy="175260"/>
                      <wp:effectExtent l="0" t="0" r="0" b="0"/>
                      <wp:wrapNone/>
                      <wp:docPr id="195" name="Frame193"/>
                      <a:graphic xmlns:a="http://schemas.openxmlformats.org/drawingml/2006/main">
                        <a:graphicData uri="http://schemas.microsoft.com/office/word/2010/wordprocessingShape">
                          <wps:wsp>
                            <wps:cNvSpPr txBox="1"/>
                            <wps:spPr>
                              <a:xfrm>
                                <a:off x="0" y="0"/>
                                <a:ext cx="439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0660" cy="175260"/>
                      <wp:effectExtent l="0" t="0" r="0" b="0"/>
                      <wp:wrapNone/>
                      <wp:docPr id="196" name="Frame194"/>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6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79" w:type="dxa"/>
            <w:tcBorders/>
            <w:shd w:fill="auto" w:val="clear"/>
            <w:vAlign w:val="center"/>
          </w:tcPr>
          <w:p>
            <w:pPr>
              <w:pStyle w:val="TableContents"/>
              <w:spacing w:before="0" w:after="0"/>
              <w:ind w:left="0" w:right="0" w:hanging="0"/>
              <w:jc w:val="center"/>
              <w:rPr/>
            </w:pPr>
            <w:r>
              <w:rPr/>
              <w:t>​</w:t>
            </w:r>
          </w:p>
        </w:tc>
        <w:tc>
          <w:tcPr>
            <w:tcW w:w="692"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79" w:type="dxa"/>
            <w:tcBorders/>
            <w:shd w:fill="auto" w:val="clear"/>
            <w:vAlign w:val="center"/>
          </w:tcPr>
          <w:p>
            <w:pPr>
              <w:pStyle w:val="TableContents"/>
              <w:spacing w:before="0" w:after="0"/>
              <w:ind w:left="0" w:right="0" w:hanging="0"/>
              <w:jc w:val="center"/>
              <w:rPr/>
            </w:pPr>
            <w:r>
              <w:rPr/>
              <w:t>​</w:t>
            </w:r>
          </w:p>
        </w:tc>
        <w:tc>
          <w:tcPr>
            <w:tcW w:w="692"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shd w:fill="auto" w:val="clear"/>
            <w:vAlign w:val="center"/>
          </w:tcPr>
          <w:p>
            <w:pPr>
              <w:pStyle w:val="TableContents"/>
              <w:spacing w:before="0" w:after="0"/>
              <w:ind w:left="0" w:right="0" w:hanging="0"/>
              <w:jc w:val="center"/>
              <w:rPr/>
            </w:pPr>
            <w:r>
              <w:rPr/>
              <w:t>​</w:t>
            </w:r>
          </w:p>
        </w:tc>
        <w:tc>
          <w:tcPr>
            <w:tcW w:w="8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79" w:type="dxa"/>
            <w:tcBorders/>
            <w:shd w:fill="auto" w:val="clear"/>
            <w:vAlign w:val="center"/>
          </w:tcPr>
          <w:p>
            <w:pPr>
              <w:pStyle w:val="TableContents"/>
              <w:spacing w:before="0" w:after="0"/>
              <w:ind w:left="0" w:right="0" w:hanging="0"/>
              <w:jc w:val="center"/>
              <w:rPr/>
            </w:pPr>
            <w:r>
              <w:rPr/>
              <w:t>​</w:t>
            </w:r>
          </w:p>
        </w:tc>
        <w:tc>
          <w:tcPr>
            <w:tcW w:w="692"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36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Personnel and related costs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5,458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4,876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109" w:type="dxa"/>
            <w:tcBorders/>
            <w:shd w:fill="CCEEFF" w:val="clear"/>
            <w:vAlign w:val="center"/>
          </w:tcPr>
          <w:p>
            <w:pPr>
              <w:pStyle w:val="TableContents"/>
              <w:spacing w:before="0" w:after="0"/>
              <w:ind w:left="0" w:right="0" w:hanging="0"/>
              <w:rPr/>
            </w:pPr>
            <w:r>
              <w:rPr/>
              <w:t>​</w:t>
            </w:r>
          </w:p>
        </w:tc>
        <w:tc>
          <w:tcPr>
            <w:tcW w:w="179" w:type="dxa"/>
            <w:tcBorders/>
            <w:shd w:fill="CCEEFF" w:val="clear"/>
            <w:vAlign w:val="center"/>
          </w:tcPr>
          <w:p>
            <w:pPr>
              <w:pStyle w:val="TableContents"/>
              <w:spacing w:before="0" w:after="0"/>
              <w:ind w:left="0" w:right="0" w:hanging="0"/>
              <w:rPr/>
            </w:pPr>
            <w:r>
              <w:rPr/>
              <w:t>​</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6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109" w:type="dxa"/>
            <w:tcBorders/>
            <w:shd w:fill="auto" w:val="clear"/>
            <w:vAlign w:val="center"/>
          </w:tcPr>
          <w:p>
            <w:pPr>
              <w:pStyle w:val="TableContents"/>
              <w:spacing w:before="0" w:after="0"/>
              <w:ind w:left="0" w:right="0" w:hanging="0"/>
              <w:rPr/>
            </w:pPr>
            <w:r>
              <w:rPr/>
              <w:t>​</w:t>
            </w:r>
          </w:p>
        </w:tc>
        <w:tc>
          <w:tcPr>
            <w:tcW w:w="179" w:type="dxa"/>
            <w:tcBorders/>
            <w:shd w:fill="auto" w:val="clear"/>
            <w:vAlign w:val="center"/>
          </w:tcPr>
          <w:p>
            <w:pPr>
              <w:pStyle w:val="TableContents"/>
              <w:spacing w:before="0" w:after="0"/>
              <w:ind w:left="0" w:right="0" w:hanging="0"/>
              <w:rPr/>
            </w:pPr>
            <w:r>
              <w:rPr/>
              <w:t>​</w:t>
            </w:r>
          </w:p>
        </w:tc>
        <w:tc>
          <w:tcPr>
            <w:tcW w:w="6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Professional fees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3,634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109" w:type="dxa"/>
            <w:tcBorders/>
            <w:shd w:fill="CCEEFF" w:val="clear"/>
            <w:vAlign w:val="center"/>
          </w:tcPr>
          <w:p>
            <w:pPr>
              <w:pStyle w:val="TableContents"/>
              <w:spacing w:before="0" w:after="0"/>
              <w:ind w:left="0" w:right="0" w:hanging="0"/>
              <w:rPr/>
            </w:pPr>
            <w:r>
              <w:rPr/>
              <w:t>​</w:t>
            </w:r>
          </w:p>
        </w:tc>
        <w:tc>
          <w:tcPr>
            <w:tcW w:w="179" w:type="dxa"/>
            <w:tcBorders/>
            <w:shd w:fill="CCEEFF" w:val="clear"/>
            <w:vAlign w:val="center"/>
          </w:tcPr>
          <w:p>
            <w:pPr>
              <w:pStyle w:val="TableContents"/>
              <w:spacing w:before="0" w:after="0"/>
              <w:ind w:left="0" w:right="0" w:hanging="0"/>
              <w:rPr/>
            </w:pPr>
            <w:r>
              <w:rPr/>
              <w:t>​</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6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Clinical trials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13,019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6,704</w:t>
            </w:r>
          </w:p>
        </w:tc>
        <w:tc>
          <w:tcPr>
            <w:tcW w:w="109" w:type="dxa"/>
            <w:tcBorders/>
            <w:shd w:fill="auto" w:val="clear"/>
            <w:vAlign w:val="center"/>
          </w:tcPr>
          <w:p>
            <w:pPr>
              <w:pStyle w:val="TableContents"/>
              <w:spacing w:before="0" w:after="0"/>
              <w:ind w:left="0" w:right="0" w:hanging="0"/>
              <w:rPr/>
            </w:pPr>
            <w:r>
              <w:rPr/>
              <w:t>​</w:t>
            </w:r>
          </w:p>
        </w:tc>
        <w:tc>
          <w:tcPr>
            <w:tcW w:w="179" w:type="dxa"/>
            <w:tcBorders/>
            <w:shd w:fill="auto" w:val="clear"/>
            <w:vAlign w:val="center"/>
          </w:tcPr>
          <w:p>
            <w:pPr>
              <w:pStyle w:val="TableContents"/>
              <w:spacing w:before="0" w:after="0"/>
              <w:ind w:left="0" w:right="0" w:hanging="0"/>
              <w:rPr/>
            </w:pPr>
            <w:r>
              <w:rPr/>
              <w:t>​</w:t>
            </w:r>
          </w:p>
        </w:tc>
        <w:tc>
          <w:tcPr>
            <w:tcW w:w="6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Chemical, manufacturing and controls cost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3,471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1,531</w:t>
            </w:r>
          </w:p>
        </w:tc>
        <w:tc>
          <w:tcPr>
            <w:tcW w:w="109" w:type="dxa"/>
            <w:tcBorders/>
            <w:shd w:fill="CCEEFF" w:val="clear"/>
            <w:vAlign w:val="center"/>
          </w:tcPr>
          <w:p>
            <w:pPr>
              <w:pStyle w:val="TableContents"/>
              <w:spacing w:before="0" w:after="0"/>
              <w:ind w:left="0" w:right="0" w:hanging="0"/>
              <w:rPr/>
            </w:pPr>
            <w:r>
              <w:rPr/>
              <w:t>​</w:t>
            </w:r>
          </w:p>
        </w:tc>
        <w:tc>
          <w:tcPr>
            <w:tcW w:w="179" w:type="dxa"/>
            <w:tcBorders/>
            <w:shd w:fill="CCEEFF" w:val="clear"/>
            <w:vAlign w:val="center"/>
          </w:tcPr>
          <w:p>
            <w:pPr>
              <w:pStyle w:val="TableContents"/>
              <w:spacing w:before="0" w:after="0"/>
              <w:ind w:left="0" w:right="0" w:hanging="0"/>
              <w:rPr/>
            </w:pPr>
            <w:r>
              <w:rPr/>
              <w:t>​</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6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Travel and other costs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109" w:type="dxa"/>
            <w:tcBorders/>
            <w:shd w:fill="auto" w:val="clear"/>
            <w:vAlign w:val="center"/>
          </w:tcPr>
          <w:p>
            <w:pPr>
              <w:pStyle w:val="TableContents"/>
              <w:spacing w:before="0" w:after="0"/>
              <w:ind w:left="0" w:right="0" w:hanging="0"/>
              <w:rPr/>
            </w:pPr>
            <w:r>
              <w:rPr/>
              <w:t>​</w:t>
            </w:r>
          </w:p>
        </w:tc>
        <w:tc>
          <w:tcPr>
            <w:tcW w:w="179" w:type="dxa"/>
            <w:tcBorders/>
            <w:shd w:fill="auto" w:val="clear"/>
            <w:vAlign w:val="center"/>
          </w:tcPr>
          <w:p>
            <w:pPr>
              <w:pStyle w:val="TableContents"/>
              <w:spacing w:before="0" w:after="0"/>
              <w:ind w:left="0" w:right="0" w:hanging="0"/>
              <w:rPr/>
            </w:pPr>
            <w:r>
              <w:rPr/>
              <w:t>​</w:t>
            </w:r>
          </w:p>
        </w:tc>
        <w:tc>
          <w:tcPr>
            <w:tcW w:w="6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research and development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27,800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18,559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9,241</w:t>
            </w:r>
          </w:p>
        </w:tc>
        <w:tc>
          <w:tcPr>
            <w:tcW w:w="109" w:type="dxa"/>
            <w:tcBorders/>
            <w:shd w:fill="CCEEFF" w:val="clear"/>
            <w:vAlign w:val="center"/>
          </w:tcPr>
          <w:p>
            <w:pPr>
              <w:pStyle w:val="TableContents"/>
              <w:spacing w:before="0" w:after="0"/>
              <w:ind w:left="0" w:right="0" w:hanging="0"/>
              <w:rPr/>
            </w:pPr>
            <w:r>
              <w:rPr/>
              <w:t>​</w:t>
            </w:r>
          </w:p>
        </w:tc>
        <w:tc>
          <w:tcPr>
            <w:tcW w:w="179" w:type="dxa"/>
            <w:tcBorders/>
            <w:shd w:fill="CCEEFF" w:val="clear"/>
            <w:vAlign w:val="center"/>
          </w:tcPr>
          <w:p>
            <w:pPr>
              <w:pStyle w:val="TableContents"/>
              <w:spacing w:before="0" w:after="0"/>
              <w:ind w:left="0" w:right="0" w:hanging="0"/>
              <w:rPr/>
            </w:pPr>
            <w:r>
              <w:rPr/>
              <w:t>​</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overall increase of $9,241 for the three months ended March 31, 2023 relative to the same period in 2022 was primarily attributable to: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personnel costs related to our efforts to grow our clinical team as we expanded our clinical trials, particularly evaluating BXCL501 for treatment of agitation in patients with Alzheimer’s disease and at-home use for agitation associated with bipolar disorders and schizophrenia.</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stock-based compensation costs due to increased share grants and higher grant date fair values resulting from a higher price for the Company’s common stock.</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clinical trials expense due to the SERENITY III study for expansion of BXCL501 for at-home use for the acute treatment of agitation related to schizophrenia and bipolar disorders, as well as the on-going TRANQUILITY II study of BXCL501 for the potential treatment of agitation in patients with Alzheimer’s disease.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chemical, manufacturing, and controls (“CMC”) costs associated with producing materials for our clinical trials of BXCL501 for at-home use for the acute treatment of agitation related to schizophrenia and bipolar disorders and for the treatment of agitation associated with Alzheimer’s disease, and BXCL701 for the treatment of prostate and lung cancers.</w:t>
            </w:r>
          </w:p>
        </w:tc>
      </w:tr>
    </w:tbl>
    <w:tbl>
      <w:tblPr>
        <w:tblW w:w="5361" w:type="dxa"/>
        <w:jc w:val="left"/>
        <w:tblInd w:w="0" w:type="dxa"/>
        <w:tblCellMar>
          <w:top w:w="28" w:type="dxa"/>
          <w:left w:w="28" w:type="dxa"/>
          <w:bottom w:w="28" w:type="dxa"/>
          <w:right w:w="28" w:type="dxa"/>
        </w:tblCellMar>
      </w:tblPr>
      <w:tblGrid>
        <w:gridCol w:w="124"/>
        <w:gridCol w:w="256"/>
        <w:gridCol w:w="49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travel and other costs as we added personnel.</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Following IGALMI’s approval by the FDA, we capitalize costs related to commercial production of IGALMI as inventory and expense those CMC costs related to clinical trials.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Selling, general and administrative expenses for the three months ended March 31, 2023 and 2022 were as follows: </w:t>
      </w:r>
    </w:p>
    <w:tbl>
      <w:tblPr>
        <w:tblW w:w="9173" w:type="dxa"/>
        <w:jc w:val="left"/>
        <w:tblInd w:w="0" w:type="dxa"/>
        <w:tblCellMar>
          <w:top w:w="0" w:type="dxa"/>
          <w:left w:w="0" w:type="dxa"/>
          <w:bottom w:w="0" w:type="dxa"/>
          <w:right w:w="0" w:type="dxa"/>
        </w:tblCellMar>
      </w:tblPr>
      <w:tblGrid>
        <w:gridCol w:w="4186"/>
        <w:gridCol w:w="326"/>
        <w:gridCol w:w="211"/>
        <w:gridCol w:w="676"/>
        <w:gridCol w:w="326"/>
        <w:gridCol w:w="211"/>
        <w:gridCol w:w="676"/>
        <w:gridCol w:w="326"/>
        <w:gridCol w:w="211"/>
        <w:gridCol w:w="691"/>
        <w:gridCol w:w="146"/>
        <w:gridCol w:w="179"/>
        <w:gridCol w:w="692"/>
        <w:gridCol w:w="316"/>
      </w:tblGrid>
      <w:tr>
        <w:trPr/>
        <w:tc>
          <w:tcPr>
            <w:tcW w:w="4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658110" cy="175260"/>
                      <wp:effectExtent l="0" t="0" r="0" b="0"/>
                      <wp:wrapNone/>
                      <wp:docPr id="197" name="Frame195"/>
                      <a:graphic xmlns:a="http://schemas.openxmlformats.org/drawingml/2006/main">
                        <a:graphicData uri="http://schemas.microsoft.com/office/word/2010/wordprocessingShape">
                          <wps:wsp>
                            <wps:cNvSpPr txBox="1"/>
                            <wps:spPr>
                              <a:xfrm>
                                <a:off x="0" y="0"/>
                                <a:ext cx="2658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29260" cy="175260"/>
                      <wp:effectExtent l="0" t="0" r="0" b="0"/>
                      <wp:wrapNone/>
                      <wp:docPr id="200" name="Frame198"/>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1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29260" cy="175260"/>
                      <wp:effectExtent l="0" t="0" r="0" b="0"/>
                      <wp:wrapNone/>
                      <wp:docPr id="203" name="Frame20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38785" cy="175260"/>
                      <wp:effectExtent l="0" t="0" r="0" b="0"/>
                      <wp:wrapNone/>
                      <wp:docPr id="206" name="Frame20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92710" cy="175260"/>
                      <wp:effectExtent l="0" t="0" r="0" b="0"/>
                      <wp:wrapNone/>
                      <wp:docPr id="207" name="Frame205"/>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13665" cy="175260"/>
                      <wp:effectExtent l="0" t="0" r="0" b="0"/>
                      <wp:wrapNone/>
                      <wp:docPr id="208" name="Frame206"/>
                      <a:graphic xmlns:a="http://schemas.openxmlformats.org/drawingml/2006/main">
                        <a:graphicData uri="http://schemas.microsoft.com/office/word/2010/wordprocessingShape">
                          <wps:wsp>
                            <wps:cNvSpPr txBox="1"/>
                            <wps:spPr>
                              <a:xfrm>
                                <a:off x="0" y="0"/>
                                <a:ext cx="113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39420" cy="175260"/>
                      <wp:effectExtent l="0" t="0" r="0" b="0"/>
                      <wp:wrapNone/>
                      <wp:docPr id="209" name="Frame207"/>
                      <a:graphic xmlns:a="http://schemas.openxmlformats.org/drawingml/2006/main">
                        <a:graphicData uri="http://schemas.microsoft.com/office/word/2010/wordprocessingShape">
                          <wps:wsp>
                            <wps:cNvSpPr txBox="1"/>
                            <wps:spPr>
                              <a:xfrm>
                                <a:off x="0" y="0"/>
                                <a:ext cx="439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0660" cy="175260"/>
                      <wp:effectExtent l="0" t="0" r="0" b="0"/>
                      <wp:wrapNone/>
                      <wp:docPr id="210" name="Frame208"/>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179" w:type="dxa"/>
            <w:tcBorders/>
            <w:shd w:fill="auto" w:val="clear"/>
            <w:vAlign w:val="center"/>
          </w:tcPr>
          <w:p>
            <w:pPr>
              <w:pStyle w:val="TableContents"/>
              <w:spacing w:before="0" w:after="0"/>
              <w:ind w:left="0" w:right="0" w:hanging="0"/>
              <w:jc w:val="center"/>
              <w:rPr/>
            </w:pPr>
            <w:r>
              <w:rPr/>
              <w:t>​</w:t>
            </w:r>
          </w:p>
        </w:tc>
        <w:tc>
          <w:tcPr>
            <w:tcW w:w="692"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4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179" w:type="dxa"/>
            <w:tcBorders/>
            <w:shd w:fill="auto" w:val="clear"/>
            <w:vAlign w:val="center"/>
          </w:tcPr>
          <w:p>
            <w:pPr>
              <w:pStyle w:val="TableContents"/>
              <w:spacing w:before="0" w:after="0"/>
              <w:ind w:left="0" w:right="0" w:hanging="0"/>
              <w:jc w:val="center"/>
              <w:rPr/>
            </w:pPr>
            <w:r>
              <w:rPr/>
              <w:t>​</w:t>
            </w:r>
          </w:p>
        </w:tc>
        <w:tc>
          <w:tcPr>
            <w:tcW w:w="692"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4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shd w:fill="auto" w:val="clear"/>
            <w:vAlign w:val="center"/>
          </w:tcPr>
          <w:p>
            <w:pPr>
              <w:pStyle w:val="TableContents"/>
              <w:spacing w:before="0" w:after="0"/>
              <w:ind w:left="0" w:right="0" w:hanging="0"/>
              <w:jc w:val="center"/>
              <w:rPr/>
            </w:pPr>
            <w:r>
              <w:rPr/>
              <w:t>​</w:t>
            </w:r>
          </w:p>
        </w:tc>
      </w:tr>
      <w:tr>
        <w:trPr/>
        <w:tc>
          <w:tcPr>
            <w:tcW w:w="4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79" w:type="dxa"/>
            <w:tcBorders/>
            <w:shd w:fill="auto" w:val="clear"/>
            <w:vAlign w:val="center"/>
          </w:tcPr>
          <w:p>
            <w:pPr>
              <w:pStyle w:val="TableContents"/>
              <w:spacing w:before="0" w:after="0"/>
              <w:ind w:left="0" w:right="0" w:hanging="0"/>
              <w:jc w:val="center"/>
              <w:rPr/>
            </w:pPr>
            <w:r>
              <w:rPr/>
              <w:t>​</w:t>
            </w:r>
          </w:p>
        </w:tc>
        <w:tc>
          <w:tcPr>
            <w:tcW w:w="692"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Personnel and related costs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9,451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3,206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6,245</w:t>
            </w:r>
          </w:p>
        </w:tc>
        <w:tc>
          <w:tcPr>
            <w:tcW w:w="146" w:type="dxa"/>
            <w:tcBorders/>
            <w:shd w:fill="CCEEFF" w:val="clear"/>
            <w:vAlign w:val="center"/>
          </w:tcPr>
          <w:p>
            <w:pPr>
              <w:pStyle w:val="TableContents"/>
              <w:spacing w:before="0" w:after="0"/>
              <w:ind w:left="0" w:right="0" w:hanging="0"/>
              <w:rPr/>
            </w:pPr>
            <w:r>
              <w:rPr/>
              <w:t>​</w:t>
            </w:r>
          </w:p>
        </w:tc>
        <w:tc>
          <w:tcPr>
            <w:tcW w:w="179" w:type="dxa"/>
            <w:tcBorders/>
            <w:shd w:fill="CCEEFF" w:val="clear"/>
            <w:vAlign w:val="center"/>
          </w:tcPr>
          <w:p>
            <w:pPr>
              <w:pStyle w:val="TableContents"/>
              <w:spacing w:before="0" w:after="0"/>
              <w:ind w:left="0" w:right="0" w:hanging="0"/>
              <w:rPr/>
            </w:pPr>
            <w:r>
              <w:rPr/>
              <w:t>​</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3,580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2,850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c>
          <w:tcPr>
            <w:tcW w:w="146" w:type="dxa"/>
            <w:tcBorders/>
            <w:shd w:fill="auto" w:val="clear"/>
            <w:vAlign w:val="center"/>
          </w:tcPr>
          <w:p>
            <w:pPr>
              <w:pStyle w:val="TableContents"/>
              <w:spacing w:before="0" w:after="0"/>
              <w:ind w:left="0" w:right="0" w:hanging="0"/>
              <w:rPr/>
            </w:pPr>
            <w:r>
              <w:rPr/>
              <w:t>​</w:t>
            </w:r>
          </w:p>
        </w:tc>
        <w:tc>
          <w:tcPr>
            <w:tcW w:w="179" w:type="dxa"/>
            <w:tcBorders/>
            <w:shd w:fill="auto" w:val="clear"/>
            <w:vAlign w:val="center"/>
          </w:tcPr>
          <w:p>
            <w:pPr>
              <w:pStyle w:val="TableContents"/>
              <w:spacing w:before="0" w:after="0"/>
              <w:ind w:left="0" w:right="0" w:hanging="0"/>
              <w:rPr/>
            </w:pPr>
            <w:r>
              <w:rPr/>
              <w:t>​</w:t>
            </w:r>
          </w:p>
        </w:tc>
        <w:tc>
          <w:tcPr>
            <w:tcW w:w="6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Professional fees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4,131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c>
          <w:tcPr>
            <w:tcW w:w="146" w:type="dxa"/>
            <w:tcBorders/>
            <w:shd w:fill="CCEEFF" w:val="clear"/>
            <w:vAlign w:val="center"/>
          </w:tcPr>
          <w:p>
            <w:pPr>
              <w:pStyle w:val="TableContents"/>
              <w:spacing w:before="0" w:after="0"/>
              <w:ind w:left="0" w:right="0" w:hanging="0"/>
              <w:rPr/>
            </w:pPr>
            <w:r>
              <w:rPr/>
              <w:t>​</w:t>
            </w:r>
          </w:p>
        </w:tc>
        <w:tc>
          <w:tcPr>
            <w:tcW w:w="179" w:type="dxa"/>
            <w:tcBorders/>
            <w:shd w:fill="CCEEFF" w:val="clear"/>
            <w:vAlign w:val="center"/>
          </w:tcPr>
          <w:p>
            <w:pPr>
              <w:pStyle w:val="TableContents"/>
              <w:spacing w:before="0" w:after="0"/>
              <w:ind w:left="0" w:right="0" w:hanging="0"/>
              <w:rPr/>
            </w:pPr>
            <w:r>
              <w:rPr/>
              <w:t>​</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Commercial and marketing</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4,370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2,887</w:t>
            </w:r>
          </w:p>
        </w:tc>
        <w:tc>
          <w:tcPr>
            <w:tcW w:w="146" w:type="dxa"/>
            <w:tcBorders/>
            <w:shd w:fill="auto" w:val="clear"/>
            <w:vAlign w:val="center"/>
          </w:tcPr>
          <w:p>
            <w:pPr>
              <w:pStyle w:val="TableContents"/>
              <w:spacing w:before="0" w:after="0"/>
              <w:ind w:left="0" w:right="0" w:hanging="0"/>
              <w:rPr/>
            </w:pPr>
            <w:r>
              <w:rPr/>
              <w:t>​</w:t>
            </w:r>
          </w:p>
        </w:tc>
        <w:tc>
          <w:tcPr>
            <w:tcW w:w="179" w:type="dxa"/>
            <w:tcBorders/>
            <w:shd w:fill="auto" w:val="clear"/>
            <w:vAlign w:val="center"/>
          </w:tcPr>
          <w:p>
            <w:pPr>
              <w:pStyle w:val="TableContents"/>
              <w:spacing w:before="0" w:after="0"/>
              <w:ind w:left="0" w:right="0" w:hanging="0"/>
              <w:rPr/>
            </w:pPr>
            <w:r>
              <w:rPr/>
              <w:t>​</w:t>
            </w:r>
          </w:p>
        </w:tc>
        <w:tc>
          <w:tcPr>
            <w:tcW w:w="6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Insurance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46" w:type="dxa"/>
            <w:tcBorders/>
            <w:shd w:fill="CCEEFF" w:val="clear"/>
            <w:vAlign w:val="center"/>
          </w:tcPr>
          <w:p>
            <w:pPr>
              <w:pStyle w:val="TableContents"/>
              <w:spacing w:before="0" w:after="0"/>
              <w:ind w:left="0" w:right="0" w:hanging="0"/>
              <w:rPr/>
            </w:pPr>
            <w:r>
              <w:rPr/>
              <w:t>​</w:t>
            </w:r>
          </w:p>
        </w:tc>
        <w:tc>
          <w:tcPr>
            <w:tcW w:w="179" w:type="dxa"/>
            <w:tcBorders/>
            <w:shd w:fill="CCEEFF" w:val="clear"/>
            <w:vAlign w:val="center"/>
          </w:tcPr>
          <w:p>
            <w:pPr>
              <w:pStyle w:val="TableContents"/>
              <w:spacing w:before="0" w:after="0"/>
              <w:ind w:left="0" w:right="0" w:hanging="0"/>
              <w:rPr/>
            </w:pPr>
            <w:r>
              <w:rPr/>
              <w:t>​</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Travel and other costs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1,917</w:t>
            </w:r>
          </w:p>
        </w:tc>
        <w:tc>
          <w:tcPr>
            <w:tcW w:w="146" w:type="dxa"/>
            <w:tcBorders/>
            <w:shd w:fill="auto" w:val="clear"/>
            <w:vAlign w:val="center"/>
          </w:tcPr>
          <w:p>
            <w:pPr>
              <w:pStyle w:val="TableContents"/>
              <w:spacing w:before="0" w:after="0"/>
              <w:ind w:left="0" w:right="0" w:hanging="0"/>
              <w:rPr/>
            </w:pPr>
            <w:r>
              <w:rPr/>
              <w:t>​</w:t>
            </w:r>
          </w:p>
        </w:tc>
        <w:tc>
          <w:tcPr>
            <w:tcW w:w="179" w:type="dxa"/>
            <w:tcBorders/>
            <w:shd w:fill="auto" w:val="clear"/>
            <w:vAlign w:val="center"/>
          </w:tcPr>
          <w:p>
            <w:pPr>
              <w:pStyle w:val="TableContents"/>
              <w:spacing w:before="0" w:after="0"/>
              <w:ind w:left="0" w:right="0" w:hanging="0"/>
              <w:rPr/>
            </w:pPr>
            <w:r>
              <w:rPr/>
              <w:t>​</w:t>
            </w:r>
          </w:p>
        </w:tc>
        <w:tc>
          <w:tcPr>
            <w:tcW w:w="6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selling, general and administrative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23,595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12,921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10,674</w:t>
            </w:r>
          </w:p>
        </w:tc>
        <w:tc>
          <w:tcPr>
            <w:tcW w:w="146" w:type="dxa"/>
            <w:tcBorders/>
            <w:shd w:fill="CCEEFF" w:val="clear"/>
            <w:vAlign w:val="center"/>
          </w:tcPr>
          <w:p>
            <w:pPr>
              <w:pStyle w:val="TableContents"/>
              <w:spacing w:before="0" w:after="0"/>
              <w:ind w:left="0" w:right="0" w:hanging="0"/>
              <w:rPr/>
            </w:pPr>
            <w:r>
              <w:rPr/>
              <w:t>​</w:t>
            </w:r>
          </w:p>
        </w:tc>
        <w:tc>
          <w:tcPr>
            <w:tcW w:w="179" w:type="dxa"/>
            <w:tcBorders/>
            <w:shd w:fill="CCEEFF" w:val="clear"/>
            <w:vAlign w:val="center"/>
          </w:tcPr>
          <w:p>
            <w:pPr>
              <w:pStyle w:val="TableContents"/>
              <w:spacing w:before="0" w:after="0"/>
              <w:ind w:left="0" w:right="0" w:hanging="0"/>
              <w:rPr/>
            </w:pPr>
            <w:r>
              <w:rPr/>
              <w:t>​</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overall increase of $10,674 for the three months ended March 31, 2023, relative to the same period in 2022 was primarily attributable to: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personnel and related costs due to our efforts to expand our functional teams, particularly in sales, to support commercialization of IGALMI in the U.S.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stock-based compensation costs due to increased share grants resulting from increased personnel and higher grant date fair values resulting from a higher price for the Company’s common stock.</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commercial and marketing expense associated with media, marketing and data and business analytics costs associated with commercialization of IGALMI.</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travel and other costs following the commercial launch of IGALMI. In addition, we experienced higher technology costs related to the addition of personnel and expansion of our operations.</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These increases were offset by lower professional fees, which decreased in the first quarter of 2023 relative to the same period in 2022 due to lower legal fees, recruiting and consulting costs as general and administrative support functions were expanding in 2022.</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Other Expense (Income)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Interest expense increased for the first quarter of 2023 relative to the same period in 2022 primarily due to borrowings under the OFA Facilities the Company put in place in April 2022. The expense was partially offset by interest income earned on cash and cash equivalents that were held primarily in short-term money market funds. Other expense, net is primarily associated with changes in the fair value of derivative financial instruments for the period, which relate to instruments associated with the OFA Facilities.</w:t>
      </w:r>
    </w:p>
    <w:p>
      <w:pPr>
        <w:pStyle w:val="TextBody"/>
        <w:spacing w:before="0" w:after="20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Inflation generally affects us by increasing our cost of labor and clinical trial costs. We do not believe that inflation has had a material effect on our results of operations during the periods presented. For a discussion of inflationary risks to our future revenues under the Inflation Reduction Act, see “</w:t>
      </w:r>
      <w:r>
        <w:rPr>
          <w:rFonts w:ascii="Times New Roman;Times;serif" w:hAnsi="Times New Roman;Times;serif"/>
          <w:i/>
          <w:sz w:val="20"/>
        </w:rPr>
        <w:t>Healthcare reform measures could hinder or prevent our product candidates’ commercial success.</w:t>
      </w:r>
      <w:r>
        <w:rPr>
          <w:rFonts w:ascii="Times New Roman;Times;serif" w:hAnsi="Times New Roman;Times;serif"/>
          <w:sz w:val="20"/>
        </w:rPr>
        <w:t>” in Part II, Item 1A, “Risk Factors” elsewhere in this Quarterly Report on Form 10-Q.</w:t>
      </w:r>
    </w:p>
    <w:p>
      <w:pPr>
        <w:pStyle w:val="TextBody"/>
        <w:spacing w:before="0" w:after="20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As of March 31, 2023, we had cash and cash equivalents of $165,521, working capital of $148,509 and stockholders’ equity of $53,005. Net cash used in operating activities was $52,353 and $32,413 for the three months ended March 31, 2023 and 2022, respectively. We incurred losses of $52,796 and $31,472 for the three months ended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March 31, 2023 and 2022, respectively. We have generated limited revenues to date, and we have not yet achieved profitability. We expect that our research and development and selling, general and administrative expenses will continue to increase and, as a result, we will need to generate significant product revenues to achieve profitability. We believe that our current cash and cash equivalents will enable us to fund our operating expenses and capital expenditure requirements for at least one year from the date of this Quarterly Report on Form 10-Q.</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We may obtain additional financing through sales of the Company’s equity securities, third-party investments in or other strategic options for OnkosXcel, entering into strategic partnership arrangements and/or short-term borrowings from banks, stockholders or other related parties, if needed, or a combination of any of the foregoing. There are no assurances that we will be successful in obtaining an adequate level of financing as and when needed to finance our operations on terms acceptable to us or at all, particularly when there is market uncertainty or an economic downturn. If we are unable to secure adequate additional funding as and when needed on acceptable or commercially reasonable terms, we may have to significantly delay, scale back or discontinue the development and commercialization of one or more product candidates. In addition, there are various macro-economic trends affecting the financing markets whose impact on our liquidity and future funding requirements are uncertain as of the filing date of this Quarterly Report on Form 10-Q. We will need substantial additional funding, and if we are unable to raise capital when needed, we could be forced to delay, reduce or eliminate our product development programs or commercialization efforts. See “Risk Factors – Risks Related to Financial Position and Need for Additional Capital - We will need substantial additional funding, and if we are unable to raise capital when needed, we could be forced to delay, reduce or eliminate our product development programs or commercialization efforts” in Part II. Item 1A. of this Quarterly Report on Form 10-Q. </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Sources of Liquidity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have focused our efforts on raising capital and building the products in our pipeline, and only recently on sales for our first FDA approved product IGALMI. Since our inception, our operations have been financed primarily from proceeds from the sale of equity securities, including our initial public offering, private placements of our common stock, registered offerings of our common stock, an Open Market Sale Agreement (the “Sale Agreement”) with Jefferies LLC (“Jefferies”), and borrowings under strategic financing arrangements (as described below). We have not yet established an ongoing source of revenue sufficient to cover our operating costs and will need to do so in future periods.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April 2022, we entered into two financing agreements;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a Revenue Interest Financing Agreement (the “RIFA”; and together with the Credit Agreement, the “OFA Facilities”) by and among the Company, the purchasers party thereto (the “Purchasers”) and OFA as administrative agent. Pursuant to the Credit Agreement, the Lenders agreed to loan us up to $135,000 in senior secured term loans. On April 28, 2022, we borrowed the first tranche of $70,000 of loans. The remaining two tranches of the commitments under the Credit Agreement may be borrowed at our option prior to December 31, 2024 as follows:</w:t>
      </w:r>
    </w:p>
    <w:tbl>
      <w:tblPr>
        <w:tblW w:w="9981" w:type="dxa"/>
        <w:jc w:val="left"/>
        <w:tblInd w:w="0" w:type="dxa"/>
        <w:tblCellMar>
          <w:top w:w="28" w:type="dxa"/>
          <w:left w:w="28" w:type="dxa"/>
          <w:bottom w:w="28" w:type="dxa"/>
          <w:right w:w="28" w:type="dxa"/>
        </w:tblCellMar>
      </w:tblPr>
      <w:tblGrid>
        <w:gridCol w:w="124"/>
        <w:gridCol w:w="256"/>
        <w:gridCol w:w="9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 upon satisfaction of certain conditions, including receipt of certain regulatory and financial milestones;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 upon satisfaction of certain conditions, including specified minimum net sales of the Company attributable to sales of BXCL501 for a trailing 12 consecutive month period.</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foregoing additional amounts were not eligible to be borrowed as of March 31, 2023.</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Pursuant to the RIFA, the Purchasers agreed to provide us with up to $120,000 in financing for our near-term commercial activities of IGALMI, development and commercialization of BXCL501 and other general corporate purposes. On July 8, 2022, we drew down the first tranche of $30,000 under the RIFA. The remaining commitments under the RIFA may be drawn at our option prior to December 31, 2024, as follows: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 payment upon satisfaction of certain conditions, including receipt of certain regulatory and patent related milestones and specified minimum net sales of BXCL501 during any consecutive 12-month period;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 payment upon satisfaction of certain conditions, including receipt of certain regulatory and patent related milestones and specified minimum net sales of BXCL501 during any consecutive 12-month period.</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foregoing additional amounts were not eligible to be borrowed as of March 31, 2023.</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connection with the Credit Agreement, we granted to the Lenders certain warrants to purchase up to 278 shares of our common stock, rights to purchase up to $5,000 of our common stock and warrants to purchase up to 175 individual ownership units (i.e., not in thousands) in OnkosXcel.</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See Note 8, </w:t>
      </w:r>
      <w:r>
        <w:rPr>
          <w:rFonts w:ascii="Times New Roman;Times;serif" w:hAnsi="Times New Roman;Times;serif"/>
          <w:i/>
          <w:sz w:val="20"/>
        </w:rPr>
        <w:t>Debt and Credit Facilities</w:t>
      </w:r>
      <w:r>
        <w:rPr>
          <w:rFonts w:ascii="Times New Roman;Times;serif" w:hAnsi="Times New Roman;Times;serif"/>
          <w:sz w:val="20"/>
        </w:rPr>
        <w:t xml:space="preserve"> in the Notes to Condensed Consolidated Financial Statements included in this Quarterly Report on Form 10-Q for additional information relating to the Credit Agreement and RIFA, including applicable interest rates, payment obligations and certain restrictive and financial covenants thereunder. As of March 31, 2023, we were in compliance with all restrictive and financial covenants under the Credit Agreement and the RIFA.</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May 2021, we entered into the Sale Agreement with Jefferies pursuant to which we can offer and sell shares of our common stock, having an aggregate offering price of up to $100,000, from time to time, through an “at the market offering” program under which Jefferies will act as sale agent. The Company sold 756 shares under the Sale Agreement with Jefferies in the first quarter of 2023 for net proceeds of $23,918, net of issuance costs of $739.</w:t>
      </w:r>
    </w:p>
    <w:p>
      <w:pPr>
        <w:pStyle w:val="TextBody"/>
        <w:spacing w:before="0" w:after="200"/>
        <w:ind w:left="36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tbl>
      <w:tblPr>
        <w:tblW w:w="5141" w:type="dxa"/>
        <w:jc w:val="left"/>
        <w:tblInd w:w="0" w:type="dxa"/>
        <w:tblCellMar>
          <w:top w:w="0" w:type="dxa"/>
          <w:left w:w="0" w:type="dxa"/>
          <w:bottom w:w="0" w:type="dxa"/>
          <w:right w:w="0" w:type="dxa"/>
        </w:tblCellMar>
      </w:tblPr>
      <w:tblGrid>
        <w:gridCol w:w="2371"/>
        <w:gridCol w:w="326"/>
        <w:gridCol w:w="216"/>
        <w:gridCol w:w="816"/>
        <w:gridCol w:w="334"/>
        <w:gridCol w:w="216"/>
        <w:gridCol w:w="862"/>
      </w:tblGrid>
      <w:tr>
        <w:trPr/>
        <w:tc>
          <w:tcPr>
            <w:tcW w:w="2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505585" cy="175260"/>
                      <wp:effectExtent l="0" t="0" r="0" b="0"/>
                      <wp:wrapNone/>
                      <wp:docPr id="211" name="Frame209"/>
                      <a:graphic xmlns:a="http://schemas.openxmlformats.org/drawingml/2006/main">
                        <a:graphicData uri="http://schemas.microsoft.com/office/word/2010/wordprocessingShape">
                          <wps:wsp>
                            <wps:cNvSpPr txBox="1"/>
                            <wps:spPr>
                              <a:xfrm>
                                <a:off x="0" y="0"/>
                                <a:ext cx="150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7160" cy="175260"/>
                      <wp:effectExtent l="0" t="0" r="0" b="0"/>
                      <wp:wrapNone/>
                      <wp:docPr id="213" name="Frame211"/>
                      <a:graphic xmlns:a="http://schemas.openxmlformats.org/drawingml/2006/main">
                        <a:graphicData uri="http://schemas.microsoft.com/office/word/2010/wordprocessingShape">
                          <wps:wsp>
                            <wps:cNvSpPr txBox="1"/>
                            <wps:spPr>
                              <a:xfrm>
                                <a:off x="0" y="0"/>
                                <a:ext cx="137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18160" cy="175260"/>
                      <wp:effectExtent l="0" t="0" r="0" b="0"/>
                      <wp:wrapNone/>
                      <wp:docPr id="214" name="Frame212"/>
                      <a:graphic xmlns:a="http://schemas.openxmlformats.org/drawingml/2006/main">
                        <a:graphicData uri="http://schemas.microsoft.com/office/word/2010/wordprocessingShape">
                          <wps:wsp>
                            <wps:cNvSpPr txBox="1"/>
                            <wps:spPr>
                              <a:xfrm>
                                <a:off x="0" y="0"/>
                                <a:ext cx="518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2090" cy="175260"/>
                      <wp:effectExtent l="0" t="0" r="0" b="0"/>
                      <wp:wrapNone/>
                      <wp:docPr id="215" name="Frame213"/>
                      <a:graphic xmlns:a="http://schemas.openxmlformats.org/drawingml/2006/main">
                        <a:graphicData uri="http://schemas.microsoft.com/office/word/2010/wordprocessingShape">
                          <wps:wsp>
                            <wps:cNvSpPr txBox="1"/>
                            <wps:spPr>
                              <a:xfrm>
                                <a:off x="0" y="0"/>
                                <a:ext cx="2120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7160" cy="175260"/>
                      <wp:effectExtent l="0" t="0" r="0" b="0"/>
                      <wp:wrapNone/>
                      <wp:docPr id="216" name="Frame214"/>
                      <a:graphic xmlns:a="http://schemas.openxmlformats.org/drawingml/2006/main">
                        <a:graphicData uri="http://schemas.microsoft.com/office/word/2010/wordprocessingShape">
                          <wps:wsp>
                            <wps:cNvSpPr txBox="1"/>
                            <wps:spPr>
                              <a:xfrm>
                                <a:off x="0" y="0"/>
                                <a:ext cx="137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47370" cy="175260"/>
                      <wp:effectExtent l="0" t="0" r="0" b="0"/>
                      <wp:wrapNone/>
                      <wp:docPr id="217" name="Frame215"/>
                      <a:graphic xmlns:a="http://schemas.openxmlformats.org/drawingml/2006/main">
                        <a:graphicData uri="http://schemas.microsoft.com/office/word/2010/wordprocessingShape">
                          <wps:wsp>
                            <wps:cNvSpPr txBox="1"/>
                            <wps:spPr>
                              <a:xfrm>
                                <a:off x="0" y="0"/>
                                <a:ext cx="5473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4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37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4" w:type="dxa"/>
            <w:tcBorders/>
            <w:shd w:fill="auto" w:val="clear"/>
            <w:vAlign w:val="center"/>
          </w:tcPr>
          <w:p>
            <w:pPr>
              <w:pStyle w:val="TableContents"/>
              <w:spacing w:before="0" w:after="0"/>
              <w:ind w:left="0" w:right="0" w:hanging="0"/>
              <w:rPr/>
            </w:pPr>
            <w:r>
              <w:rPr/>
              <w:t>    </w:t>
            </w:r>
          </w:p>
        </w:tc>
        <w:tc>
          <w:tcPr>
            <w:tcW w:w="107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3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(used in) provided by:</w:t>
            </w:r>
          </w:p>
        </w:tc>
        <w:tc>
          <w:tcPr>
            <w:tcW w:w="326" w:type="dxa"/>
            <w:tcBorders/>
            <w:shd w:fill="CCEEFF" w:val="clear"/>
            <w:vAlign w:val="center"/>
          </w:tcPr>
          <w:p>
            <w:pPr>
              <w:pStyle w:val="TableContents"/>
              <w:spacing w:before="0" w:after="0"/>
              <w:ind w:left="0" w:right="0" w:hanging="0"/>
              <w:rPr/>
            </w:pPr>
            <w:r>
              <w:rPr/>
              <w:t>​</w:t>
            </w:r>
          </w:p>
        </w:tc>
        <w:tc>
          <w:tcPr>
            <w:tcW w:w="216" w:type="dxa"/>
            <w:tcBorders/>
            <w:shd w:fill="CCEEFF" w:val="clear"/>
            <w:vAlign w:val="center"/>
          </w:tcPr>
          <w:p>
            <w:pPr>
              <w:pStyle w:val="TableContents"/>
              <w:spacing w:before="0" w:after="0"/>
              <w:ind w:left="0" w:right="0" w:hanging="0"/>
              <w:rPr/>
            </w:pPr>
            <w:r>
              <w:rPr/>
              <w:t>​</w:t>
            </w:r>
          </w:p>
        </w:tc>
        <w:tc>
          <w:tcPr>
            <w:tcW w:w="816" w:type="dxa"/>
            <w:tcBorders/>
            <w:shd w:fill="CCEEFF" w:val="clear"/>
            <w:vAlign w:val="center"/>
          </w:tcPr>
          <w:p>
            <w:pPr>
              <w:pStyle w:val="TableContents"/>
              <w:spacing w:before="0" w:after="0"/>
              <w:ind w:left="0" w:right="0" w:hanging="0"/>
              <w:jc w:val="right"/>
              <w:rPr/>
            </w:pPr>
            <w:r>
              <w:rPr/>
              <w:t>​</w:t>
            </w:r>
          </w:p>
        </w:tc>
        <w:tc>
          <w:tcPr>
            <w:tcW w:w="334" w:type="dxa"/>
            <w:tcBorders/>
            <w:shd w:fill="CCEEFF" w:val="clear"/>
            <w:vAlign w:val="center"/>
          </w:tcPr>
          <w:p>
            <w:pPr>
              <w:pStyle w:val="TableContents"/>
              <w:spacing w:before="0" w:after="0"/>
              <w:ind w:left="0" w:right="0" w:hanging="0"/>
              <w:rPr/>
            </w:pPr>
            <w:r>
              <w:rPr/>
              <w:t>​</w:t>
            </w:r>
          </w:p>
        </w:tc>
        <w:tc>
          <w:tcPr>
            <w:tcW w:w="216" w:type="dxa"/>
            <w:tcBorders/>
            <w:shd w:fill="CCEEFF" w:val="clear"/>
            <w:vAlign w:val="center"/>
          </w:tcPr>
          <w:p>
            <w:pPr>
              <w:pStyle w:val="TableContents"/>
              <w:spacing w:before="0" w:after="0"/>
              <w:ind w:left="0" w:right="0" w:hanging="0"/>
              <w:rPr/>
            </w:pPr>
            <w:r>
              <w:rPr/>
              <w:t>​</w:t>
            </w:r>
          </w:p>
        </w:tc>
        <w:tc>
          <w:tcPr>
            <w:tcW w:w="862" w:type="dxa"/>
            <w:tcBorders/>
            <w:shd w:fill="CCEEFF" w:val="clear"/>
            <w:vAlign w:val="center"/>
          </w:tcPr>
          <w:p>
            <w:pPr>
              <w:pStyle w:val="TableContents"/>
              <w:spacing w:before="0" w:after="0"/>
              <w:ind w:left="0" w:right="0" w:hanging="0"/>
              <w:jc w:val="right"/>
              <w:rPr/>
            </w:pPr>
            <w:r>
              <w:rPr/>
              <w:t>​</w:t>
            </w:r>
          </w:p>
        </w:tc>
      </w:tr>
      <w:tr>
        <w:trPr/>
        <w:tc>
          <w:tcPr>
            <w:tcW w:w="23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activities</w:t>
            </w:r>
          </w:p>
        </w:tc>
        <w:tc>
          <w:tcPr>
            <w:tcW w:w="326" w:type="dxa"/>
            <w:tcBorders/>
            <w:shd w:fill="auto" w:val="clear"/>
            <w:vAlign w:val="center"/>
          </w:tcPr>
          <w:p>
            <w:pPr>
              <w:pStyle w:val="TableContents"/>
              <w:spacing w:before="0" w:after="0"/>
              <w:ind w:left="0" w:right="0" w:hanging="0"/>
              <w:rPr/>
            </w:pPr>
            <w:r>
              <w:rPr/>
              <w:t>​</w:t>
            </w:r>
          </w:p>
        </w:tc>
        <w:tc>
          <w:tcPr>
            <w:tcW w:w="2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(52,353)</w:t>
            </w:r>
          </w:p>
        </w:tc>
        <w:tc>
          <w:tcPr>
            <w:tcW w:w="334" w:type="dxa"/>
            <w:tcBorders/>
            <w:shd w:fill="auto" w:val="clear"/>
            <w:vAlign w:val="center"/>
          </w:tcPr>
          <w:p>
            <w:pPr>
              <w:pStyle w:val="TableContents"/>
              <w:spacing w:before="0" w:after="0"/>
              <w:ind w:left="0" w:right="0" w:hanging="0"/>
              <w:rPr/>
            </w:pPr>
            <w:r>
              <w:rPr/>
              <w:t>​</w:t>
            </w:r>
          </w:p>
        </w:tc>
        <w:tc>
          <w:tcPr>
            <w:tcW w:w="2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(32,413)</w:t>
            </w:r>
          </w:p>
        </w:tc>
      </w:tr>
      <w:tr>
        <w:trPr/>
        <w:tc>
          <w:tcPr>
            <w:tcW w:w="23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spacing w:before="0" w:after="0"/>
              <w:ind w:left="0" w:right="0" w:hanging="0"/>
              <w:rPr/>
            </w:pPr>
            <w:r>
              <w:rPr/>
              <w:t>​</w:t>
            </w:r>
          </w:p>
        </w:tc>
        <w:tc>
          <w:tcPr>
            <w:tcW w:w="2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spacing w:before="0" w:after="0"/>
              <w:ind w:left="0" w:right="0" w:hanging="0"/>
              <w:jc w:val="right"/>
              <w:rPr/>
            </w:pPr>
            <w:r>
              <w:rPr/>
              <w:t>—</w:t>
            </w:r>
          </w:p>
        </w:tc>
        <w:tc>
          <w:tcPr>
            <w:tcW w:w="334" w:type="dxa"/>
            <w:tcBorders/>
            <w:shd w:fill="CCEEFF" w:val="clear"/>
            <w:vAlign w:val="center"/>
          </w:tcPr>
          <w:p>
            <w:pPr>
              <w:pStyle w:val="TableContents"/>
              <w:spacing w:before="0" w:after="0"/>
              <w:ind w:left="0" w:right="0" w:hanging="0"/>
              <w:rPr/>
            </w:pPr>
            <w:r>
              <w:rPr/>
              <w:t>​</w:t>
            </w:r>
          </w:p>
        </w:tc>
        <w:tc>
          <w:tcPr>
            <w:tcW w:w="2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23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Financing activities</w:t>
            </w:r>
          </w:p>
        </w:tc>
        <w:tc>
          <w:tcPr>
            <w:tcW w:w="326" w:type="dxa"/>
            <w:tcBorders/>
            <w:shd w:fill="auto" w:val="clear"/>
            <w:vAlign w:val="center"/>
          </w:tcPr>
          <w:p>
            <w:pPr>
              <w:pStyle w:val="TableContents"/>
              <w:spacing w:before="0" w:after="0"/>
              <w:ind w:left="0" w:right="0" w:hanging="0"/>
              <w:rPr/>
            </w:pPr>
            <w:r>
              <w:rPr/>
              <w:t>​</w:t>
            </w:r>
          </w:p>
        </w:tc>
        <w:tc>
          <w:tcPr>
            <w:tcW w:w="2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24,149</w:t>
            </w:r>
          </w:p>
        </w:tc>
        <w:tc>
          <w:tcPr>
            <w:tcW w:w="334" w:type="dxa"/>
            <w:tcBorders/>
            <w:shd w:fill="auto" w:val="clear"/>
            <w:vAlign w:val="center"/>
          </w:tcPr>
          <w:p>
            <w:pPr>
              <w:pStyle w:val="TableContents"/>
              <w:spacing w:before="0" w:after="0"/>
              <w:ind w:left="0" w:right="0" w:hanging="0"/>
              <w:rPr/>
            </w:pPr>
            <w:r>
              <w:rPr/>
              <w:t>​</w:t>
            </w:r>
          </w:p>
        </w:tc>
        <w:tc>
          <w:tcPr>
            <w:tcW w:w="2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shd w:fill="auto" w:val="cle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Operating Activities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Net cash used in operating activities for the three months ended March 31, 2023 was $52,353 and was primarily attributable to our net loss of $52,796, which is due to our being in the early stages of commercial launch of IGALMI and operating expenses of $51,404, offset by $4,877 in non-cash stock-based compensation. We also paid down balances due to vendors during the period and prepaid certain neuroscience related clinical trial expenses.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Net cash used in operating activities for the three months ended March 31, 2022 was $32,413, which was primarily attributable to our net loss of $31,472, a $676 net decrease in accounts payable, accrued expenses and other liabilities, and a $3,480 increase in prepaid expenses, other current assets and other assets, partially offset by $3,825 in non-cash stock-based compensation and $77 of depreciation and amortization.</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Investing Activities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Net cash used in investing activities for the three months ended March 31, 2022 was $120 and was primarily attributable to the purchase of equipment. There were no investing activities in the first quarter of 2023.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Financing Activities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Net cash provided by financing activities for the three months ended March 31, 2023, was $24,149 and was primarily attributable to net proceeds received from the sale of common stock under the Sale Agreement with Jefferies of $23,918 and the exercise of stock options. There were no financing activities in the corresponding period of 2022.</w:t>
      </w:r>
    </w:p>
    <w:p>
      <w:pPr>
        <w:pStyle w:val="TextBody"/>
        <w:spacing w:before="0" w:after="200"/>
        <w:ind w:left="360" w:right="0" w:hanging="0"/>
        <w:rPr>
          <w:rFonts w:ascii="Times New Roman;Times;serif" w:hAnsi="Times New Roman;Times;serif"/>
          <w:b/>
          <w:sz w:val="20"/>
        </w:rPr>
      </w:pPr>
      <w:r>
        <w:rPr>
          <w:rFonts w:ascii="Times New Roman;Times;serif" w:hAnsi="Times New Roman;Times;serif"/>
          <w:b/>
          <w:sz w:val="20"/>
        </w:rPr>
        <w:t>Operating Capital and Capital Expenditure Requirements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expect to continue to incur significant and increasing operating losses at least for the next several years as we commercialize IGALMI and as we expand our clinical trials of and seek marketing approval for BXCL501, BXCL502, BXCL701 and BXCL702, while pursuing development of additional product candidates. We expect to continue to incur net losses in the near term. Our net losses may fluctuate significantly from quarter-to-quarter and year-to-year, depending on the timing of our planned clinical trials and our expenditures on other research and development activities.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tbl>
      <w:tblPr>
        <w:tblW w:w="5511" w:type="dxa"/>
        <w:jc w:val="left"/>
        <w:tblInd w:w="0" w:type="dxa"/>
        <w:tblCellMar>
          <w:top w:w="28" w:type="dxa"/>
          <w:left w:w="28" w:type="dxa"/>
          <w:bottom w:w="28" w:type="dxa"/>
          <w:right w:w="28" w:type="dxa"/>
        </w:tblCellMar>
      </w:tblPr>
      <w:tblGrid>
        <w:gridCol w:w="124"/>
        <w:gridCol w:w="256"/>
        <w:gridCol w:w="51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our clinical development of our product candidates;</w:t>
            </w:r>
          </w:p>
        </w:tc>
      </w:tr>
    </w:tbl>
    <w:tbl>
      <w:tblPr>
        <w:tblW w:w="6606" w:type="dxa"/>
        <w:jc w:val="left"/>
        <w:tblInd w:w="0" w:type="dxa"/>
        <w:tblCellMar>
          <w:top w:w="28" w:type="dxa"/>
          <w:left w:w="28" w:type="dxa"/>
          <w:bottom w:w="28" w:type="dxa"/>
          <w:right w:w="28" w:type="dxa"/>
        </w:tblCellMar>
      </w:tblPr>
      <w:tblGrid>
        <w:gridCol w:w="124"/>
        <w:gridCol w:w="256"/>
        <w:gridCol w:w="62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additional research and development with our product candidates;</w:t>
            </w:r>
          </w:p>
        </w:tc>
      </w:tr>
    </w:tbl>
    <w:tbl>
      <w:tblPr>
        <w:tblW w:w="7116" w:type="dxa"/>
        <w:jc w:val="left"/>
        <w:tblInd w:w="0" w:type="dxa"/>
        <w:tblCellMar>
          <w:top w:w="28" w:type="dxa"/>
          <w:left w:w="28" w:type="dxa"/>
          <w:bottom w:w="28" w:type="dxa"/>
          <w:right w:w="28" w:type="dxa"/>
        </w:tblCellMar>
      </w:tblPr>
      <w:tblGrid>
        <w:gridCol w:w="124"/>
        <w:gridCol w:w="256"/>
        <w:gridCol w:w="67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identify, acquire, license, develop and commercialize product candidates;</w:t>
            </w:r>
          </w:p>
        </w:tc>
      </w:tr>
    </w:tbl>
    <w:tbl>
      <w:tblPr>
        <w:tblW w:w="8646" w:type="dxa"/>
        <w:jc w:val="left"/>
        <w:tblInd w:w="0" w:type="dxa"/>
        <w:tblCellMar>
          <w:top w:w="28" w:type="dxa"/>
          <w:left w:w="28" w:type="dxa"/>
          <w:bottom w:w="28" w:type="dxa"/>
          <w:right w:w="28" w:type="dxa"/>
        </w:tblCellMar>
      </w:tblPr>
      <w:tblGrid>
        <w:gridCol w:w="124"/>
        <w:gridCol w:w="256"/>
        <w:gridCol w:w="82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 acquired technologies into a comprehensive regulatory and product development strategy;</w:t>
            </w:r>
          </w:p>
        </w:tc>
      </w:tr>
    </w:tbl>
    <w:tbl>
      <w:tblPr>
        <w:tblW w:w="5751" w:type="dxa"/>
        <w:jc w:val="left"/>
        <w:tblInd w:w="0" w:type="dxa"/>
        <w:tblCellMar>
          <w:top w:w="28" w:type="dxa"/>
          <w:left w:w="28" w:type="dxa"/>
          <w:bottom w:w="28" w:type="dxa"/>
          <w:right w:w="28" w:type="dxa"/>
        </w:tblCellMar>
      </w:tblPr>
      <w:tblGrid>
        <w:gridCol w:w="124"/>
        <w:gridCol w:w="256"/>
        <w:gridCol w:w="53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and protect our intellectual property portfolio;</w:t>
            </w:r>
          </w:p>
        </w:tc>
      </w:tr>
    </w:tbl>
    <w:tbl>
      <w:tblPr>
        <w:tblW w:w="6111" w:type="dxa"/>
        <w:jc w:val="left"/>
        <w:tblInd w:w="0" w:type="dxa"/>
        <w:tblCellMar>
          <w:top w:w="28" w:type="dxa"/>
          <w:left w:w="28" w:type="dxa"/>
          <w:bottom w:w="28" w:type="dxa"/>
          <w:right w:w="28" w:type="dxa"/>
        </w:tblCellMar>
      </w:tblPr>
      <w:tblGrid>
        <w:gridCol w:w="124"/>
        <w:gridCol w:w="256"/>
        <w:gridCol w:w="57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scientific, clinical, quality control and administrative personnel;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operational, financial and management information systems and personnel, including personnel to support our drug development and commercial efforts;</w:t>
            </w:r>
          </w:p>
        </w:tc>
      </w:tr>
    </w:tbl>
    <w:tbl>
      <w:tblPr>
        <w:tblW w:w="8181" w:type="dxa"/>
        <w:jc w:val="left"/>
        <w:tblInd w:w="0" w:type="dxa"/>
        <w:tblCellMar>
          <w:top w:w="28" w:type="dxa"/>
          <w:left w:w="28" w:type="dxa"/>
          <w:bottom w:w="28" w:type="dxa"/>
          <w:right w:w="28" w:type="dxa"/>
        </w:tblCellMar>
      </w:tblPr>
      <w:tblGrid>
        <w:gridCol w:w="124"/>
        <w:gridCol w:w="256"/>
        <w:gridCol w:w="78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8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regulatory approvals for any product candidates that successfully complete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develop a sales, marketing and distribution infrastructure and scale up external manufacturing capabilities to commercialize IGALMI and any product candidates for which we may obtain regulatory approval; and</w:t>
            </w:r>
          </w:p>
        </w:tc>
      </w:tr>
    </w:tbl>
    <w:tbl>
      <w:tblPr>
        <w:tblW w:w="3861" w:type="dxa"/>
        <w:jc w:val="left"/>
        <w:tblInd w:w="0" w:type="dxa"/>
        <w:tblCellMar>
          <w:top w:w="28" w:type="dxa"/>
          <w:left w:w="28" w:type="dxa"/>
          <w:bottom w:w="28" w:type="dxa"/>
          <w:right w:w="28" w:type="dxa"/>
        </w:tblCellMar>
      </w:tblPr>
      <w:tblGrid>
        <w:gridCol w:w="124"/>
        <w:gridCol w:w="256"/>
        <w:gridCol w:w="34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operate as a public company.</w:t>
            </w:r>
          </w:p>
        </w:tc>
      </w:tr>
    </w:tbl>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We believe that our existing cash and cash equivalents as of March 31, 2023, will be sufficient to enable us to fund operating expenses and capital expenditure requirements for at least the next 12 months from the date of the issuance of the condensed consolidated financial statements included in this Quarterly Report on Form 10-Q, including funding our ongoing research and development and commercialization efforts. We expect that we will need to obtain substantial additional funding to fund our ongoing operations.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which could adversely impact our ability to conduct our business. If we are unable to raise capital when needed or on attractive terms, we could be forced to significantly delay, scale back or discontinue the development or commercialization of our product candidates, seek collaborators at an earlier stage than otherwise would be desirable or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on terms that are less favorable than might otherwise be available, and relinquish or license, potentially on unfavorable terms, our rights to our product candidates that we otherwise would seek to develop or commercialize ourselves.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April 2022, the Company signed a commercial supply agreement that requires minimum annual payments for the first three years of the agreement that in aggregate total $10,000 for the three-year period and the minimum commitment for 2023 is $3,000.</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February 2022, we signed a distribution agreement with a third-party to distribute product related to BXCL501 in the U.S. The distributor will be paid defined fees for its services under the agreement, which can be terminated by either party for cause. The distribution agreement can also be terminated by us without cause, subject to payment of agreed upon termination fees.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BTI leases office space for its corporate headquarters at 555 Long Wharf Drive, New Haven, Connecticut (the “HQ Lease”). The HQ Lease expires in February 2026. The Company has an option to renew the HQ Lease for one additional five-year term. Payments under the HQ Lease are fixed. The Company has approximately $1,117 of payments remaining under the HQ Lease. For additional details, see Note 12, </w:t>
      </w:r>
      <w:r>
        <w:rPr>
          <w:rFonts w:ascii="Times New Roman;Times;serif" w:hAnsi="Times New Roman;Times;serif"/>
          <w:i/>
          <w:sz w:val="20"/>
        </w:rPr>
        <w:t>Leases</w:t>
      </w:r>
      <w:r>
        <w:rPr>
          <w:rFonts w:ascii="Times New Roman;Times;serif" w:hAnsi="Times New Roman;Times;serif"/>
          <w:sz w:val="20"/>
        </w:rPr>
        <w:t xml:space="preserve"> in the Notes to Condensed Consolidated Financial Statements included in this Quarterly Report on Form 10-Q for additional information relating to the Company’s leases.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In addition, we are obligated to make quarterly interest and royalty payments under our Credit Agreement and RIFA, respectively. For additional details, see Note 8, </w:t>
      </w:r>
      <w:r>
        <w:rPr>
          <w:rFonts w:ascii="Times New Roman;Times;serif" w:hAnsi="Times New Roman;Times;serif"/>
          <w:i/>
          <w:sz w:val="20"/>
        </w:rPr>
        <w:t>Debt and Credit Facilities</w:t>
      </w:r>
      <w:r>
        <w:rPr>
          <w:rFonts w:ascii="Times New Roman;Times;serif" w:hAnsi="Times New Roman;Times;serif"/>
          <w:sz w:val="20"/>
        </w:rPr>
        <w:t xml:space="preserve"> in the Notes to Condensed Consolidated Financial Statements included in this Quarterly Report on Form 10-Q for additional information relating to the Company’s debt payment obligations.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Our critical accounting policies and estimates are described in "Management's Discussion and Analysis of Financial Condition and Results of Operations-Critical Accounting Policies and Estimates" in our Annual Report on Form 10-K for the fiscal year ended December 31, 2022. We have reviewed and determined that those critical accounting policies and estimates remain our critical accounting policies and estimates as of and for the three months ended March 31, 2023. No material changes were made to our existing critical accounting policies and estimates during the period presented. Refer to Note 3, </w:t>
      </w:r>
      <w:r>
        <w:rPr>
          <w:rFonts w:ascii="Times New Roman;Times;serif" w:hAnsi="Times New Roman;Times;serif"/>
          <w:i/>
          <w:sz w:val="20"/>
        </w:rPr>
        <w:t>Summary of Significant Accounting Policies</w:t>
      </w:r>
      <w:r>
        <w:rPr>
          <w:rFonts w:ascii="Times New Roman;Times;serif" w:hAnsi="Times New Roman;Times;serif"/>
          <w:sz w:val="20"/>
        </w:rPr>
        <w:t xml:space="preserve"> in the Notes to Condensed Consolidated Financial Statements elsewhere in this Form 10-Q.</w:t>
      </w:r>
    </w:p>
    <w:p>
      <w:pPr>
        <w:pStyle w:val="TextBody"/>
        <w:spacing w:before="0" w:after="200"/>
        <w:ind w:left="0" w:right="0" w:hanging="0"/>
        <w:rPr>
          <w:rFonts w:ascii="Times New Roman;Times;serif" w:hAnsi="Times New Roman;Times;serif"/>
          <w:b/>
          <w:sz w:val="20"/>
        </w:rPr>
      </w:pPr>
      <w:bookmarkStart w:id="780" w:name="Item3QuantitativeandQualitativeDisclosur"/>
      <w:bookmarkStart w:id="781" w:name="_95532fac_20a0_4740_b42a_e6ffdd138df5"/>
      <w:bookmarkEnd w:id="780"/>
      <w:bookmarkEnd w:id="781"/>
      <w:r>
        <w:rPr>
          <w:rFonts w:ascii="Times New Roman;Times;serif" w:hAnsi="Times New Roman;Times;serif"/>
          <w:b/>
          <w:sz w:val="20"/>
        </w:rPr>
        <w:t>Item 3. Quantitative and Qualitative Disclosures about Market Risk</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Foreign Exchange Risk</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As of March 31, 2023, we had $165,521 of cash and cash equivalents. Our cash and cash equivalents are primarily held in U.S. Government money market funds and U.S. Treasury bills. We do not participate in any foreign currency hedging activities and have limited exposure to other derivative financial instruments, primarily resulting from the terms and conditions of the OFA Facilities. We did not recognize any significant exchange rate losses during the three months ended March 31, 2023 and 2022, respectively.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do not believe that our cash and cash equivalents have significant risk of default or illiquidity. While we believe our cash and cash equivalents do not contain material market risk, we cannot provide absolute assurance that in the future our investments will not be subject to adverse changes in market value. In addition, we maintain significant amounts of cash at one or more financial institutions that exceed federally insured limits. In the event of a failure of any of the financial institutions where we maintain our cash and cash equivalents, there can be no assurance that we will be able to access uninsured funds in a timely manner or at all.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Interest Rate Risk</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loans under the Credit Agreement bear interest at a fixed annual rate of 10.25%, payable quarterly, and the RIFA is repaid based on a multiple of invested capital. Consequently, we do not have material floating interest rate exposure due to our indebtedness.</w:t>
      </w:r>
    </w:p>
    <w:p>
      <w:pPr>
        <w:pStyle w:val="TextBody"/>
        <w:spacing w:before="0" w:after="200"/>
        <w:ind w:left="0" w:right="0" w:hanging="0"/>
        <w:rPr>
          <w:rFonts w:ascii="Times New Roman;Times;serif" w:hAnsi="Times New Roman;Times;serif"/>
          <w:b/>
          <w:sz w:val="20"/>
          <w:highlight w:val="white"/>
        </w:rPr>
      </w:pPr>
      <w:r>
        <w:rPr>
          <w:rFonts w:ascii="Times New Roman;Times;serif" w:hAnsi="Times New Roman;Times;serif"/>
          <w:b/>
          <w:sz w:val="20"/>
          <w:highlight w:val="white"/>
        </w:rPr>
        <w:t>Capital Market Risk</w:t>
      </w:r>
    </w:p>
    <w:p>
      <w:pPr>
        <w:pStyle w:val="TextBody"/>
        <w:spacing w:before="0" w:after="200"/>
        <w:ind w:left="0" w:right="0" w:firstLine="360"/>
        <w:rPr>
          <w:rFonts w:ascii="Times New Roman;Times;serif" w:hAnsi="Times New Roman;Times;serif"/>
          <w:sz w:val="20"/>
          <w:highlight w:val="white"/>
        </w:rPr>
      </w:pPr>
      <w:r>
        <w:rPr>
          <w:rFonts w:ascii="Times New Roman;Times;serif" w:hAnsi="Times New Roman;Times;serif"/>
          <w:sz w:val="20"/>
          <w:highlight w:val="white"/>
        </w:rPr>
        <w:t>We currently do not have substantial product revenues and depend on funds raised through other sources. One source of funding includes future debt or equity offerings. Our ability to raise funds in this manner depends upon, among other things, capital market forces affecting our stock price, and on the state of the capital markets generally.</w:t>
      </w:r>
    </w:p>
    <w:p>
      <w:pPr>
        <w:pStyle w:val="TextBody"/>
        <w:spacing w:before="0" w:after="200"/>
        <w:ind w:left="0" w:right="0" w:hanging="0"/>
        <w:rPr>
          <w:rFonts w:ascii="Times New Roman;Times;serif" w:hAnsi="Times New Roman;Times;serif"/>
          <w:b/>
          <w:sz w:val="20"/>
        </w:rPr>
      </w:pPr>
      <w:bookmarkStart w:id="782" w:name="Item4ControlsandProcedures_79336"/>
      <w:bookmarkStart w:id="783" w:name="_78766858_cafe_4916_ac82_6af80ec0cd72"/>
      <w:bookmarkEnd w:id="782"/>
      <w:bookmarkEnd w:id="783"/>
      <w:r>
        <w:rPr>
          <w:rFonts w:ascii="Times New Roman;Times;serif" w:hAnsi="Times New Roman;Times;serif"/>
          <w:b/>
          <w:sz w:val="20"/>
        </w:rPr>
        <w:t>Item 4. Controls and Procedures</w:t>
      </w:r>
    </w:p>
    <w:p>
      <w:pPr>
        <w:pStyle w:val="TextBody"/>
        <w:spacing w:before="0" w:after="20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(our principal executive officer and principal financial officer, respectively), evaluated the effectiveness of our disclosure controls and procedures as of March 31, 2023.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Based on the evaluation of our disclosure controls and procedures as of March 31, 2023, our Chief Executive Officer and Chief Financial Officer concluded that, as of such date, our disclosure controls and procedures were effective at the reasonable assurance level. </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three months ended March 31, 2023 that have materially affected, or are reasonably likely to materially affect, our internal control over financial reporting.</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bookmarkStart w:id="784" w:name="_a306ca81_47eb_4dc7_b511_18a375cb5e0e"/>
      <w:bookmarkEnd w:id="784"/>
      <w:r>
        <w:rPr>
          <w:rFonts w:ascii="Times New Roman;Times;serif" w:hAnsi="Times New Roman;Times;serif"/>
          <w:b/>
          <w:sz w:val="20"/>
        </w:rPr>
        <w:t>PART II. OTHER INFORMATION</w:t>
      </w:r>
    </w:p>
    <w:p>
      <w:pPr>
        <w:pStyle w:val="TextBody"/>
        <w:spacing w:before="0" w:after="200"/>
        <w:ind w:left="0" w:right="0" w:hanging="0"/>
        <w:rPr>
          <w:rFonts w:ascii="Times New Roman;Times;serif" w:hAnsi="Times New Roman;Times;serif"/>
          <w:sz w:val="20"/>
        </w:rPr>
      </w:pPr>
      <w:bookmarkStart w:id="785" w:name="Item1LegalProceedings_771938"/>
      <w:bookmarkEnd w:id="785"/>
      <w:r>
        <w:rPr>
          <w:rFonts w:ascii="Times New Roman;Times;serif" w:hAnsi="Times New Roman;Times;serif"/>
          <w:b/>
          <w:i w:val="false"/>
          <w:caps w:val="false"/>
          <w:smallCaps w:val="false"/>
          <w:sz w:val="20"/>
        </w:rPr>
        <w:t xml:space="preserve">Item 1. </w:t>
      </w:r>
      <w:r>
        <w:rPr>
          <w:rFonts w:ascii="Times New Roman;Times;serif" w:hAnsi="Times New Roman;Times;serif"/>
          <w:b/>
          <w:sz w:val="20"/>
        </w:rPr>
        <w:t>Legal Proceedings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 </w:t>
      </w:r>
    </w:p>
    <w:p>
      <w:pPr>
        <w:pStyle w:val="TextBody"/>
        <w:spacing w:before="0" w:after="200"/>
        <w:ind w:left="0" w:right="0" w:hanging="0"/>
        <w:rPr>
          <w:rFonts w:ascii="Times New Roman;Times;serif" w:hAnsi="Times New Roman;Times;serif"/>
          <w:b/>
          <w:sz w:val="20"/>
        </w:rPr>
      </w:pPr>
      <w:bookmarkStart w:id="786" w:name="Item1ARiskFactors_143189"/>
      <w:bookmarkEnd w:id="786"/>
      <w:r>
        <w:rPr>
          <w:rFonts w:ascii="Times New Roman;Times;serif" w:hAnsi="Times New Roman;Times;serif"/>
          <w:b/>
          <w:sz w:val="20"/>
        </w:rPr>
        <w:t>Item 1A. Risk Factors</w:t>
      </w:r>
    </w:p>
    <w:p>
      <w:pPr>
        <w:pStyle w:val="TextBody"/>
        <w:spacing w:before="0" w:after="200"/>
        <w:ind w:left="0" w:right="0" w:firstLine="360"/>
        <w:rPr>
          <w:rFonts w:ascii="Times New Roman;Times;serif" w:hAnsi="Times New Roman;Times;serif"/>
          <w:i/>
          <w:sz w:val="20"/>
        </w:rPr>
      </w:pPr>
      <w:r>
        <w:rPr>
          <w:rFonts w:ascii="Times New Roman;Times;serif" w:hAnsi="Times New Roman;Times;serif"/>
          <w:i/>
          <w:sz w:val="20"/>
        </w:rPr>
        <w:t>You should carefully consider the risks described below, as well as general economic and business risks and the other information in this Quarterly Report on Form 10-Q and our Annual Report on Form 10-K for the fiscal year ended December 31, 2022.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Risks Related to Financial Position and Need for Additional Capital</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have a limited operating history and have not generated substantial product revenues to date, which may make it difficult to evaluate the success of our business and to assess our future viability.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were incorporated in March 2017 and our operations to date have been largely focused on staffing our company, raising capital, advancing the development of our product candidates, including conducting clinical and preclinical studies and establishing our commercial organization. We have only one product approved for commercial sale, and have limited experience in obtaining marketing approvals, manufacturing products on a commercial scale, and conducting sales and marketing activities necessary for successful commercialization. Consequently, predictions about our future success or viability may not be as accurate as they could be if we had a longer operating history or a history of successfully commercializing products.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expect our financial condition and operating results to continue to fluctuate from quarter to quarter and year to year due to a variety of factors, many of which are beyond our control. We are transitioning from a company with primarily a research and development focus to a company also capable of undertaking commercial activities. We may encounter unforeseen expenses, difficulties, complications and delays, and may not be successful in such a transition.</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have incurred significant operating losses since inception and anticipate that we will continue to incur substantial operating losses for the foreseeable future and may never achieve or maintain profitability.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Since our inception, we have incurred significant operating losses. Our net loss was $52.8 million and $31.5 million for the three months ended March 31, 2023 and 2022, respectively. As of March 31, 2023, we had stockholders’ equity of approximately $53.0 million. We expect to continue to incur significant expenses and increasing operating losses for the foreseeable future. We have only one product candidate approved for marketing in the U.S., none in any other jurisdiction, and may never receive approval beyond the one product approved to date. It could be several years, if ever, before we have a commercialized product that generates significant revenues through sales of IGALMI or our product candidates, if approved.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tbl>
      <w:tblPr>
        <w:tblW w:w="4836" w:type="dxa"/>
        <w:jc w:val="left"/>
        <w:tblInd w:w="0" w:type="dxa"/>
        <w:tblCellMar>
          <w:top w:w="28" w:type="dxa"/>
          <w:left w:w="28" w:type="dxa"/>
          <w:bottom w:w="28" w:type="dxa"/>
          <w:right w:w="28" w:type="dxa"/>
        </w:tblCellMar>
      </w:tblPr>
      <w:tblGrid>
        <w:gridCol w:w="124"/>
        <w:gridCol w:w="256"/>
        <w:gridCol w:w="44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the development of our product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preclinical studies and clinical trials for our current product candidates and any future product candidates that we may pursue;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build our portfolio of product candidates through the acquisition or in-license of additional product candidates or technologies;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7476" w:type="dxa"/>
        <w:jc w:val="left"/>
        <w:tblInd w:w="0" w:type="dxa"/>
        <w:tblCellMar>
          <w:top w:w="28" w:type="dxa"/>
          <w:left w:w="28" w:type="dxa"/>
          <w:bottom w:w="28" w:type="dxa"/>
          <w:right w:w="28" w:type="dxa"/>
        </w:tblCellMar>
      </w:tblPr>
      <w:tblGrid>
        <w:gridCol w:w="124"/>
        <w:gridCol w:w="256"/>
        <w:gridCol w:w="70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develop, maintain, expand and protect our intellectual property portfolio;</w:t>
            </w:r>
          </w:p>
        </w:tc>
      </w:tr>
    </w:tbl>
    <w:tbl>
      <w:tblPr>
        <w:tblW w:w="9816" w:type="dxa"/>
        <w:jc w:val="left"/>
        <w:tblInd w:w="0" w:type="dxa"/>
        <w:tblCellMar>
          <w:top w:w="28" w:type="dxa"/>
          <w:left w:w="28" w:type="dxa"/>
          <w:bottom w:w="28" w:type="dxa"/>
          <w:right w:w="28" w:type="dxa"/>
        </w:tblCellMar>
      </w:tblPr>
      <w:tblGrid>
        <w:gridCol w:w="124"/>
        <w:gridCol w:w="256"/>
        <w:gridCol w:w="94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pursue regulatory approvals for our current and future product candidates that successfully complete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develop a sales, marketing, and distribution infrastructure to commercialize IGALMI and any other product candidates for which we may obtain marketing approval;</w:t>
            </w:r>
          </w:p>
        </w:tc>
      </w:tr>
    </w:tbl>
    <w:tbl>
      <w:tblPr>
        <w:tblW w:w="7431" w:type="dxa"/>
        <w:jc w:val="left"/>
        <w:tblInd w:w="0" w:type="dxa"/>
        <w:tblCellMar>
          <w:top w:w="28" w:type="dxa"/>
          <w:left w:w="28" w:type="dxa"/>
          <w:bottom w:w="28" w:type="dxa"/>
          <w:right w:w="28" w:type="dxa"/>
        </w:tblCellMar>
      </w:tblPr>
      <w:tblGrid>
        <w:gridCol w:w="124"/>
        <w:gridCol w:w="256"/>
        <w:gridCol w:w="70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additional clinical, commercial, regulatory, scientific and finance personnel; and</w:t>
            </w:r>
          </w:p>
        </w:tc>
      </w:tr>
    </w:tbl>
    <w:tbl>
      <w:tblPr>
        <w:tblW w:w="7671" w:type="dxa"/>
        <w:jc w:val="left"/>
        <w:tblInd w:w="0" w:type="dxa"/>
        <w:tblCellMar>
          <w:top w:w="28" w:type="dxa"/>
          <w:left w:w="28" w:type="dxa"/>
          <w:bottom w:w="28" w:type="dxa"/>
          <w:right w:w="28" w:type="dxa"/>
        </w:tblCellMar>
      </w:tblPr>
      <w:tblGrid>
        <w:gridCol w:w="124"/>
        <w:gridCol w:w="256"/>
        <w:gridCol w:w="72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legal, accounting and other expenses in operating as a public company.</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To become and remain profitable, we must develop and eventually commercialize one or more products or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IGALMI and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Although we have obtained FDA approval for IGALMI, because of the numerous risks and uncertainties associated with product development, we are unable to accurately predict the timing or amount of expenses or when, or if, we will obtain marketing approval to commercialize any additional product candidates. If we are required by the FDA, or other regulatory authorities such as the European Medicines Agency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Even if we do achieve profitability, we may not be able to sustain or increase profitability on a quarterly or annual basis.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will need substantial additional funding, and if we are unable to raise capital when needed, we could be forced to delay, reduce or eliminate our product development programs or commercialization efforts.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anticipate that our expenses will increase substantially if and as we continue to develop and conduct clinical trials with respect to our current and any future product candidates; seek to identify and develop additional product candidates; acquire or in-license other product candidates or technologies; seek regulatory approvals for our product candidates that successfully complete clinical trials, if any; establish sales, marketing, distribution and other commercial infrastructure to support the commercialization of products for which we may obtain marketing approval;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We expect that our cash and cash equivalents as of March 31, 2023, will be sufficient to fund our ongoing research and development efforts and commercialization efforts for at least 12 months from the date of the issuance of the condensed consolidated financial statements included in this Quarterly Report on Form 10-Q. We will be required to expend significant funds to commercialize IGALMI in the U.S. and advance the development of BXCL501, BXCL701, BXCL502 and our other product candidates. In addition, while we may seek one or more collaborators for future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development of our current product candidates or any future product candidates that we may develop for one or more indications, we may not be able to enter into a collaboration for any of our product candidates for such indications on suitable terms, on a timely basis or at all. In any event,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We may also seek third-party investments in or other strategic options for our subsidiary, OnkosXcel. Further financing may not be available to us on acceptable terms, or at all. In addition, we are reliant on the financial institutions with which we hold our cash and cash equivalents. If such institutions were to close, we may not be able to recover all of our cash or cash equivalents held at such institutions. Moreover, market volatility resulting from the COVID-19 pandemic, credit crises, adverse macroeconomic conditions, such as high interest or inflation rates, or other factors could also adversely impact our ability to access capital as and when needed. Our failure to raise capital as and when needed would have a negative impact on our financial condition and our ability to pursue our business strategy.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Company maintains its cash and cash equivalents in accounts with major U.S. and multi-national financial institutions, and our deposits at several of these institutions exceed insured limits. Market conditions can impact the viability of these institutions. In the event of failure of any of the financial institutions where we maintain our cash and cash equivalents, we could lose our deposits in excess of the federally insured or protected amounts and there can be no assurance that we will be able to access uninsured funds in a timely manner or at all.</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tbl>
      <w:tblPr>
        <w:tblW w:w="7641" w:type="dxa"/>
        <w:jc w:val="left"/>
        <w:tblInd w:w="0" w:type="dxa"/>
        <w:tblCellMar>
          <w:top w:w="28" w:type="dxa"/>
          <w:left w:w="28" w:type="dxa"/>
          <w:bottom w:w="28" w:type="dxa"/>
          <w:right w:w="28" w:type="dxa"/>
        </w:tblCellMar>
      </w:tblPr>
      <w:tblGrid>
        <w:gridCol w:w="124"/>
        <w:gridCol w:w="256"/>
        <w:gridCol w:w="72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timing, costs, and results of clinical trials of our product candidates;</w:t>
            </w:r>
          </w:p>
        </w:tc>
      </w:tr>
    </w:tbl>
    <w:tbl>
      <w:tblPr>
        <w:tblW w:w="9906" w:type="dxa"/>
        <w:jc w:val="left"/>
        <w:tblInd w:w="0" w:type="dxa"/>
        <w:tblCellMar>
          <w:top w:w="28" w:type="dxa"/>
          <w:left w:w="28" w:type="dxa"/>
          <w:bottom w:w="28" w:type="dxa"/>
          <w:right w:w="28" w:type="dxa"/>
        </w:tblCellMar>
      </w:tblPr>
      <w:tblGrid>
        <w:gridCol w:w="124"/>
        <w:gridCol w:w="256"/>
        <w:gridCol w:w="9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5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enter into and the terms and timing of any collaborations, licensing agreements or other arrangements;</w:t>
            </w:r>
          </w:p>
        </w:tc>
      </w:tr>
    </w:tbl>
    <w:tbl>
      <w:tblPr>
        <w:tblW w:w="5631" w:type="dxa"/>
        <w:jc w:val="left"/>
        <w:tblInd w:w="0" w:type="dxa"/>
        <w:tblCellMar>
          <w:top w:w="28" w:type="dxa"/>
          <w:left w:w="28" w:type="dxa"/>
          <w:bottom w:w="28" w:type="dxa"/>
          <w:right w:w="28" w:type="dxa"/>
        </w:tblCellMar>
      </w:tblPr>
      <w:tblGrid>
        <w:gridCol w:w="124"/>
        <w:gridCol w:w="256"/>
        <w:gridCol w:w="52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seeking regulatory approvals;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commercialization activities for IGALMI and for any of our product candidates that receive marketing approval, to the extent such costs are not the responsibility of any future collaborators, including the costs and timing of establishing product sales, marketing, distribution and manufacturing capabilities;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headcount growth and associated costs as we expand our research and development and establish a commercial infrastructure;</w:t>
            </w:r>
          </w:p>
        </w:tc>
      </w:tr>
    </w:tbl>
    <w:tbl>
      <w:tblPr>
        <w:tblW w:w="8496" w:type="dxa"/>
        <w:jc w:val="left"/>
        <w:tblInd w:w="0" w:type="dxa"/>
        <w:tblCellMar>
          <w:top w:w="28" w:type="dxa"/>
          <w:left w:w="28" w:type="dxa"/>
          <w:bottom w:w="28" w:type="dxa"/>
          <w:right w:w="28" w:type="dxa"/>
        </w:tblCellMar>
      </w:tblPr>
      <w:tblGrid>
        <w:gridCol w:w="124"/>
        <w:gridCol w:w="256"/>
        <w:gridCol w:w="81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received from commercial sales of IGALMI and our current and future product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protecting our intellectual property rights and defending against intellectual property related claims;</w:t>
            </w:r>
          </w:p>
        </w:tc>
      </w:tr>
    </w:tbl>
    <w:tbl>
      <w:tblPr>
        <w:tblW w:w="8016" w:type="dxa"/>
        <w:jc w:val="left"/>
        <w:tblInd w:w="0" w:type="dxa"/>
        <w:tblCellMar>
          <w:top w:w="28" w:type="dxa"/>
          <w:left w:w="28" w:type="dxa"/>
          <w:bottom w:w="28" w:type="dxa"/>
          <w:right w:w="28" w:type="dxa"/>
        </w:tblCellMar>
      </w:tblPr>
      <w:tblGrid>
        <w:gridCol w:w="124"/>
        <w:gridCol w:w="256"/>
        <w:gridCol w:w="76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future product candidates that we pursue and their development requirements;</w:t>
            </w:r>
          </w:p>
        </w:tc>
      </w:tr>
    </w:tbl>
    <w:tbl>
      <w:tblPr>
        <w:tblW w:w="6111" w:type="dxa"/>
        <w:jc w:val="left"/>
        <w:tblInd w:w="0" w:type="dxa"/>
        <w:tblCellMar>
          <w:top w:w="28" w:type="dxa"/>
          <w:left w:w="28" w:type="dxa"/>
          <w:bottom w:w="28" w:type="dxa"/>
          <w:right w:w="28" w:type="dxa"/>
        </w:tblCellMar>
      </w:tblPr>
      <w:tblGrid>
        <w:gridCol w:w="124"/>
        <w:gridCol w:w="256"/>
        <w:gridCol w:w="57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regulatory policies or laws that may affect our operations;</w:t>
            </w:r>
          </w:p>
        </w:tc>
      </w:tr>
    </w:tbl>
    <w:tbl>
      <w:tblPr>
        <w:tblW w:w="9051" w:type="dxa"/>
        <w:jc w:val="left"/>
        <w:tblInd w:w="0" w:type="dxa"/>
        <w:tblCellMar>
          <w:top w:w="28" w:type="dxa"/>
          <w:left w:w="28" w:type="dxa"/>
          <w:bottom w:w="28" w:type="dxa"/>
          <w:right w:w="28" w:type="dxa"/>
        </w:tblCellMar>
      </w:tblPr>
      <w:tblGrid>
        <w:gridCol w:w="124"/>
        <w:gridCol w:w="256"/>
        <w:gridCol w:w="86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physician acceptance or medical society recommendations that may affect commercial efforts;</w:t>
            </w:r>
          </w:p>
        </w:tc>
      </w:tr>
    </w:tbl>
    <w:tbl>
      <w:tblPr>
        <w:tblW w:w="6261" w:type="dxa"/>
        <w:jc w:val="left"/>
        <w:tblInd w:w="0" w:type="dxa"/>
        <w:tblCellMar>
          <w:top w:w="28" w:type="dxa"/>
          <w:left w:w="28" w:type="dxa"/>
          <w:bottom w:w="28" w:type="dxa"/>
          <w:right w:w="28" w:type="dxa"/>
        </w:tblCellMar>
      </w:tblPr>
      <w:tblGrid>
        <w:gridCol w:w="124"/>
        <w:gridCol w:w="256"/>
        <w:gridCol w:w="58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acquiring potential new product candidates or technology;</w:t>
            </w:r>
          </w:p>
        </w:tc>
      </w:tr>
    </w:tbl>
    <w:tbl>
      <w:tblPr>
        <w:tblW w:w="4386" w:type="dxa"/>
        <w:jc w:val="left"/>
        <w:tblInd w:w="0" w:type="dxa"/>
        <w:tblCellMar>
          <w:top w:w="28" w:type="dxa"/>
          <w:left w:w="28" w:type="dxa"/>
          <w:bottom w:w="28" w:type="dxa"/>
          <w:right w:w="28" w:type="dxa"/>
        </w:tblCellMar>
      </w:tblPr>
      <w:tblGrid>
        <w:gridCol w:w="124"/>
        <w:gridCol w:w="256"/>
        <w:gridCol w:w="40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 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7386" w:type="dxa"/>
        <w:jc w:val="left"/>
        <w:tblInd w:w="0" w:type="dxa"/>
        <w:tblCellMar>
          <w:top w:w="28" w:type="dxa"/>
          <w:left w:w="28" w:type="dxa"/>
          <w:bottom w:w="28" w:type="dxa"/>
          <w:right w:w="28" w:type="dxa"/>
        </w:tblCellMar>
      </w:tblPr>
      <w:tblGrid>
        <w:gridCol w:w="124"/>
        <w:gridCol w:w="256"/>
        <w:gridCol w:w="70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any adverse market conditions or other macroeconomic factors.</w:t>
            </w:r>
          </w:p>
        </w:tc>
      </w:tr>
    </w:tbl>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OFA Facilities.</w:t>
      </w:r>
    </w:p>
    <w:p>
      <w:pPr>
        <w:pStyle w:val="TextBody"/>
        <w:spacing w:before="0" w:after="200"/>
        <w:ind w:left="360" w:right="0" w:firstLine="360"/>
        <w:rPr>
          <w:rFonts w:ascii="Times New Roman;Times;serif" w:hAnsi="Times New Roman;Times;serif"/>
          <w:sz w:val="20"/>
        </w:rPr>
      </w:pPr>
      <w:r>
        <w:rPr>
          <w:rFonts w:ascii="Times New Roman;Times;serif" w:hAnsi="Times New Roman;Times;serif"/>
          <w:sz w:val="20"/>
        </w:rPr>
        <w:t xml:space="preserve">As of April 30, 2023, we had aggregate principal indebtedness of $101.2 million outstanding under two financing agreements: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a Revenue Interest Financing Agreement (the “RIFA”; and together with the Credit Agreement, the “OFA Facilities ”) by and among the Company, the purchasers party thereto (the “Purchasers”) and OFA as administrative agent. Approximately $71.2 million of the indebtedness relates to the Credit Agreement, pursuant to which the Lenders have agreed to loan us up to an additional $65.0 million in senior secured term loans, and $30.0 million relates to the RIFA, pursuant to which the Purchasers agreed to fund an additional $90.0 million upon satisfaction of certain conditions. The RIFA requires us to make tiered revenue interest payments on U.S. net sales of IGALMI and any other future BXCL501 products equal to a royalty ranging from 0.375% to 7.750% of net sales of IGALMI and any other future BXCL501 products in the U.S., as well as certain additional payments to the Purchasers from time to time, to ensure that the aggregate amount of payments received by the Purchasers under the RIFA are at least equal to certain agreed upon minimum levels as of certain specified dates, subject to terms and conditions set forth in the RIFA. </w:t>
      </w:r>
    </w:p>
    <w:p>
      <w:pPr>
        <w:pStyle w:val="TextBody"/>
        <w:spacing w:before="0" w:after="200"/>
        <w:ind w:left="360" w:right="0" w:firstLine="360"/>
        <w:rPr>
          <w:rFonts w:ascii="Times New Roman;Times;serif" w:hAnsi="Times New Roman;Times;serif"/>
          <w:sz w:val="20"/>
        </w:rPr>
      </w:pPr>
      <w:r>
        <w:rPr>
          <w:rFonts w:ascii="Times New Roman;Times;serif" w:hAnsi="Times New Roman;Times;serif"/>
          <w:sz w:val="20"/>
        </w:rPr>
        <w:t xml:space="preserve">Our ability to make scheduled payments or to refinance these and other outstanding debt obligations depends on our financial and operating performance, which will be affected by prevailing economic, industry and competitive conditions and by financial, business and other factors beyond our control. A failure to pay our debt, fixed costs and other obligations or a breach of our contractual obligations could result in a variety of adverse consequences, including the acceleration of our obligations or the exercise of remedies by our creditors and lessors. In such a situation, it is unlikely that we would be able to cure our breach, fulfill our obligations, make required payments or otherwise cover our fixed costs, which would have a material adverse effect on our business, results of operations and financial condition. </w:t>
      </w:r>
    </w:p>
    <w:p>
      <w:pPr>
        <w:pStyle w:val="TextBody"/>
        <w:spacing w:before="0" w:after="200"/>
        <w:ind w:left="360" w:right="0" w:firstLine="360"/>
        <w:rPr>
          <w:rFonts w:ascii="Times New Roman;Times;serif" w:hAnsi="Times New Roman;Times;serif"/>
          <w:sz w:val="20"/>
        </w:rPr>
      </w:pPr>
      <w:r>
        <w:rPr>
          <w:rFonts w:ascii="Times New Roman;Times;serif" w:hAnsi="Times New Roman;Times;serif"/>
          <w:sz w:val="20"/>
        </w:rPr>
        <w:t>In addition, historically we have relied on debt and equity financings as our primary sources of liquidity. If our future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pStyle w:val="TextBody"/>
        <w:spacing w:before="0" w:after="200"/>
        <w:ind w:left="360" w:right="0" w:firstLine="360"/>
        <w:rPr>
          <w:rFonts w:ascii="Times New Roman;Times;serif" w:hAnsi="Times New Roman;Times;serif"/>
          <w:sz w:val="20"/>
        </w:rPr>
      </w:pPr>
      <w:r>
        <w:rPr>
          <w:rFonts w:ascii="Times New Roman;Times;serif" w:hAnsi="Times New Roman;Times;serif"/>
          <w:sz w:val="20"/>
        </w:rPr>
        <w:t>In addition, incurring indebtedness generally requires that a portion of cash flow from operating activities be dedicated to interest and principal payments. Debt service requirements could reduce our ability to use our cash flow to fund operations and capital expenditures, to capitalize on future business opportunities, including additional acquisitions, or to pay dividends or increase dividends. In addition, our indebtedness may reduce our flexibility to operate our business, adjust to changing business conditions, restrict us from making strategic acquisitions or cause us to make non-strategic divestitures or obtain additional financing. Any of these risks could materially adversely affect our business, results of operations or financial condition.</w:t>
      </w:r>
    </w:p>
    <w:p>
      <w:pPr>
        <w:pStyle w:val="TextBody"/>
        <w:spacing w:before="0" w:after="0"/>
        <w:ind w:left="360" w:right="0" w:firstLine="360"/>
        <w:rPr>
          <w:rFonts w:ascii="Times New Roman;Times;serif" w:hAnsi="Times New Roman;Times;serif"/>
          <w:sz w:val="20"/>
        </w:rPr>
      </w:pPr>
      <w:r>
        <w:rPr>
          <w:rFonts w:ascii="Times New Roman;Times;serif" w:hAnsi="Times New Roman;Times;serif"/>
          <w:sz w:val="20"/>
        </w:rPr>
        <w:t xml:space="preserve">Restrictive covenants in the Credit Agreement and RIFA each place limits on our ability to conduct our business. 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We must also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comply with certain financial covenants under the Credit Agreement that require we maintain a minimum cash liquidity amount of $15 million (or higher upon certain events) and future minimum revenue thresholds beginning in with the fourth quarter of 2023. The RIFA contains customary representations and warranties and certain restrictions on our ability to incur indebtedness and grant liens on intellectual property related to BXCL501. In addition, the RIFA provides that if certain events occur, including certain bankruptcy events, failure to make payments, a change of control, an out-license or sale of all of the rights in and to BXCL501 in the U.S., in each case except a permitted licensing transaction (as defined in the RIFA) and, subject to applicable cure periods, material breach of the covenants in the RIFA, OFA, at the direction of the Purchasers, may require us to repurchase certain of the Purchasers’ interests.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Risks Related to the Discovery and Development of Product Candidates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have limited experience in drug discovery and drug development.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Prior to the acquisition of our product and product candidates, we were not involved in and had no control over their preclinical and clinical development. In addition, we are relying upon the parties we acquired our product candidates from to have conducted research and development in accordance with the applicable protocol, legal, regulatory and scientific standards, accurately reported the results of all clinical trials conducted prior to our acquisition of the applicable product candidate, and correctly collected and interpreted the data from these studies and trials. To the extent any of these activities did not occur, our expected development time and costs could increase, which could adversely affect our prospects for marketing approval of, and receiving any future revenue from, these product candidates.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In the near term, we are dependent on the success of IGALMI, and four of our product candidates, BXCL501, BXCL502, BXCL701 and BXCL702. If we are unable to complete the clinical development of or obtain marketing approval for our product candidates or successfully commercialize IGALMI and our other product candidates, either alone or with a collaborator, or if we experience significant delays in doing so, our business could be substantially harmed.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currently have only one product that has received regulatory approval and may never be able to develop additional marketable product candidates. We are continuing to invest a significant portion of our efforts and financial resources in the commercialization of IGALMI and development of BXCL501, BXCL502, BXCL701 and BXCL702, as well as our other product candidates. Our prospects are substantially dependent on our ability, or that of any future collaborator, to develop, obtain marketing approval for and successfully commercialize product candidates in one or more disease indications.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success of IGALMI, and of BXCL501, BXCL701, BXCL502 and our other product candidates will depend on several factors, including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an investigational new drug application (“IND”) by the FDA or acceptance of comparable applications by foreign regulatory authorities allowing us to conduct clinical trials of our product candidates in the U.S. or in foreign jurisdictions;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initiation, progress, timing, costs and results of clinical trials of our product candidates and potential product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demonstration of safety and efficacy of our product candidates to the satisfaction of the FDA, or any comparable foreign regulatory authority, and sufficient for marketing approval;</w:t>
            </w:r>
          </w:p>
        </w:tc>
      </w:tr>
    </w:tbl>
    <w:tbl>
      <w:tblPr>
        <w:tblW w:w="5946" w:type="dxa"/>
        <w:jc w:val="left"/>
        <w:tblInd w:w="0" w:type="dxa"/>
        <w:tblCellMar>
          <w:top w:w="28" w:type="dxa"/>
          <w:left w:w="28" w:type="dxa"/>
          <w:bottom w:w="28" w:type="dxa"/>
          <w:right w:w="28" w:type="dxa"/>
        </w:tblCellMar>
      </w:tblPr>
      <w:tblGrid>
        <w:gridCol w:w="124"/>
        <w:gridCol w:w="256"/>
        <w:gridCol w:w="55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performance of our current and future collaborators;</w:t>
            </w:r>
          </w:p>
        </w:tc>
      </w:tr>
    </w:tbl>
    <w:tbl>
      <w:tblPr>
        <w:tblW w:w="9786" w:type="dxa"/>
        <w:jc w:val="left"/>
        <w:tblInd w:w="0" w:type="dxa"/>
        <w:tblCellMar>
          <w:top w:w="28" w:type="dxa"/>
          <w:left w:w="28" w:type="dxa"/>
          <w:bottom w:w="28" w:type="dxa"/>
          <w:right w:w="28" w:type="dxa"/>
        </w:tblCellMar>
      </w:tblPr>
      <w:tblGrid>
        <w:gridCol w:w="124"/>
        <w:gridCol w:w="256"/>
        <w:gridCol w:w="94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any required post-marketing clinical trials or other commitments to applicable regulatory authorities;</w:t>
            </w:r>
          </w:p>
        </w:tc>
      </w:tr>
    </w:tbl>
    <w:tbl>
      <w:tblPr>
        <w:tblW w:w="8391" w:type="dxa"/>
        <w:jc w:val="left"/>
        <w:tblInd w:w="0" w:type="dxa"/>
        <w:tblCellMar>
          <w:top w:w="28" w:type="dxa"/>
          <w:left w:w="28" w:type="dxa"/>
          <w:bottom w:w="28" w:type="dxa"/>
          <w:right w:w="28" w:type="dxa"/>
        </w:tblCellMar>
      </w:tblPr>
      <w:tblGrid>
        <w:gridCol w:w="124"/>
        <w:gridCol w:w="256"/>
        <w:gridCol w:w="80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of supply arrangements with third-party raw materials suppliers and manufacturers;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of arrangements with third-party manufacturers to obtain finished drug product that is appropriately packaged for sale;</w:t>
            </w:r>
          </w:p>
        </w:tc>
      </w:tr>
    </w:tbl>
    <w:tbl>
      <w:tblPr>
        <w:tblW w:w="9966" w:type="dxa"/>
        <w:jc w:val="left"/>
        <w:tblInd w:w="0" w:type="dxa"/>
        <w:tblCellMar>
          <w:top w:w="28" w:type="dxa"/>
          <w:left w:w="28" w:type="dxa"/>
          <w:bottom w:w="28" w:type="dxa"/>
          <w:right w:w="28" w:type="dxa"/>
        </w:tblCellMar>
      </w:tblPr>
      <w:tblGrid>
        <w:gridCol w:w="124"/>
        <w:gridCol w:w="256"/>
        <w:gridCol w:w="95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5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adequate ongoing availability of raw materials and drug product for clinical development and any commercial sales;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trade secret protection and regulatory exclusivity, both in the U.S. and internationally;</w:t>
            </w:r>
          </w:p>
        </w:tc>
      </w:tr>
    </w:tbl>
    <w:tbl>
      <w:tblPr>
        <w:tblW w:w="5466" w:type="dxa"/>
        <w:jc w:val="left"/>
        <w:tblInd w:w="0" w:type="dxa"/>
        <w:tblCellMar>
          <w:top w:w="28" w:type="dxa"/>
          <w:left w:w="28" w:type="dxa"/>
          <w:bottom w:w="28" w:type="dxa"/>
          <w:right w:w="28" w:type="dxa"/>
        </w:tblCellMar>
      </w:tblPr>
      <w:tblGrid>
        <w:gridCol w:w="124"/>
        <w:gridCol w:w="256"/>
        <w:gridCol w:w="50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protection of our rights in our intellectual property portfolio;</w:t>
            </w:r>
          </w:p>
        </w:tc>
      </w:tr>
    </w:tbl>
    <w:tbl>
      <w:tblPr>
        <w:tblW w:w="6471" w:type="dxa"/>
        <w:jc w:val="left"/>
        <w:tblInd w:w="0" w:type="dxa"/>
        <w:tblCellMar>
          <w:top w:w="28" w:type="dxa"/>
          <w:left w:w="28" w:type="dxa"/>
          <w:bottom w:w="28" w:type="dxa"/>
          <w:right w:w="28" w:type="dxa"/>
        </w:tblCellMar>
      </w:tblPr>
      <w:tblGrid>
        <w:gridCol w:w="124"/>
        <w:gridCol w:w="256"/>
        <w:gridCol w:w="60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launch of commercial sales following any marketing approval;</w:t>
            </w:r>
          </w:p>
        </w:tc>
      </w:tr>
    </w:tbl>
    <w:tbl>
      <w:tblPr>
        <w:tblW w:w="6396" w:type="dxa"/>
        <w:jc w:val="left"/>
        <w:tblInd w:w="0" w:type="dxa"/>
        <w:tblCellMar>
          <w:top w:w="28" w:type="dxa"/>
          <w:left w:w="28" w:type="dxa"/>
          <w:bottom w:w="28" w:type="dxa"/>
          <w:right w:w="28" w:type="dxa"/>
        </w:tblCellMar>
      </w:tblPr>
      <w:tblGrid>
        <w:gridCol w:w="124"/>
        <w:gridCol w:w="256"/>
        <w:gridCol w:w="60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continued acceptable safety profile following any marketing approval;</w:t>
            </w:r>
          </w:p>
        </w:tc>
      </w:tr>
    </w:tbl>
    <w:tbl>
      <w:tblPr>
        <w:tblW w:w="7626" w:type="dxa"/>
        <w:jc w:val="left"/>
        <w:tblInd w:w="0" w:type="dxa"/>
        <w:tblCellMar>
          <w:top w:w="28" w:type="dxa"/>
          <w:left w:w="28" w:type="dxa"/>
          <w:bottom w:w="28" w:type="dxa"/>
          <w:right w:w="28" w:type="dxa"/>
        </w:tblCellMar>
      </w:tblPr>
      <w:tblGrid>
        <w:gridCol w:w="124"/>
        <w:gridCol w:w="256"/>
        <w:gridCol w:w="72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acceptance by patients, the medical community and third-party payors; and</w:t>
            </w:r>
          </w:p>
        </w:tc>
      </w:tr>
    </w:tbl>
    <w:tbl>
      <w:tblPr>
        <w:tblW w:w="4026" w:type="dxa"/>
        <w:jc w:val="left"/>
        <w:tblInd w:w="0" w:type="dxa"/>
        <w:tblCellMar>
          <w:top w:w="28" w:type="dxa"/>
          <w:left w:w="28" w:type="dxa"/>
          <w:bottom w:w="28" w:type="dxa"/>
          <w:right w:w="28" w:type="dxa"/>
        </w:tblCellMar>
      </w:tblPr>
      <w:tblGrid>
        <w:gridCol w:w="124"/>
        <w:gridCol w:w="256"/>
        <w:gridCol w:w="36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6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with other therapies.</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commercialize IGALMI or develop, receive marketing approval for and successfully commercialize BXCL501, BXCL701 and our other product candidates, on our own or with any future collaborator, or experience delays because of any of these factors or otherwise, our business could be substantially harmed.</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From time to time, we may publicly disclose top-line or preliminary data from our clinical trials, which is based on a preliminary analysis of then-available data. The results and related findings and conclusions based on such preliminary data are subject to change, and have in the past changed,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are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a product candidate’s clinical development and may vary among jurisdictions. We obtained regulatory approval for our first product candidate for the acute treatment of agitation associated with schizophrenia or bipolar I or II disorder, which has not yet been successfully commercialized. It is possible that none of our other product candidates, or any product candidates we may seek to develop in the future, will ever obtain regulatory approval.</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current product candidates, or any that may be developed in the future, could fail to receive regulatory approval for many reasons, including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the design or implementation of our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to the satisfaction of the FDA, or comparable foreign regulatory authorities, that a product candidate is safe and effective for its proposed indication;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clinical trials may not meet the level of statistical significance required by the FDA, or comparable foreign regulatory authorities, for approval;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our interpretation of data from preclinical studies or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collected from clinical trials of our product candidates may not be sufficient to support the submission of an NDA or other submission or to obtain regulatory approval in the U.S. or elsewhere;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that our changes to branded reference drugs meet the criteria for the 505(b)(2) regulatory pathway or comparable foreign regulatory pathways;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fail to approve the manufacturing processes or facilities of third-party manufacturers with which we contract for clinical and commercial supplies;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policies or regulations of the FDA, or comparable foreign regulatory authorities, may significantly change in a manner rendering our clinical data insufficient for approval.</w:t>
            </w:r>
          </w:p>
        </w:tc>
      </w:tr>
    </w:tbl>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We have limited experience in completing clinical trials of product candidates. Consequently, we may not have the necessary capabilities, including adequate staffing, to successfully manage the execution and completion of clinical trials we initiate in a way that leads to our obtaining marketing approval for our product candidates in a timely manner,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addition, even if we were to obtain approval, regulatory authorities may approve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have only submitted one NDA to the FDA and have not submitted any similar marketing applications to comparable foreign authorities, for any product candidate, and we cannot be certain that our product candidates currently in development, or any than may be developed in the future, will be successful in clinical trials or receive regulatory approval. Further, our product candidates currently in development, or any than may be developed in the future, may not receive regulatory approval even if they are successful in clinical trials. If we do not receive regulatory approvals for additional product candidates, we may not be able to continue our operations. For any regulatory approvals to market one or more of our product candidates, our revenues will be dependent, in part, upon the size of the markets in the territories for which we gain regulatory approval and have commercial rights. If the markets for patients that we are targeting for IGALMI or our other product candidates are not as significant as we estimate, we may not generate significant revenues from sales of IGALMI or such other product candidates, if approved.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plan to seek regulatory approval to commercialize our product candidates in the U.S., the European Union (“EU”)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could choose to submit a CTA under either the Clinical Trials Directive or the CTR until January 31, 2023 and, if authorized, those are governed by the Clinical Trials Directive until January 31, 2025. By that date, all ongoing trials will become subject to the provisions of the CTR.</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If we are slow or unable to adapt to changes in existing requirements or the adoption of new requirements or policies governing clinical trials, our development plans may be impacted.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Clinical trials are expensive, time-consuming, and difficult to design and implement, and involve an uncertain outcome.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and can take many years to complete, and its outcome is inherently uncertain. Failure can occur at any time during the clinical trial process. Although we are planning for certain clinical trials relating to BXCL501, BXCL701, BXCL502 and our other product candidates, there can be no assurance that the FDA, or other comparable foreign regulatory authorities, will accept our proposed trial designs. 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disagreeing as to the design or implementation of our clinical studies;</w:t>
            </w:r>
          </w:p>
        </w:tc>
      </w:tr>
    </w:tbl>
    <w:tbl>
      <w:tblPr>
        <w:tblW w:w="9696" w:type="dxa"/>
        <w:jc w:val="left"/>
        <w:tblInd w:w="0" w:type="dxa"/>
        <w:tblCellMar>
          <w:top w:w="28" w:type="dxa"/>
          <w:left w:w="28" w:type="dxa"/>
          <w:bottom w:w="28" w:type="dxa"/>
          <w:right w:w="28" w:type="dxa"/>
        </w:tblCellMar>
      </w:tblPr>
      <w:tblGrid>
        <w:gridCol w:w="124"/>
        <w:gridCol w:w="256"/>
        <w:gridCol w:w="93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regulatory authorizations to commence a trial or consensus with regulatory authorities on trial designs;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reaching agreement on acceptable terms with prospective contract research organizations (“CROs”) and clinical trial sites, the terms of which can be subject to extensive negotiation and may vary significantly among different CROs and trial sites;</w:t>
            </w:r>
          </w:p>
        </w:tc>
      </w:tr>
    </w:tbl>
    <w:tbl>
      <w:tblPr>
        <w:tblW w:w="7746" w:type="dxa"/>
        <w:jc w:val="left"/>
        <w:tblInd w:w="0" w:type="dxa"/>
        <w:tblCellMar>
          <w:top w:w="28" w:type="dxa"/>
          <w:left w:w="28" w:type="dxa"/>
          <w:bottom w:w="28" w:type="dxa"/>
          <w:right w:w="28" w:type="dxa"/>
        </w:tblCellMar>
      </w:tblPr>
      <w:tblGrid>
        <w:gridCol w:w="124"/>
        <w:gridCol w:w="256"/>
        <w:gridCol w:w="7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health care resources to combat epidemics, such as the COVID-19 pandemic;</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institutional review board approval at each site, or independent ethics committee approval at any sites outside the U.S.;</w:t>
            </w:r>
          </w:p>
        </w:tc>
      </w:tr>
    </w:tbl>
    <w:tbl>
      <w:tblPr>
        <w:tblW w:w="5796" w:type="dxa"/>
        <w:jc w:val="left"/>
        <w:tblInd w:w="0" w:type="dxa"/>
        <w:tblCellMar>
          <w:top w:w="28" w:type="dxa"/>
          <w:left w:w="28" w:type="dxa"/>
          <w:bottom w:w="28" w:type="dxa"/>
          <w:right w:w="28" w:type="dxa"/>
        </w:tblCellMar>
      </w:tblPr>
      <w:tblGrid>
        <w:gridCol w:w="124"/>
        <w:gridCol w:w="256"/>
        <w:gridCol w:w="54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the needs and timing of third-party collaborators;</w:t>
            </w:r>
          </w:p>
        </w:tc>
      </w:tr>
    </w:tbl>
    <w:tbl>
      <w:tblPr>
        <w:tblW w:w="3306" w:type="dxa"/>
        <w:jc w:val="left"/>
        <w:tblInd w:w="0" w:type="dxa"/>
        <w:tblCellMar>
          <w:top w:w="28" w:type="dxa"/>
          <w:left w:w="28" w:type="dxa"/>
          <w:bottom w:w="28" w:type="dxa"/>
          <w:right w:w="28" w:type="dxa"/>
        </w:tblCellMar>
      </w:tblPr>
      <w:tblGrid>
        <w:gridCol w:w="124"/>
        <w:gridCol w:w="256"/>
        <w:gridCol w:w="29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9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clinical trial protocols;</w:t>
            </w:r>
          </w:p>
        </w:tc>
      </w:tr>
    </w:tbl>
    <w:tbl>
      <w:tblPr>
        <w:tblW w:w="8271" w:type="dxa"/>
        <w:jc w:val="left"/>
        <w:tblInd w:w="0" w:type="dxa"/>
        <w:tblCellMar>
          <w:top w:w="28" w:type="dxa"/>
          <w:left w:w="28" w:type="dxa"/>
          <w:bottom w:w="28" w:type="dxa"/>
          <w:right w:w="28" w:type="dxa"/>
        </w:tblCellMar>
      </w:tblPr>
      <w:tblGrid>
        <w:gridCol w:w="124"/>
        <w:gridCol w:w="256"/>
        <w:gridCol w:w="78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8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recruiting suitable patients to participate in a trial in a timely manner and in sufficient numbers;</w:t>
            </w:r>
          </w:p>
        </w:tc>
      </w:tr>
    </w:tbl>
    <w:tbl>
      <w:tblPr>
        <w:tblW w:w="6006" w:type="dxa"/>
        <w:jc w:val="left"/>
        <w:tblInd w:w="0" w:type="dxa"/>
        <w:tblCellMar>
          <w:top w:w="28" w:type="dxa"/>
          <w:left w:w="28" w:type="dxa"/>
          <w:bottom w:w="28" w:type="dxa"/>
          <w:right w:w="28" w:type="dxa"/>
        </w:tblCellMar>
      </w:tblPr>
      <w:tblGrid>
        <w:gridCol w:w="124"/>
        <w:gridCol w:w="256"/>
        <w:gridCol w:w="56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sites deviating from trial protocol or dropping out of a trial;</w:t>
            </w:r>
          </w:p>
        </w:tc>
      </w:tr>
    </w:tbl>
    <w:tbl>
      <w:tblPr>
        <w:tblW w:w="6321" w:type="dxa"/>
        <w:jc w:val="left"/>
        <w:tblInd w:w="0" w:type="dxa"/>
        <w:tblCellMar>
          <w:top w:w="28" w:type="dxa"/>
          <w:left w:w="28" w:type="dxa"/>
          <w:bottom w:w="28" w:type="dxa"/>
          <w:right w:w="28" w:type="dxa"/>
        </w:tblCellMar>
      </w:tblPr>
      <w:tblGrid>
        <w:gridCol w:w="124"/>
        <w:gridCol w:w="256"/>
        <w:gridCol w:w="59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patient safety concerns that arise during the course of a trial;</w:t>
            </w:r>
          </w:p>
        </w:tc>
      </w:tr>
    </w:tbl>
    <w:tbl>
      <w:tblPr>
        <w:tblW w:w="6216" w:type="dxa"/>
        <w:jc w:val="left"/>
        <w:tblInd w:w="0" w:type="dxa"/>
        <w:tblCellMar>
          <w:top w:w="28" w:type="dxa"/>
          <w:left w:w="28" w:type="dxa"/>
          <w:bottom w:w="28" w:type="dxa"/>
          <w:right w:w="28" w:type="dxa"/>
        </w:tblCellMar>
      </w:tblPr>
      <w:tblGrid>
        <w:gridCol w:w="124"/>
        <w:gridCol w:w="256"/>
        <w:gridCol w:w="58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patients complete a trial or return for post-treatment follow-up;</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imposition of a clinical hold by regulatory authorities, including as a result of unforeseen safety issues or side effects or failure of trial sites to adhere to regulatory requirements;</w:t>
            </w:r>
          </w:p>
        </w:tc>
      </w:tr>
    </w:tbl>
    <w:tbl>
      <w:tblPr>
        <w:tblW w:w="9021" w:type="dxa"/>
        <w:jc w:val="left"/>
        <w:tblInd w:w="0" w:type="dxa"/>
        <w:tblCellMar>
          <w:top w:w="28" w:type="dxa"/>
          <w:left w:w="28" w:type="dxa"/>
          <w:bottom w:w="28" w:type="dxa"/>
          <w:right w:w="28" w:type="dxa"/>
        </w:tblCellMar>
      </w:tblPr>
      <w:tblGrid>
        <w:gridCol w:w="124"/>
        <w:gridCol w:w="256"/>
        <w:gridCol w:w="86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SAEs in trials of the same class of agents conducted by other companies or institutions;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subjects choosing an alternative treatment for the indications for which we are developing our product candidates, or participating in competing trials;</w:t>
            </w:r>
          </w:p>
        </w:tc>
      </w:tr>
    </w:tbl>
    <w:tbl>
      <w:tblPr>
        <w:tblW w:w="4416" w:type="dxa"/>
        <w:jc w:val="left"/>
        <w:tblInd w:w="0" w:type="dxa"/>
        <w:tblCellMar>
          <w:top w:w="28" w:type="dxa"/>
          <w:left w:w="28" w:type="dxa"/>
          <w:bottom w:w="28" w:type="dxa"/>
          <w:right w:w="28" w:type="dxa"/>
        </w:tblCellMar>
      </w:tblPr>
      <w:tblGrid>
        <w:gridCol w:w="124"/>
        <w:gridCol w:w="256"/>
        <w:gridCol w:w="40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adding a sufficient number of clinical trial sites;</w:t>
            </w:r>
          </w:p>
        </w:tc>
      </w:tr>
    </w:tbl>
    <w:tbl>
      <w:tblPr>
        <w:tblW w:w="7206" w:type="dxa"/>
        <w:jc w:val="left"/>
        <w:tblInd w:w="0" w:type="dxa"/>
        <w:tblCellMar>
          <w:top w:w="28" w:type="dxa"/>
          <w:left w:w="28" w:type="dxa"/>
          <w:bottom w:w="28" w:type="dxa"/>
          <w:right w:w="28" w:type="dxa"/>
        </w:tblCellMar>
      </w:tblPr>
      <w:tblGrid>
        <w:gridCol w:w="124"/>
        <w:gridCol w:w="256"/>
        <w:gridCol w:w="68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sufficient quantities of a product candidate for use in clinical trials;</w:t>
            </w:r>
          </w:p>
        </w:tc>
      </w:tr>
    </w:tbl>
    <w:tbl>
      <w:tblPr>
        <w:tblW w:w="4926" w:type="dxa"/>
        <w:jc w:val="left"/>
        <w:tblInd w:w="0" w:type="dxa"/>
        <w:tblCellMar>
          <w:top w:w="28" w:type="dxa"/>
          <w:left w:w="28" w:type="dxa"/>
          <w:bottom w:w="28" w:type="dxa"/>
          <w:right w:w="28" w:type="dxa"/>
        </w:tblCellMar>
      </w:tblPr>
      <w:tblGrid>
        <w:gridCol w:w="124"/>
        <w:gridCol w:w="256"/>
        <w:gridCol w:w="45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adequate funding to continue the clinical trial;</w:t>
            </w:r>
          </w:p>
        </w:tc>
      </w:tr>
    </w:tbl>
    <w:tbl>
      <w:tblPr>
        <w:tblW w:w="10056" w:type="dxa"/>
        <w:jc w:val="left"/>
        <w:tblInd w:w="0" w:type="dxa"/>
        <w:tblCellMar>
          <w:top w:w="28" w:type="dxa"/>
          <w:left w:w="28" w:type="dxa"/>
          <w:bottom w:w="28" w:type="dxa"/>
          <w:right w:w="28" w:type="dxa"/>
        </w:tblCellMar>
      </w:tblPr>
      <w:tblGrid>
        <w:gridCol w:w="124"/>
        <w:gridCol w:w="256"/>
        <w:gridCol w:w="96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selection of clinical end points that require prolonged periods of clinical observation or analysis of the resulting data;</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facility manufacturing our product candidates or any of their components being ordered by the FDA, or comparable foreign regulatory authorities, to temporarily or permanently shut down due to violations of current good manufacturing practice (“cGMP”) regulations or other applicable requirements, or infections or cross-contaminations of product candidates in the manufacturing process;</w:t>
            </w:r>
          </w:p>
        </w:tc>
      </w:tr>
    </w:tbl>
    <w:tbl>
      <w:tblPr>
        <w:tblW w:w="6651" w:type="dxa"/>
        <w:jc w:val="left"/>
        <w:tblInd w:w="0" w:type="dxa"/>
        <w:tblCellMar>
          <w:top w:w="28" w:type="dxa"/>
          <w:left w:w="28" w:type="dxa"/>
          <w:bottom w:w="28" w:type="dxa"/>
          <w:right w:w="28" w:type="dxa"/>
        </w:tblCellMar>
      </w:tblPr>
      <w:tblGrid>
        <w:gridCol w:w="124"/>
        <w:gridCol w:w="256"/>
        <w:gridCol w:w="62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to our manufacturing process that may be necessary or desired;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 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contractors not performing data collection or analysis in a timely or accurate manner; or 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addition, disruptions caused by the COVID-19 pandemic may increase the likelihood that we encounter such difficulties or delays in initiating, enrolling, conducting or completing our planned and ongoing clinical trials. For example, in April 2021, PLACIDITY enrollment was voluntarily paused to assess challenges posed in opening relevant clinical sites and enrolling delirium patients in the intensive care unit settings, and we also faced disruptions to our TRANQUILITY II trial, including as a result of the burden COVID-19.</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could encounter delays if a clinical trial is suspended or terminated by us, by the IRBs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due to differences in health care services or cultural customs, managing additional administrative burdens associated with foreign regulatory schemes, as well as political and economic risks relevant to such foreign countries. For example, if the current conflict between Russia and Ukraine spreads to other regions, it may adversely impact our ability to conduct trials.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depend on enrollment of patients in our clinical trials to continue development of our product candidates. If we are unable to enroll patients in our clinical trials, our research and development efforts could be adversely affected.</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factors including the size and nature of the patient population, the proximity of patients to clinical sites, the eligibility criteria for the trial, the design of the clinical trial, the size of the patient population required for analysis of the trial’s primary endpoints,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Our ability to enroll patients in our clinical trials has been, and may in the future be, impacted by governmental restrictions and diversion of health care resources resulting from the COVID-19 pandemic. Many pharmaceutical companies are conducting clinical trials in patients with the disease indications that our product candidates are designed to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BXCL502, BXCL701, BXCL702 and our other product candidates in patients, in many cases, is ongoing and it is possible that there may be side effects associated with their use. Results of our trials could reveal a high and unacceptable severity and prevalence of these or other side effects. For example, in our Phase 2 clinical trial of BXCL701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If we observe drug-related AEs or other unacceptable safety concerns in clinical trials,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observed in our clinical trials and upon commercialization of any of our product candidates that may receive regulatory approval. Inadequate training in recognizing or managing the potential side effects of our product candidates could result in patient injury or death. Any of these occurrences may harm our business, financial condition and prospects significantly.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Additionally, if we or others later identify undesirable side effects caused by IGALMI or any other product candidate that receives marketing approval, a number of potentially significant negative consequences could result, including:</w:t>
      </w:r>
    </w:p>
    <w:tbl>
      <w:tblPr>
        <w:tblW w:w="5751" w:type="dxa"/>
        <w:jc w:val="left"/>
        <w:tblInd w:w="0" w:type="dxa"/>
        <w:tblCellMar>
          <w:top w:w="28" w:type="dxa"/>
          <w:left w:w="28" w:type="dxa"/>
          <w:bottom w:w="28" w:type="dxa"/>
          <w:right w:w="28" w:type="dxa"/>
        </w:tblCellMar>
      </w:tblPr>
      <w:tblGrid>
        <w:gridCol w:w="124"/>
        <w:gridCol w:w="256"/>
        <w:gridCol w:w="53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approvals of such products;</w:t>
            </w:r>
          </w:p>
        </w:tc>
      </w:tr>
    </w:tbl>
    <w:tbl>
      <w:tblPr>
        <w:tblW w:w="8601" w:type="dxa"/>
        <w:jc w:val="left"/>
        <w:tblInd w:w="0" w:type="dxa"/>
        <w:tblCellMar>
          <w:top w:w="28" w:type="dxa"/>
          <w:left w:w="28" w:type="dxa"/>
          <w:bottom w:w="28" w:type="dxa"/>
          <w:right w:w="28" w:type="dxa"/>
        </w:tblCellMar>
      </w:tblPr>
      <w:tblGrid>
        <w:gridCol w:w="124"/>
        <w:gridCol w:w="256"/>
        <w:gridCol w:w="82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recall a product or change the way such a product is administered to patients;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restrictions may be imposed on the marketing or distribution of the particular product or the manufacturing processes for the product or any component thereof;</w:t>
            </w:r>
          </w:p>
        </w:tc>
      </w:tr>
    </w:tbl>
    <w:tbl>
      <w:tblPr>
        <w:tblW w:w="10176" w:type="dxa"/>
        <w:jc w:val="left"/>
        <w:tblInd w:w="0" w:type="dxa"/>
        <w:tblCellMar>
          <w:top w:w="28" w:type="dxa"/>
          <w:left w:w="28" w:type="dxa"/>
          <w:bottom w:w="28" w:type="dxa"/>
          <w:right w:w="28" w:type="dxa"/>
        </w:tblCellMar>
      </w:tblPr>
      <w:tblGrid>
        <w:gridCol w:w="124"/>
        <w:gridCol w:w="256"/>
        <w:gridCol w:w="97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7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additional warnings on the label, such as a “black box” warning or contraindication;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implement Risk Evaluation and Mitigation Strategies (“REMS”) or create a medication guide outlining the risks of such side effects for distribution to patients, or similar risk management measures;</w:t>
            </w:r>
          </w:p>
        </w:tc>
      </w:tr>
    </w:tbl>
    <w:tbl>
      <w:tblPr>
        <w:tblW w:w="5466" w:type="dxa"/>
        <w:jc w:val="left"/>
        <w:tblInd w:w="0" w:type="dxa"/>
        <w:tblCellMar>
          <w:top w:w="28" w:type="dxa"/>
          <w:left w:w="28" w:type="dxa"/>
          <w:bottom w:w="28" w:type="dxa"/>
          <w:right w:w="28" w:type="dxa"/>
        </w:tblCellMar>
      </w:tblPr>
      <w:tblGrid>
        <w:gridCol w:w="124"/>
        <w:gridCol w:w="256"/>
        <w:gridCol w:w="50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harm caused to patients;</w:t>
            </w:r>
          </w:p>
        </w:tc>
      </w:tr>
    </w:tbl>
    <w:tbl>
      <w:tblPr>
        <w:tblW w:w="4311" w:type="dxa"/>
        <w:jc w:val="left"/>
        <w:tblInd w:w="0" w:type="dxa"/>
        <w:tblCellMar>
          <w:top w:w="28" w:type="dxa"/>
          <w:left w:w="28" w:type="dxa"/>
          <w:bottom w:w="28" w:type="dxa"/>
          <w:right w:w="28" w:type="dxa"/>
        </w:tblCellMar>
      </w:tblPr>
      <w:tblGrid>
        <w:gridCol w:w="124"/>
        <w:gridCol w:w="256"/>
        <w:gridCol w:w="39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may become less competitive; and</w:t>
            </w:r>
          </w:p>
        </w:tc>
      </w:tr>
    </w:tbl>
    <w:tbl>
      <w:tblPr>
        <w:tblW w:w="2616" w:type="dxa"/>
        <w:jc w:val="left"/>
        <w:tblInd w:w="0" w:type="dxa"/>
        <w:tblCellMar>
          <w:top w:w="28" w:type="dxa"/>
          <w:left w:w="28" w:type="dxa"/>
          <w:bottom w:w="28" w:type="dxa"/>
          <w:right w:w="28" w:type="dxa"/>
        </w:tblCellMar>
      </w:tblPr>
      <w:tblGrid>
        <w:gridCol w:w="124"/>
        <w:gridCol w:w="256"/>
        <w:gridCol w:w="22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2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Any of these events could prevent us from achieving or maintaining market acceptance of the particular product or product candidate, if approved, and could significantly harm our business, results of operations and prospects.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BioXcel LLC’s approach to the discovery and development of product candidates based on EvolverAI, its proprietary pharmaceutical discovery and development engine, is novel and unproven, and we do not know whether we will be able to develop any products of commercial value.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are leveraging BioXcel LLC’s EvolverAI, a proprietary pharmaceutical discovery and development engine,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BioXcel LLC’s EvolverAI to create medicines for defined patient populations may potentially enable drug research and clinical development that is more efficient than conventional drug research and development, our approach is novel. Although we obtained FDA approval for IGALMI, because our approach is novel, the cost and time needed to develop our product candidates is difficult to predict, and our efforts may not result in the discovery and development of commercially viable medicines. We may also be incorrect about the effects of our product and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BioXcel LLC’s EvolverAI may fail to help us discover and develop additional potential product candidates.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Any drug discovery that we are conducting using BioXcel LLC’s EvolverAI may not be successful in identifying compounds that have commercial value or therapeutic utility. BioXcel LLC’s EvolverAI may initially show promise in identifying potential product candidates, yet fail to yield viable additional product candidates for clinical development or potential commercialization for a number of reasons,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tc>
      </w:tr>
    </w:tbl>
    <w:tbl>
      <w:tblPr>
        <w:tblW w:w="9081" w:type="dxa"/>
        <w:jc w:val="left"/>
        <w:tblInd w:w="0" w:type="dxa"/>
        <w:tblCellMar>
          <w:top w:w="28" w:type="dxa"/>
          <w:left w:w="28" w:type="dxa"/>
          <w:bottom w:w="28" w:type="dxa"/>
          <w:right w:w="28" w:type="dxa"/>
        </w:tblCellMar>
      </w:tblPr>
      <w:tblGrid>
        <w:gridCol w:w="124"/>
        <w:gridCol w:w="256"/>
        <w:gridCol w:w="87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compounds found through BioXcel LLC’s EvolverAI may not demonstrate efficacy, safety or tolerability;</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 candidates may, on further study, be shown to have harmful side effects or other characteristics that indicate that they are unlikely to receive marketing approval and achieve market acceptance;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develop alternative therapies that render our potential product candidates non-competitive or less attractive; or</w:t>
            </w:r>
          </w:p>
        </w:tc>
      </w:tr>
    </w:tbl>
    <w:tbl>
      <w:tblPr>
        <w:tblW w:w="7836" w:type="dxa"/>
        <w:jc w:val="left"/>
        <w:tblInd w:w="0" w:type="dxa"/>
        <w:tblCellMar>
          <w:top w:w="28" w:type="dxa"/>
          <w:left w:w="28" w:type="dxa"/>
          <w:bottom w:w="28" w:type="dxa"/>
          <w:right w:w="28" w:type="dxa"/>
        </w:tblCellMar>
      </w:tblPr>
      <w:tblGrid>
        <w:gridCol w:w="124"/>
        <w:gridCol w:w="256"/>
        <w:gridCol w:w="74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potential product candidate may not be capable of being produced at an acceptable cost.</w:t>
            </w:r>
          </w:p>
        </w:tc>
      </w:tr>
    </w:tbl>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future success depends on our ability to continue to develop and implement our proprietary AI algorithms and models, and to maintain the confidentiality of this technology. Changes to existing regulations, their interpretation or implementation, or new regulations could impede our use of this technology or require that we disclose our proprietary technology to our competitors, which could impair our competitive position and result in an adverse effect on our business, results of operations and financial condition.</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obtained Fast Track designation for BXCL501 for the acute treatment of mild-to-moderate agitation associated with schizophrenia, bipolar disorder, and dementia,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obtained Fast Track designation for BXCL501 for the acute treatment of mild-to-moderate agitation associated with schizophrenia, bipolar disorder, and dementia, and we may seek Fast Track designation for other indications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We obtained Breakthrough Therapy Designations for BXCL501 for the acute treatment of agitation associated with dementia, and we may seek additional Breakthrough Therapy designations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designated as Breakthrough Therapies by the FDA also receive the benefits associated with Fast Track designation, including the potential for rolling review of an NDA.</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period for FDA review or approval will not be shortened.</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intend to seek FDA approval through the 505(b)(2) regulatory pathway for certain of our product candidates. The Hatch-Waxman Act added Section 505(b)(2) to the Federal Food, Drug and Cosmetic Act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pStyle w:val="TextBody"/>
        <w:spacing w:before="0" w:after="200"/>
        <w:ind w:left="0" w:right="0" w:hanging="0"/>
        <w:rPr>
          <w:rFonts w:ascii="Times New Roman;Times;serif" w:hAnsi="Times New Roman;Times;serif"/>
          <w:sz w:val="20"/>
        </w:rPr>
      </w:pPr>
      <w:r>
        <w:rPr>
          <w:rFonts w:ascii="Times New Roman;Times;serif" w:hAnsi="Times New Roman;Times;serif"/>
          <w:b/>
          <w:i/>
          <w:sz w:val="20"/>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Times New Roman;Times;serif" w:hAnsi="Times New Roman;Times;serif"/>
          <w:sz w:val="20"/>
        </w:rPr>
        <w:t xml:space="preserve">.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may decide to collaborate with patient diagnostic companies during our clinical trial enrollment process for BXCL701 to help identify patients with tumor gene alterations that we believe may be most likely to respond to treatment with BXCL701. The process of obtaining or creating such diagnostic is time consuming and costly.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Approval, clearance or certification of companion diagnostics may be subject to further legislative or regulatory reforms notably in the EU. On May 25, 2017, the new In Vitro Medical Devices Regulation No. 2017/746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effective in May 2022. However, on October 14, 2021, the European Commission proposed a “progressive” roll-out of the IVDR to prevent disruption in the supply of in vitro diagnostic medical devices. The European Parliament and Council adopted the proposed regulation on December 15, 2021. The IVDR fully applied as of May 26, 2022, but there is a tiered system extending the grace period for many devices (depending on their risk classification) before they have to be fully compliant with the regulation.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regulation of companion diagnostics in the EU will be subject to further requirements since the IVDR introduces a new classification system for companion diagnostics. Companion diagnostics will have to undergo a conformity assessment by a notified body. Before it can issue a CE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(“MA”) application for the medicinal product has been submitted through the centralized procedure. For other substances, the notified body can seek the opinion from a national competent authority or the EMA.</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These modifications may make it more difficult and costly for us to obtain regulatory clearances, approvals or certifications for our companion diagnostics or to manufacture, market or distribute our products after clearance, approval or certification is obtained.</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Although the FDA has approved IGALMI for the acute treatment of agitation associated with schizophrenia or bipolar I or II disorder, we will still face extensive and ongoing regulatory requirements and obligations for IGALMI and for any product candidates for which we obtain approval.</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Any regulatory approvals that we may receive for IGALMI or any of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FDA-approved label for IGALMI includes certain warnings and precautions regarding hypotension, orthostatic hypotension, bradycardia, somnolence, and QT interval prolongation. The FDA may also require a REMS to approve a product candidate, which could entail requirements for a medication guide, physician training and communication plans or additional elements to ensure safe use, such as restricted distribution methods, patient registries and other risk minimization tools.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In addition, the manufacturing processes, labeling, packaging, distribution, AE reporting, storage, advertising, promotion, import, export and recordkeeping for IGALMI are and will remain subject to extensive and ongoing regulatory requirements. These requirements include submissions of safety and other post-marketing information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reports, registration, and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AEs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addition, discovery of previously unknown AEs or other problems with our products, manufacturers or manufacturing processes or failure to comply with regulatory requirements, may yield various results, including:</w:t>
      </w:r>
    </w:p>
    <w:tbl>
      <w:tblPr>
        <w:tblW w:w="4146" w:type="dxa"/>
        <w:jc w:val="left"/>
        <w:tblInd w:w="0" w:type="dxa"/>
        <w:tblCellMar>
          <w:top w:w="28" w:type="dxa"/>
          <w:left w:w="28" w:type="dxa"/>
          <w:bottom w:w="28" w:type="dxa"/>
          <w:right w:w="28" w:type="dxa"/>
        </w:tblCellMar>
      </w:tblPr>
      <w:tblGrid>
        <w:gridCol w:w="124"/>
        <w:gridCol w:w="256"/>
        <w:gridCol w:w="37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manufacturing such products;</w:t>
            </w:r>
          </w:p>
        </w:tc>
      </w:tr>
    </w:tbl>
    <w:tbl>
      <w:tblPr>
        <w:tblW w:w="4806" w:type="dxa"/>
        <w:jc w:val="left"/>
        <w:tblInd w:w="0" w:type="dxa"/>
        <w:tblCellMar>
          <w:top w:w="28" w:type="dxa"/>
          <w:left w:w="28" w:type="dxa"/>
          <w:bottom w:w="28" w:type="dxa"/>
          <w:right w:w="28" w:type="dxa"/>
        </w:tblCellMar>
      </w:tblPr>
      <w:tblGrid>
        <w:gridCol w:w="124"/>
        <w:gridCol w:w="256"/>
        <w:gridCol w:w="44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labeling or marketing of products;</w:t>
            </w:r>
          </w:p>
        </w:tc>
      </w:tr>
    </w:tbl>
    <w:tbl>
      <w:tblPr>
        <w:tblW w:w="5226" w:type="dxa"/>
        <w:jc w:val="left"/>
        <w:tblInd w:w="0" w:type="dxa"/>
        <w:tblCellMar>
          <w:top w:w="28" w:type="dxa"/>
          <w:left w:w="28" w:type="dxa"/>
          <w:bottom w:w="28" w:type="dxa"/>
          <w:right w:w="28" w:type="dxa"/>
        </w:tblCellMar>
      </w:tblPr>
      <w:tblGrid>
        <w:gridCol w:w="124"/>
        <w:gridCol w:w="256"/>
        <w:gridCol w:w="48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product manufacturing, distribution or use;</w:t>
            </w:r>
          </w:p>
        </w:tc>
      </w:tr>
    </w:tbl>
    <w:tbl>
      <w:tblPr>
        <w:tblW w:w="5766" w:type="dxa"/>
        <w:jc w:val="left"/>
        <w:tblInd w:w="0" w:type="dxa"/>
        <w:tblCellMar>
          <w:top w:w="28" w:type="dxa"/>
          <w:left w:w="28" w:type="dxa"/>
          <w:bottom w:w="28" w:type="dxa"/>
          <w:right w:w="28" w:type="dxa"/>
        </w:tblCellMar>
      </w:tblPr>
      <w:tblGrid>
        <w:gridCol w:w="124"/>
        <w:gridCol w:w="256"/>
        <w:gridCol w:w="53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requirements to conduct post-marketing studies or clinical trials;</w:t>
            </w:r>
          </w:p>
        </w:tc>
      </w:tr>
    </w:tbl>
    <w:tbl>
      <w:tblPr>
        <w:tblW w:w="3231" w:type="dxa"/>
        <w:jc w:val="left"/>
        <w:tblInd w:w="0" w:type="dxa"/>
        <w:tblCellMar>
          <w:top w:w="28" w:type="dxa"/>
          <w:left w:w="28" w:type="dxa"/>
          <w:bottom w:w="28" w:type="dxa"/>
          <w:right w:w="28" w:type="dxa"/>
        </w:tblCellMar>
      </w:tblPr>
      <w:tblGrid>
        <w:gridCol w:w="124"/>
        <w:gridCol w:w="256"/>
        <w:gridCol w:w="28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letters or untitled letters;</w:t>
            </w:r>
          </w:p>
        </w:tc>
      </w:tr>
    </w:tbl>
    <w:tbl>
      <w:tblPr>
        <w:tblW w:w="4071" w:type="dxa"/>
        <w:jc w:val="left"/>
        <w:tblInd w:w="0" w:type="dxa"/>
        <w:tblCellMar>
          <w:top w:w="28" w:type="dxa"/>
          <w:left w:w="28" w:type="dxa"/>
          <w:bottom w:w="28" w:type="dxa"/>
          <w:right w:w="28" w:type="dxa"/>
        </w:tblCellMar>
      </w:tblPr>
      <w:tblGrid>
        <w:gridCol w:w="124"/>
        <w:gridCol w:w="256"/>
        <w:gridCol w:w="36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6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the products from the market;</w:t>
            </w:r>
          </w:p>
        </w:tc>
      </w:tr>
    </w:tbl>
    <w:tbl>
      <w:tblPr>
        <w:tblW w:w="8391" w:type="dxa"/>
        <w:jc w:val="left"/>
        <w:tblInd w:w="0" w:type="dxa"/>
        <w:tblCellMar>
          <w:top w:w="28" w:type="dxa"/>
          <w:left w:w="28" w:type="dxa"/>
          <w:bottom w:w="28" w:type="dxa"/>
          <w:right w:w="28" w:type="dxa"/>
        </w:tblCellMar>
      </w:tblPr>
      <w:tblGrid>
        <w:gridCol w:w="124"/>
        <w:gridCol w:w="256"/>
        <w:gridCol w:w="80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approve pending applications or supplements to approved applications that we submit;</w:t>
            </w:r>
          </w:p>
        </w:tc>
      </w:tr>
    </w:tbl>
    <w:tbl>
      <w:tblPr>
        <w:tblW w:w="2001" w:type="dxa"/>
        <w:jc w:val="left"/>
        <w:tblInd w:w="0" w:type="dxa"/>
        <w:tblCellMar>
          <w:top w:w="28" w:type="dxa"/>
          <w:left w:w="28" w:type="dxa"/>
          <w:bottom w:w="28" w:type="dxa"/>
          <w:right w:w="28" w:type="dxa"/>
        </w:tblCellMar>
      </w:tblPr>
      <w:tblGrid>
        <w:gridCol w:w="124"/>
        <w:gridCol w:w="256"/>
        <w:gridCol w:w="16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6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recall of products;</w:t>
            </w:r>
          </w:p>
        </w:tc>
      </w:tr>
    </w:tbl>
    <w:tbl>
      <w:tblPr>
        <w:tblW w:w="5031" w:type="dxa"/>
        <w:jc w:val="left"/>
        <w:tblInd w:w="0" w:type="dxa"/>
        <w:tblCellMar>
          <w:top w:w="28" w:type="dxa"/>
          <w:left w:w="28" w:type="dxa"/>
          <w:bottom w:w="28" w:type="dxa"/>
          <w:right w:w="28" w:type="dxa"/>
        </w:tblCellMar>
      </w:tblPr>
      <w:tblGrid>
        <w:gridCol w:w="124"/>
        <w:gridCol w:w="256"/>
        <w:gridCol w:w="46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restitution or disgorgement of profits or revenues;</w:t>
            </w:r>
          </w:p>
        </w:tc>
      </w:tr>
    </w:tbl>
    <w:tbl>
      <w:tblPr>
        <w:tblW w:w="4566" w:type="dxa"/>
        <w:jc w:val="left"/>
        <w:tblInd w:w="0" w:type="dxa"/>
        <w:tblCellMar>
          <w:top w:w="28" w:type="dxa"/>
          <w:left w:w="28" w:type="dxa"/>
          <w:bottom w:w="28" w:type="dxa"/>
          <w:right w:w="28" w:type="dxa"/>
        </w:tblCellMar>
      </w:tblPr>
      <w:tblGrid>
        <w:gridCol w:w="124"/>
        <w:gridCol w:w="256"/>
        <w:gridCol w:w="41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or withdrawal of marketing approvals;</w:t>
            </w:r>
          </w:p>
        </w:tc>
      </w:tr>
    </w:tbl>
    <w:tbl>
      <w:tblPr>
        <w:tblW w:w="4851" w:type="dxa"/>
        <w:jc w:val="left"/>
        <w:tblInd w:w="0" w:type="dxa"/>
        <w:tblCellMar>
          <w:top w:w="28" w:type="dxa"/>
          <w:left w:w="28" w:type="dxa"/>
          <w:bottom w:w="28" w:type="dxa"/>
          <w:right w:w="28" w:type="dxa"/>
        </w:tblCellMar>
      </w:tblPr>
      <w:tblGrid>
        <w:gridCol w:w="124"/>
        <w:gridCol w:w="256"/>
        <w:gridCol w:w="44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permit the import or export of our products;</w:t>
            </w:r>
          </w:p>
        </w:tc>
      </w:tr>
    </w:tbl>
    <w:tbl>
      <w:tblPr>
        <w:tblW w:w="2046" w:type="dxa"/>
        <w:jc w:val="left"/>
        <w:tblInd w:w="0" w:type="dxa"/>
        <w:tblCellMar>
          <w:top w:w="28" w:type="dxa"/>
          <w:left w:w="28" w:type="dxa"/>
          <w:bottom w:w="28" w:type="dxa"/>
          <w:right w:w="28" w:type="dxa"/>
        </w:tblCellMar>
      </w:tblPr>
      <w:tblGrid>
        <w:gridCol w:w="124"/>
        <w:gridCol w:w="256"/>
        <w:gridCol w:w="16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6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w:t>
            </w:r>
          </w:p>
        </w:tc>
      </w:tr>
    </w:tbl>
    <w:tbl>
      <w:tblPr>
        <w:tblW w:w="5286" w:type="dxa"/>
        <w:jc w:val="left"/>
        <w:tblInd w:w="0" w:type="dxa"/>
        <w:tblCellMar>
          <w:top w:w="28" w:type="dxa"/>
          <w:left w:w="28" w:type="dxa"/>
          <w:bottom w:w="28" w:type="dxa"/>
          <w:right w:w="28" w:type="dxa"/>
        </w:tblCellMar>
      </w:tblPr>
      <w:tblGrid>
        <w:gridCol w:w="124"/>
        <w:gridCol w:w="256"/>
        <w:gridCol w:w="49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Further, the policies of the FDA and other regulatory authorities may change, and additional government regulations may be enacted that could impose extensive and ongoing regulatory requirements and obligations on any product candidate for which we obtain marketing approval. We also cannot predict the likelihood, nature or extent of government regulation that may arise from future legislation or administrative or executive action, either in the U.S. or abroad.</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The FDA and other regulatory agencies actively enforce the laws and regulations prohibiting the promotion of off-label uses.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The FDA and other regulatory authorities strictly regulate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or any other regulatory authority may grant is limited to those specific diseases and indications for which a product is deemed to be safe and effective. For example, the FDA-approved label for IGALMI is currently limited to the acute treatment of agitation associated with schizophrenia or bipolar I or II disorder in adults. </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While physicians in the U.S. may choose, and are generally permitted, to prescribe drugs for uses that are not described in the product’s labeling and for uses that differ from those tested in clinical trials and approved by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other formulations of Dex, the active ingredient in IGALMI, have been approved for uses beyond those authorized in IGALMI approved labeling, such as for use in sedation of surgical patients, and we are continuing to develop BXCL501 for potential use in patients with dementia, MDD, Alzheimer’s disease and other indications. We do not market or promote IGALMI for these uses.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Regulatory authorities in the U.S. generally do not regulate the behavior of physicians in their choice of treatments. Regulatory authorities do, however, restrict communications by pharmaceutical companies on off-label use. If we are found to have promoted our products for any off-label uses, the U.S. federal government (and other foreign governments) could levy civil, criminal and/or administrative penalties, and seek fines against us. The FDA, or other regulatory authorities, could also require that we enter into a consent decree or a corporate integrity agreement, or seek a permanent injunction against us under which specified promotional conduct is monitored, changed or curtailed. If we cannot successfully manage the promotion of IGALMI or our product candidates, if approved, we could become subject to significant liability, which would materially adversely affect our business and financial condition.</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 xml:space="preserve">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of some of these aforementioned issues.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corresponding staff changes, may also slow the time necessary for new drug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may conduct certain of or portions of our clinical trials for our product candidates outside of the U.S. and the FDA may not accept data from such trials, in which case our development plans will be delayed, which could materially harm our business.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We may choose to conduct one or more of our clinical trials or a portion of our clinical trials for our product candidates outside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clinical trial was not otherwise subject to an IND, the FDA will not accept the data as support for an application for marketing approval unless the study was 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could result in current or future product candidates that we may develop not receiving approval for commercialization in the applicable jurisdiction.</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may be subject to extensive regulations outside the U.S. and may not obtain marketing approvals for products in Europe and other jurisdictions.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addition to regulations in the U.S., should we or our collaborators pursue marketing approvals for IGALMI, and for BXCL501, BXCL502, BXCL701, BXCL702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expect to pursue marketing approvals for IGALMI, and may pursue marketing approvals for BXCL501, BXCL502, BXCL701, BXCL702 and our other product candidates in Europe and other jurisdictions outside the U.S. with collaborative partners. The time and process required to obtain regulatory approvals and reimbursement in Europe and other jurisdictions may be different from those in the U.S. Also, regulatory approval in one jurisdiction does not ensure approvals in any other jurisdiction; however, negative regulatory decisions in any jurisdiction may have a negative impact on the regulatory process in other jurisdictions.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Following a national referendum and enactment of legislation by the government of the United Kingdom (“UK”), the UK formally withdrew from the EU on January 31, 2020 and ratified a trade and cooperation agreement governing its future relationship (commonly referred to as “Brexit”). The agreement, which was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Since January 1, 2021, the UK operates under a distinct regulatory regime to the EU. EU pharmaceutical laws only apply in respect of the UK to Northern Ireland (as set out in the Protocol on Ireland/Northern Ireland ). EU laws which have been transposed into UK law through secondary legislation continue to be applicable as “retained EU law”. While the UK has indicated a general intention that new laws regarding the development, manufacture and commercialization of medicinal products in the UK will align closely with EU law, there are limited detailed proposals for future regulation of medicinal products. The trade and cooperation agreement includes specific provisions concerning medicinal products, which include the mutual recognition of cGMP, inspections of manufacturing facilities for medicinal products and cGMP documents issued (such mutual recognition can be rejected by either party in certain circumstances) but does not foresee wholesale mutual recognition of UK and EU pharmaceutical regulations. For example, it is not clear to what extent the UK will adopt legislation aligned with, or similar to, the EU CTR which became applicable on January 31, 2022 and which significantly reforms the assessment and supervision processes for clinical trials throughout the EU. On January 17, 2022, the UK Medicines and Healthcare products Regulatory Agency (“MHRA”) launched an eight-week consultation on reframing the UK legislation for clinical trials. The consultation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closed on March 14,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UK chooses to align with the regulation or diverge from it to maintain regulatory flexibility. A decision by the UK not to closely align its regulations with the new approach that will be adopted in the EU may have an effect on the cost of conducting clinical trials in the UK as opposed to other countries and/or make it harder to seek a MA in the EU for our product candidates on the basis of clinical trials conducted in the UK.</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Therefore, there remains political and economic uncertainty regarding to what extent the regulation of medicinal products will differ between the UK and the EU in the future. Any divergences will increase the cost and complexity of running our business, including with respect to the conduct of clinical trials. Brexit also materially impacted the regulatory regime with respect to the approval of our product candidates. Great Britain is no longer covered by the EU’s procedures for the grant of MAs (Northern Ireland is covered by the centralized authorization procedure and can be covered under the decentralized or mutual recognition procedures). As of January 1, 2021, all existing centralized MAs were automatically converted into UK MAs effective in Great Britain and issued with a UK MA number on January 1, 2021 (unless MA holders opted out of this scheme). A separate MA is now required to market drugs in Great Britain. It is currently unclear whether the regulator in the UK, the MHRA, is sufficiently prepared to handle the increased volume of MA applications that it is likely to receive. Any delay in obtaining, or an inability to obtain, any regulatory approvals, as a result of Brexit or otherwise, would prevent us from commercializing our product candidates in Great Britain and restrict our ability to generate revenue and achieve and sustain profitability. If any of these outcomes occur, we may be forced to restrict or delay efforts to seek regulatory approval in Great Britain for our product candidates, which could significantly and materially harm our business. The UK’s withdrawal from the EU and the associated uncertainty has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Any of these factors could have a significant adverse effect on our business, financial condition, results of operations and prospects.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Further, the UK’s withdrawal from the EU has resulted in the relocation of the EMA from the UK to the Netherlands. This relocation has caused, and may continue to cause, disruption in the administrative and medical scientific links between the EMA and the MHRA, including delays in granting clinical trial authorization or MA, disruption of importation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 and commercialization of products in the EU and/or the UK.</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If we are found in violation of federal, state or foreign health care “fraud and abuse” laws, we may be required to pay significant fines and penalties, including, without limitation, debarment, suspension or exclusion from participation in federal, state or similar health care programs, which may adversely affect our business, financial condition and results of operations.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the U.S., we are subject to various federal and state health care “fraud and abuse” laws, including anti- kickback laws, false claims laws and other laws intended to reduce fraud and abuse in federal and state health care programs, which could affect us, and our ability to successfully commercialize our products in the U.S. We may have to comply with similar laws and regulations outside the U.S. These laws include: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false claims laws prohibit anyone from knowingly and willfully presenting or causing to be presented for payment to third-party payers, including government payers, claims for reimbursed drugs or services that are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109"/>
        <w:gridCol w:w="99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 Insurance Portability and Accountability Act of 1996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civil monetary penalties laws, which impose civil fines for,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consumer protection and unfair competition laws, which broadly regulate marketplace activities and activities that potentially harm consumers;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sunshine requirements under the Patient Protection and Affordable Care Act, as amended by the Health Care and Education Reconciliation Act (“ACA”), which requires certain manufacturers of drugs, devices, biologics, and medical supplies to report annually to the U.S. Centers for Medicare &amp; Medicaid Services (“CMS”) information related to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ownership and investment interests held by physicians and their immediate family members;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 care providers and other potential referral sources; and state laws that require drug manufacturers to report information related to payments and other transfers of value to physicians and other health care providers or marketing expenditures and pricing information;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European and other foreign law equivalents of each of the laws, including reporting requirements detailing interactions with and payments to health care providers.</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or foreign health care programs, additional reporting obligations and oversight if we become subject to a corporate integrity agreement or other agreement to resolve allegations of non-compliance with these laws, any of which could adversely affect our ability to market our products and adversely impact our financial results.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may be unable to maintain sufficient clinical trial liability insurance.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exceeds the limits of our insurance coverage. We have supplemented our clinical trial coverage with product liability coverage in connection with the commercial launch of IGALMI and expect that we would similarly supplement our coverage for any of our other product candidates that may receive regulatory approval, but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Risks Related to Commercialization of Our Product Candidates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If our products do not gain market acceptance or if we fail to accurately forecast demand or manage our inventories, our business will suffer because we might not be able to fund future operations.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 number of factors may affect the market acceptance of our products or any other products or product candidates we develop or acquire, including, among others:</w:t>
      </w:r>
    </w:p>
    <w:tbl>
      <w:tblPr>
        <w:tblW w:w="7371" w:type="dxa"/>
        <w:jc w:val="left"/>
        <w:tblInd w:w="0" w:type="dxa"/>
        <w:tblCellMar>
          <w:top w:w="28" w:type="dxa"/>
          <w:left w:w="28" w:type="dxa"/>
          <w:bottom w:w="28" w:type="dxa"/>
          <w:right w:w="28" w:type="dxa"/>
        </w:tblCellMar>
      </w:tblPr>
      <w:tblGrid>
        <w:gridCol w:w="124"/>
        <w:gridCol w:w="256"/>
        <w:gridCol w:w="69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products relative to other products for the same or similar treatments;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perception by patients, physicians and other members of the health care community of the effectiveness, utility and safety of our products for their indicated applications and treatments;</w:t>
            </w:r>
          </w:p>
        </w:tc>
      </w:tr>
    </w:tbl>
    <w:tbl>
      <w:tblPr>
        <w:tblW w:w="4941" w:type="dxa"/>
        <w:jc w:val="left"/>
        <w:tblInd w:w="0" w:type="dxa"/>
        <w:tblCellMar>
          <w:top w:w="28" w:type="dxa"/>
          <w:left w:w="28" w:type="dxa"/>
          <w:bottom w:w="28" w:type="dxa"/>
          <w:right w:w="28" w:type="dxa"/>
        </w:tblCellMar>
      </w:tblPr>
      <w:tblGrid>
        <w:gridCol w:w="124"/>
        <w:gridCol w:w="256"/>
        <w:gridCol w:w="45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fund our sales and marketing efforts; and</w:t>
            </w:r>
          </w:p>
        </w:tc>
      </w:tr>
    </w:tbl>
    <w:tbl>
      <w:tblPr>
        <w:tblW w:w="4656" w:type="dxa"/>
        <w:jc w:val="left"/>
        <w:tblInd w:w="0" w:type="dxa"/>
        <w:tblCellMar>
          <w:top w:w="28" w:type="dxa"/>
          <w:left w:w="28" w:type="dxa"/>
          <w:bottom w:w="28" w:type="dxa"/>
          <w:right w:w="28" w:type="dxa"/>
        </w:tblCellMar>
      </w:tblPr>
      <w:tblGrid>
        <w:gridCol w:w="124"/>
        <w:gridCol w:w="256"/>
        <w:gridCol w:w="42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our sales and marketing efforts.</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results of operations could be materially harmed if we are unable to accurately forecast customer demand for IGALMI and manage our inventory. To ensure adequate inventory supply, we must forecast inventory needs and place orders with our suppliers based on our estimates of future demand for IGALMI. Our ability to accurately forecast demand for IGALMI could be negatively affected by many factors, including our failure to accurately manage our expansion strategy, product introductions by competitors, an increase or decrease in customer demand for IGALMI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IGALMI, our third-party contract manufacturer may not be able to deliver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or our third-party manufacturers may not be able to allocate sufficient capacity in order to meet our increased requirements, which could have an adverse effect on our ability to meet customer demand for IGALMI and our results of operations.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We seek to maintain sufficient levels of inventory to protect ourselves from supply interruptions. As a result, we are subject to the risk that a portion of our inventory will become obsolete or expire, which could have a material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adverse effect on our earnings and cash flows due to the resulting costs associated with the inventory impairment charges and costs required to replace such inventory.</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obtained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Regulatory authorities in some jurisdictions, including the U.S. and EU,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U.S., or a patient population greater than 200,000 individuals in the U.S. where there is no reasonable expectation that the cost of developing the drug will be recovered from sales in the U.S. In the EU, orphan drug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Orphan drug exclusivity in the U.S. provides that the FDA may not approve any other applications, including a full NDA, to market the same drug for the same disease or condition for seven years. In limited circumstances, the applicable exclusivity period is 10 years in the EU. The EU exclusivity period can be reduced to six years if, at the end of the fifth year, it is established that a drug no longer meets the criteria for orphan drug designation or if the drug is sufficiently profitable so that market exclusivity is no longer justified.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diseases or conditions or for other product candidates. There can be no assurances that we will be able to obtain such designations.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 designated indication due to the uncertainties associated with developing pharmaceutical products, and it is possible that another company also holding orphan drug designation for the same product candidate will receive marketing approval for the same disease or condition before we do. If that were to happen, our applications for that disease or condition may not be approved until the competing company’s period of exclusivity expires. In addition, exclusive marketing rights in the U.S. and abroad may be limited if we seek approval for an indication broader than the orphan-designated disease or condition or may be lost if the FDA or foreign regulatory authorities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ingredients may be approved for the same disease or condition. Even after an orphan drug is approved, the FDA or foreign regulatory authorities can subsequently approve the same drug with the same active ingredient for the same condition if the FDA or foreign regulatory authorities conclude that the later drug is clinically superior in that it is shown to be safer, more effective or makes a major contribution to patient care or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manufacturer of the product with orphan exclusivity is unable to maintain sufficient product quantity. Orphan drug designation neither shortens the development or regulatory review time of a drug, nor gives the drug any advantage in the regulatory review or approval process and does not prevent competitors from obtaining approval of the same product candidate as ours for indications other than those in which we have been granted orphan drug designation.</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If we are unable to develop satisfactory sales and marketing capabilities, we may not succeed in commercializing IGALMI or any product candidate for which we may obtain regulatory approval.</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have limited experience in marketing and selling drug products. We have not entered into arrangements for the sale and marketing of IGALMI or BXCL501, BXCL502, BXCL701, BXCL702 or any other product candidate. Typically, pharmaceutical companies would employ groups of sales representatives and associated sales and marketing staff numbering in the hundreds to thousands of individuals to call on the large number of physicians and hospitals. We may seek to collaborate with a third-party to market our drugs or may seek to market and sell our drugs by ourselves. If we seek to collaborate with a third-party, we cannot be sure that a collaborative agreement can be reached on terms acceptable to us. We may also need to hire additional personnel skilled in marketing and sales for our direct marketing and selling efforts. We cannot be sure that we will be able to acquire, or establish third-party relationships to provide, any or all of these marketing and sales capabilities. The maintenance and expansion of our direct sales force or establishment of a contract sales force, or a combination thereof, as applicable, to market our products is expensive and time-consuming and could delay any product launch. Further, we can give no assurances that we will be able to maintain a direct and/or contract sales force for any period of time or that our sales efforts will be sufficient to grow our revenues or that our sales efforts will ever lead to profits. A direct sales force has in the past and may in the future subject us to higher fixed costs than those of companies that market competing products through independent third parties, due to the costs that we bear associated with employee benefits, training, and managing sales personnel. As a result, we could be at a competitive disadvantage. Additionally, these fixed costs may slow our ability to reduce costs if needed, which could have a material adverse effect on our business, financial condition, and results of operations.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operate in a highly competitive and rapidly changing industry.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U.S., the EU and other jurisdictions.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availability of our competitors’ products could limit the demand and the price we are able to charge for products and product candidates, if any, that we commercialize. The inability to compete with existing or subsequently introduced drugs would harm our business, financial condition and results of operations.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Although we obtained FDA approval for IGALMI, our products and product candidates may not be accepted by physicians or the medical community in general.</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There can be no assurance that IGALMI, or BXCL501, BXCL502, BXCL701, BXCL702 and our other product candidates or any other product candidate successfully developed by us, independently or with partners, if approved, will be accepted by physicians, hospitals and other health care facilities. IGALMI competes, and BXCL501, BXCL502, BXCL701, BXCL702 and any future product candidates we develop will compete, with a number of products manufactured and marketed by major pharmaceutical and biotechnology companies. The degree of market acceptance of IGALMI and any drugs we develop depends on a number of factors, including:</w:t>
      </w:r>
    </w:p>
    <w:tbl>
      <w:tblPr>
        <w:tblW w:w="8016" w:type="dxa"/>
        <w:jc w:val="left"/>
        <w:tblInd w:w="0" w:type="dxa"/>
        <w:tblCellMar>
          <w:top w:w="28" w:type="dxa"/>
          <w:left w:w="28" w:type="dxa"/>
          <w:bottom w:w="28" w:type="dxa"/>
          <w:right w:w="28" w:type="dxa"/>
        </w:tblCellMar>
      </w:tblPr>
      <w:tblGrid>
        <w:gridCol w:w="124"/>
        <w:gridCol w:w="256"/>
        <w:gridCol w:w="76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demonstration of the clinical efficacy and safety of our products and product candidates;</w:t>
            </w:r>
          </w:p>
        </w:tc>
      </w:tr>
    </w:tbl>
    <w:tbl>
      <w:tblPr>
        <w:tblW w:w="7851" w:type="dxa"/>
        <w:jc w:val="left"/>
        <w:tblInd w:w="0" w:type="dxa"/>
        <w:tblCellMar>
          <w:top w:w="28" w:type="dxa"/>
          <w:left w:w="28" w:type="dxa"/>
          <w:bottom w:w="28" w:type="dxa"/>
          <w:right w:w="28" w:type="dxa"/>
        </w:tblCellMar>
      </w:tblPr>
      <w:tblGrid>
        <w:gridCol w:w="124"/>
        <w:gridCol w:w="256"/>
        <w:gridCol w:w="74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of market approval and commercial launch of our products and product candidates;</w:t>
            </w:r>
          </w:p>
        </w:tc>
      </w:tr>
    </w:tbl>
    <w:tbl>
      <w:tblPr>
        <w:tblW w:w="7491" w:type="dxa"/>
        <w:jc w:val="left"/>
        <w:tblInd w:w="0" w:type="dxa"/>
        <w:tblCellMar>
          <w:top w:w="28" w:type="dxa"/>
          <w:left w:w="28" w:type="dxa"/>
          <w:bottom w:w="28" w:type="dxa"/>
          <w:right w:w="28" w:type="dxa"/>
        </w:tblCellMar>
      </w:tblPr>
      <w:tblGrid>
        <w:gridCol w:w="124"/>
        <w:gridCol w:w="256"/>
        <w:gridCol w:w="71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indication(s) for which our products and product candidates are approved;</w:t>
            </w:r>
          </w:p>
        </w:tc>
      </w:tr>
    </w:tbl>
    <w:tbl>
      <w:tblPr>
        <w:tblW w:w="4326" w:type="dxa"/>
        <w:jc w:val="left"/>
        <w:tblInd w:w="0" w:type="dxa"/>
        <w:tblCellMar>
          <w:top w:w="28" w:type="dxa"/>
          <w:left w:w="28" w:type="dxa"/>
          <w:bottom w:w="28" w:type="dxa"/>
          <w:right w:w="28" w:type="dxa"/>
        </w:tblCellMar>
      </w:tblPr>
      <w:tblGrid>
        <w:gridCol w:w="124"/>
        <w:gridCol w:w="256"/>
        <w:gridCol w:w="39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label and package insert requirements;</w:t>
            </w:r>
          </w:p>
        </w:tc>
      </w:tr>
    </w:tbl>
    <w:tbl>
      <w:tblPr>
        <w:tblW w:w="8796" w:type="dxa"/>
        <w:jc w:val="left"/>
        <w:tblInd w:w="0" w:type="dxa"/>
        <w:tblCellMar>
          <w:top w:w="28" w:type="dxa"/>
          <w:left w:w="28" w:type="dxa"/>
          <w:bottom w:w="28" w:type="dxa"/>
          <w:right w:w="28" w:type="dxa"/>
        </w:tblCellMar>
      </w:tblPr>
      <w:tblGrid>
        <w:gridCol w:w="124"/>
        <w:gridCol w:w="256"/>
        <w:gridCol w:w="84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advantages and disadvantages of our products and product candidates compared to existing therapies;</w:t>
            </w:r>
          </w:p>
        </w:tc>
      </w:tr>
    </w:tbl>
    <w:tbl>
      <w:tblPr>
        <w:tblW w:w="7416" w:type="dxa"/>
        <w:jc w:val="left"/>
        <w:tblInd w:w="0" w:type="dxa"/>
        <w:tblCellMar>
          <w:top w:w="28" w:type="dxa"/>
          <w:left w:w="28" w:type="dxa"/>
          <w:bottom w:w="28" w:type="dxa"/>
          <w:right w:w="28" w:type="dxa"/>
        </w:tblCellMar>
      </w:tblPr>
      <w:tblGrid>
        <w:gridCol w:w="124"/>
        <w:gridCol w:w="256"/>
        <w:gridCol w:w="70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interest in and growth of the market for anti-cancer or anti-agitation drugs;</w:t>
            </w:r>
          </w:p>
        </w:tc>
      </w:tr>
    </w:tbl>
    <w:tbl>
      <w:tblPr>
        <w:tblW w:w="4866" w:type="dxa"/>
        <w:jc w:val="left"/>
        <w:tblInd w:w="0" w:type="dxa"/>
        <w:tblCellMar>
          <w:top w:w="28" w:type="dxa"/>
          <w:left w:w="28" w:type="dxa"/>
          <w:bottom w:w="28" w:type="dxa"/>
          <w:right w:w="28" w:type="dxa"/>
        </w:tblCellMar>
      </w:tblPr>
      <w:tblGrid>
        <w:gridCol w:w="124"/>
        <w:gridCol w:w="256"/>
        <w:gridCol w:w="44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strength of sales, marketing, and distribution support;</w:t>
            </w:r>
          </w:p>
        </w:tc>
      </w:tr>
    </w:tbl>
    <w:tbl>
      <w:tblPr>
        <w:tblW w:w="6291" w:type="dxa"/>
        <w:jc w:val="left"/>
        <w:tblInd w:w="0" w:type="dxa"/>
        <w:tblCellMar>
          <w:top w:w="28" w:type="dxa"/>
          <w:left w:w="28" w:type="dxa"/>
          <w:bottom w:w="28" w:type="dxa"/>
          <w:right w:w="28" w:type="dxa"/>
        </w:tblCellMar>
      </w:tblPr>
      <w:tblGrid>
        <w:gridCol w:w="124"/>
        <w:gridCol w:w="256"/>
        <w:gridCol w:w="59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pricing in absolute terms and relative to alternative treatments;</w:t>
            </w:r>
          </w:p>
        </w:tc>
      </w:tr>
    </w:tbl>
    <w:tbl>
      <w:tblPr>
        <w:tblW w:w="6441" w:type="dxa"/>
        <w:jc w:val="left"/>
        <w:tblInd w:w="0" w:type="dxa"/>
        <w:tblCellMar>
          <w:top w:w="28" w:type="dxa"/>
          <w:left w:w="28" w:type="dxa"/>
          <w:bottom w:w="28" w:type="dxa"/>
          <w:right w:w="28" w:type="dxa"/>
        </w:tblCellMar>
      </w:tblPr>
      <w:tblGrid>
        <w:gridCol w:w="124"/>
        <w:gridCol w:w="256"/>
        <w:gridCol w:w="60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changes in health care laws, regulations, and medical policies;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coverage and reimbursement in select jurisdictions, and future changes to coverage and reimbursement policies of government and third-party payors.</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Significant uncertainty exists as to the coverage and reimbursement status of IGALMI or any product candidate for which we obtain regulatory approval. In the U.S. and other countries, sales of IGALMI and any other products for which we receive regulatory approval for commercial sale will depend in part on the availability of coverage and reimbursement from third-party payors. Third-party payors include government health administrative authorities, managed care providers, private health insurers and other organizations.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Third-party payors are increasingly challenging the prices charged for medical products and services. It will be time consuming and expensive for us to go through the process of seeking coverage and reimbursement from Medicare and private payors. IGALMI and any other products for which we receive regulatory approval may not be considered cost-effective, and coverage and reimbursement may not be available or sufficient to allow us to sell our proposed products on a profitable basis. Further federal, state and foreign government proposals and health care reforms are likely which could limit the prices that can be charged for IGALMI and the product candidates that we develop and may further limit our commercial opportunities. Our results of operations could be materially adversely affected by proposed health care reforms, by the Medicare prescription drug coverage legislation in the U.S., by the possible effect of such current or future legislation on amounts that private insurers will pay and by other health care reforms that may be enacted or adopted in the future.</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Health care reform measures could hinder or prevent our product candidates’ commercial success.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U.S. government and other governments have shown significant interest in pursuing health care reform. Any government-adopted reform measures could adversely impact the pricing of health care products and services in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U.S. or internationally and the amount of reimbursement available from governmental agencies or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New laws, regulations and judicial decisions, or new interpretations of existing laws, regulations and decisions, that relate to health 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U.S., new health care legislation or fiscal challenges faced by government health administration authorities. Specifically, in both the U.S. and some foreign jurisdictions, there have been a number of legislative and regulatory proposals to change the health care system in ways that could affect our ability to sell our products profitably.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For example, in the U.S., the ACA has substantially changed the way health care is financed by both government health plans and private insurers, and significantly impacts the pharmaceutical industry. For example, the ACA imposed a non-deductible excise tax on pharmaceutical manufacturers or importers that sell branded prescription drugs to government programs. In addition, as part of the ACA’s provisions closing a funding gap that existed in the Medicare Part D prescription drug program, manufacturers are required to provide a discount on branded prescription drugs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changes to the Public Health Service’s 340B drug pricing program (the “340B program”) including expansion of the list of eligible covered entities that may purchase drugs under the program.</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 care, including among others, reexamining Medicaid demonstration projects and waiver programs that include work requirements, and policies that create unnecessary barriers to obtaining access to health insurance coverage through Medicaid or the ACA.</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addition, other legislative changes have been proposed and adopted in the U.S. since the ACA was enacted. These changes include the Budget Control Act of 2011, which resulted in aggregate reductions of Medicare payments to providers, which went into effect on April 1, 2013, and, due to subsequent legislative amendments to the statute, will remain in effect through 2032, unless additional Congressional action is taken. Furthermore, the American Taxpayer Relief Act of 2012, further reduced Medicare payments to several types of providers, including hospitals,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currently set at 100% of a drug’s average manufacturer price, beginning January 1, 2024.</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will be effectuated, and while the impact of the IRA on the pharmaceutical industry and our business cannot yet be fully determined, it is likely to be significant.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cost of prescription pharmaceuticals in the U.S. will likely continue to be the subject of considerable discussion. Members of Congress and the Biden Administration have indicated they will continue to pursue further legislative or administrative measures to control prescription drug costs.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Individual states in the U.S.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Furthermore, there has been increased interest by third-party payors and governmental authorities in reference pricing systems and publication of discounts and list prices.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It is likely that federal and state legislatures within the U.S. and foreign governments will continue to consider changes to existing health care legislation. We cannot predict the reform initiatives that may be adopted in the future or whether initiatives that have been adopted will be repealed or modified. The continuing efforts of governments, insurance companies, managed care organizations and other payors of health care services to contain or reduce costs of health care may adversely affect the demand for IGALMI and any other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U.S. and EU, reimbursement and healthcare payment systems vary significantly by country, and many countries have instituted price ceilings on specific products and therapies.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new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medicinal products as well as certain high-risk medical devices,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If we fail to comply with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As a condition of having federal funds being made available for covered outpatient drugs under Medicaid and Medicare Part B, a manufacturer must enroll in the MDRP. Under this program, we must pay a rebate to state Medicaid programs for each unit of our covered outpatient drug dispensed to a Medicaid beneficiary and paid for by a state Medicaid program. Medicaid drug rebates are based on pricing data that we must report on a monthly and quarterly basis to CMS. For the MDRP, this data includes the average manufacturer price (“AMP”) for each drug and, in the case of an innovator product, like IGALMI, the best price. If we become aware that our MDRP price reporting submission for a prior period was incorrect or has changed as a result of recalculation of the pricing data, we must resubmit the corrected data for up to three years after the data originally was due. Further, under the IRA, AMP figures we report will also be used to calculate a rebate on Medicare Part D utilization, triggered by price increases that outpace inflation.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outpatient drugs under Medicaid or, if applicable, Medicare Part B. Failure to make necessary disclosures and/or to identify overpayments additionally could result in allegations against us under the Federal False Claims Act and other laws and regulations.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Federal law requires that a manufacturer that participates in the MDRP also participate in the 340B program in order for federal funds to be available for the manufacturer’s drugs under Medicaid and Medicare Part B, and we participate in the 340B program. The 340B program is administered by the Health Resources and Services Administration (“HRSA”) and requires us to charge statutorily defined covered entities no more than the 340B program “ceiling price” for its covered outpatient drugs used in an outpatient setting. These 340B program covered entities include a variety of community health clinics and other entities that receive health services grants from the Public Health Service, as well as hospitals that serve a disproportionate share of low-income patients. The 340B program ceiling price is calculated using a statutory formula, which is based on the AMP and rebate amount for the covered outpatient drug as calculated under the MDRP. In general, products subject to Medicaid price reporting and rebate liability are also subject to the 340B program ceiling price calculation and discount requirement. We must report 340B program ceiling prices to HRSA on a quarterly basis, and HRSA publishes them to 340B program covered entities. HRSA has finalized regulations regarding the calculation of the 340B program ceiling price and the imposition of civil monetary penalties on manufacturers that knowingly and intentionally overcharge covered entities for 340B program eligible drugs. HRSA has also finalized an administrative dispute resolution process through which 340B program covered entities may pursue claims against participating manufacturers for overcharges, and through which manufacturers may pursue claims against 340B program covered entities for engaging in unlawful diversion or duplicate discounting of 340B program drugs. In addition, legislation may be introduced that, if passed, would further expand the 340B program, such as adding further covered entities or requiring participating manufacturers to agree to provide 340B program discounted pricing on drugs used in an inpatient setting. </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In order to be eligible to have drug products paid for with federal funds under Medicaid and Medicare Part B and purchased by certain federal agencies and grantees, we also must participate in the U.S. Department of Veterans Affairs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 xml:space="preserve">(“VA”) Federal Supply Schedule (“FSS”) pricing program. Under the VA/FSS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we fail to provide timely information or are found to have knowingly submitted false information, we may be subject to civil monetary penalties.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Individual states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Pricing and rebate calculations are complex, vary among products and programs, and are often subject to interpretation by manufacturers,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may be required to offer products under the 340B program. Civil monetary penalties can be applied if we are found to have knowingly submitted any false price or product information to the government, if we fail to submit required price data on a timely basis, or if we are found to have charged 340B program covered entities more than the statutorily mandated ceiling price. In the event that CMS were to terminate our Medicaid rebate agreement, pursuant to which we participate in the MDRP, no federal payments would be available under Medicaid or Medicare for our covered outpatient drugs. We cannot assure you that price data submissions we make will not be found to be incomplete or incorrect.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Risks Related to Our Relationship with BioXcel LLC</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BioXcel LLC has significant influence over the direction of our business, and the concentrated ownership of our common stock will prevent you and other stockholders from influencing significant decisions.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As of March 31, 2023, BioXcel LLC owned approximately 29% of the economic interest and voting power of our outstanding common stock and BioXcel LLC is controlled by BioXcel Holdings, Inc. Dr. Vimal Mehta is a co-founder and significant stockholder of BioXcel Holdings, Inc. Krishnan Nandabalan is a co-founder and serves as a senior executive and member of the board of BioXcel LLC and BioXcel Holdings, Inc. See “</w:t>
      </w:r>
      <w:r>
        <w:rPr>
          <w:rFonts w:ascii="Times New Roman;Times;serif" w:hAnsi="Times New Roman;Times;serif"/>
          <w:i/>
          <w:sz w:val="20"/>
        </w:rPr>
        <w:t>The management of and beneficial ownership in BioXcel LLC by our executive officers and our directors may create, or may create the appearance of, conflicts of interest.</w:t>
      </w:r>
      <w:r>
        <w:rPr>
          <w:rFonts w:ascii="Times New Roman;Times;serif" w:hAnsi="Times New Roman;Times;serif"/>
          <w:sz w:val="20"/>
        </w:rPr>
        <w:t xml:space="preserve">” below. Even though BioXcel LLC controls less than a majority of the voting power of our outstanding common stock, it may influence the outcome of such corporate actions so long as it owns a significant portion of our common stock.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commercial terms of the Separation and Shared Services Agreement (the “Services Agreement”) and the Amended and Restated Asset Contribution Agreement (the “Contribution Agreement”) that we entered into with BioXcel LLC have not been negotiated by persons consisting solely of disinterested directors.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No assurance can be given that any equityholder of BioXcel LLC or the Company will not claim in a lawsuit that such terms in fact are not in the best interests of BioXcel LLC or the Company and its applicable equity holders, that the directors and officers of BioXcel LLC or the Company breached their fiduciary duties in connection with such agreements and that any disclosures by the Company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 we would seek indemnification from BioXcel LLC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continue to depend on BioXcel LLC to provide us with certain services for our business.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We rely, in part, on BioXcel LLC and access to its EvolverAI, a research and development engine created and owned by BioXcel LLC, to identify, research and develop potential product candidates in neuroscience and immuno-oncology. We negotiated the Services Agreement with BioXcel LLC pursuant to which BioXcel LLC shall perform product identification and related services for us utilizing its EvolverAI. Under the Services Agreement, we have an option, exercisable until December 31, 2024, to enter into a collaborative services agreement with BioXcel LLC pursuant to which BioXcel LLC shall perform product identification and related services for us utilizing its EvolverAI. To maintain the ability to exercise the foregoing option, pursuant to an amendment to the Services Agreement effective as of April 19, 2022, the Company agreed to pay BioXcel LLC $18,000 per month from March 13, 2023, to December 31, 2024. The parties are obligated to negotiate the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 million in the aggregate and not be payable prior to proof of concept in humans and (ii) commercialization milestone payments shall be based on reaching annual net sales levels, be limited to 3% of the applicable net sales level, and not exceed $30 million in the aggregate. BioXcel LLC shall continue to make such product identification and related services available to us until at least December 31, 2024. </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In addition, at the time of our initial public offering (“IPO”), BioXcel LLC granted us (i) a first right to negotiate exclusive rights to any additional product candidates in the fields of neuroscience and immuno-oncology that BioXcel LLC may identify on its own and not in connection with BioXcel LLC’s provision of services to us under the Services Agreement and (ii) an exclusivity agreement in the neuroscience and immuno-oncology fields whereby BioXcel LLC agreed not develop drugs, or engage in preclinical discovery for the purpose of developing drugs, in the neuroscience and immuno-oncology fields for or on behalf of a third party, utilizing EvolverAI or otherwise. This first right to negotiate and exclusivity period expired on March 12, 2023 and there is no assurance that we will extend the terms of the agreement. We are continuing to assess our ongoing business needs. If our rights under the Services Agreement were to become limited or if we are otherwise precluded from conducting research and development using EvolverAI, or if BioXcel LLC does not fulfill its obligations under the agreements, such development could materially adversely affect our future operating results, financial condition, and prospects. Furthermore, certain individuals conducting services on our behalf are not our employees, and we cannot control whether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BioXcel LLC is not currently restricted from using EvolverAI to perform drug discovery services for our direct competitors, and if we do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not extend the exclusivity period in the neuroscience and immuno-oncology fields, this could harm our competitive position and adversely affect our future operating results and financial condition.</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The management of and beneficial ownership in BioXcel LLC may create, or may create the appearance of, conflicts of interest.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management of and beneficial ownership in BioXcel LLC by our executive officer and our directors may create, or may create the appearance of, conflicts of interest. For example, our Chief Executive Officer and director on our Board, Vimal Mehta, Ph.D., is a co-founder and significant stockholder of BioXcel Holdings, Inc., which controls BioXcel LLC. A director on our Board, Krishnan Nandabalan, Ph.D., is a manager and officer of BioXcel LLC, as well as a director, officer, and significant stockholder of BioXcel Holdings, Inc. Additionally, as of April 27, 2023, Dr. Nandabalan, through his beneficial ownership of BioXcel LLC, owned approximately 30% of the Company. Management and ownership of BioXcel LLC by affiliates, creates, or may create the appearance of, conflicts of interest when these individuals are faced with decisions that could have different implications for BioXcel LLC than the decisions have for us, including decisions that relate to our Services Agreement and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 and expose us to litigation risk.</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Any disputes that arise between us and BioXcel LLC with respect to our past and ongoing relationships could harm our business operations.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Disputes may arise between BioXcel LLC and us in a number of areas relating to our past and ongoing relationships,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technology and business matters, including failure to make required technology transfers and failure to comply with non-compete provisions applicable to BioXcel LLC and us;</w:t>
            </w:r>
          </w:p>
        </w:tc>
      </w:tr>
    </w:tbl>
    <w:tbl>
      <w:tblPr>
        <w:tblW w:w="10026" w:type="dxa"/>
        <w:jc w:val="left"/>
        <w:tblInd w:w="0" w:type="dxa"/>
        <w:tblCellMar>
          <w:top w:w="28" w:type="dxa"/>
          <w:left w:w="28" w:type="dxa"/>
          <w:bottom w:w="28" w:type="dxa"/>
          <w:right w:w="28" w:type="dxa"/>
        </w:tblCellMar>
      </w:tblPr>
      <w:tblGrid>
        <w:gridCol w:w="124"/>
        <w:gridCol w:w="256"/>
        <w:gridCol w:w="96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tax, employee benefit, indemnification and other matters arising from the separation of BTI from BioXcel LLC;</w:t>
            </w:r>
          </w:p>
        </w:tc>
      </w:tr>
    </w:tbl>
    <w:tbl>
      <w:tblPr>
        <w:tblW w:w="3471" w:type="dxa"/>
        <w:jc w:val="left"/>
        <w:tblInd w:w="0" w:type="dxa"/>
        <w:tblCellMar>
          <w:top w:w="28" w:type="dxa"/>
          <w:left w:w="28" w:type="dxa"/>
          <w:bottom w:w="28" w:type="dxa"/>
          <w:right w:w="28" w:type="dxa"/>
        </w:tblCellMar>
      </w:tblPr>
      <w:tblGrid>
        <w:gridCol w:w="124"/>
        <w:gridCol w:w="256"/>
        <w:gridCol w:w="30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and supply obligations;</w:t>
            </w:r>
          </w:p>
        </w:tc>
      </w:tr>
    </w:tbl>
    <w:tbl>
      <w:tblPr>
        <w:tblW w:w="3351" w:type="dxa"/>
        <w:jc w:val="left"/>
        <w:tblInd w:w="0" w:type="dxa"/>
        <w:tblCellMar>
          <w:top w:w="28" w:type="dxa"/>
          <w:left w:w="28" w:type="dxa"/>
          <w:bottom w:w="28" w:type="dxa"/>
          <w:right w:w="28" w:type="dxa"/>
        </w:tblCellMar>
      </w:tblPr>
      <w:tblGrid>
        <w:gridCol w:w="124"/>
        <w:gridCol w:w="256"/>
        <w:gridCol w:w="29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9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retention and recruiting;</w:t>
            </w:r>
          </w:p>
        </w:tc>
      </w:tr>
    </w:tbl>
    <w:tbl>
      <w:tblPr>
        <w:tblW w:w="3516" w:type="dxa"/>
        <w:jc w:val="left"/>
        <w:tblInd w:w="0" w:type="dxa"/>
        <w:tblCellMar>
          <w:top w:w="28" w:type="dxa"/>
          <w:left w:w="28" w:type="dxa"/>
          <w:bottom w:w="28" w:type="dxa"/>
          <w:right w:w="28" w:type="dxa"/>
        </w:tblCellMar>
      </w:tblPr>
      <w:tblGrid>
        <w:gridCol w:w="124"/>
        <w:gridCol w:w="256"/>
        <w:gridCol w:w="31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1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combinations involving us;</w:t>
            </w:r>
          </w:p>
        </w:tc>
      </w:tr>
    </w:tbl>
    <w:tbl>
      <w:tblPr>
        <w:tblW w:w="7746" w:type="dxa"/>
        <w:jc w:val="left"/>
        <w:tblInd w:w="0" w:type="dxa"/>
        <w:tblCellMar>
          <w:top w:w="28" w:type="dxa"/>
          <w:left w:w="28" w:type="dxa"/>
          <w:bottom w:w="28" w:type="dxa"/>
          <w:right w:w="28" w:type="dxa"/>
        </w:tblCellMar>
      </w:tblPr>
      <w:tblGrid>
        <w:gridCol w:w="124"/>
        <w:gridCol w:w="256"/>
        <w:gridCol w:w="7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or distributions by BioXcel LLC of all or any portion of its ownership interest in us;</w:t>
            </w:r>
          </w:p>
        </w:tc>
      </w:tr>
    </w:tbl>
    <w:tbl>
      <w:tblPr>
        <w:tblW w:w="7446" w:type="dxa"/>
        <w:jc w:val="left"/>
        <w:tblInd w:w="0" w:type="dxa"/>
        <w:tblCellMar>
          <w:top w:w="28" w:type="dxa"/>
          <w:left w:w="28" w:type="dxa"/>
          <w:bottom w:w="28" w:type="dxa"/>
          <w:right w:w="28" w:type="dxa"/>
        </w:tblCellMar>
      </w:tblPr>
      <w:tblGrid>
        <w:gridCol w:w="124"/>
        <w:gridCol w:w="256"/>
        <w:gridCol w:w="70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quality and pricing of services BioXcel LLC has agreed to provide us; and</w:t>
            </w:r>
          </w:p>
        </w:tc>
      </w:tr>
    </w:tbl>
    <w:tbl>
      <w:tblPr>
        <w:tblW w:w="6546" w:type="dxa"/>
        <w:jc w:val="left"/>
        <w:tblInd w:w="0" w:type="dxa"/>
        <w:tblCellMar>
          <w:top w:w="28" w:type="dxa"/>
          <w:left w:w="28" w:type="dxa"/>
          <w:bottom w:w="28" w:type="dxa"/>
          <w:right w:w="28" w:type="dxa"/>
        </w:tblCellMar>
      </w:tblPr>
      <w:tblGrid>
        <w:gridCol w:w="124"/>
        <w:gridCol w:w="256"/>
        <w:gridCol w:w="61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opportunities that may be attractive to both BioXcel LLC and us.</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 LLC.</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BioXcel LLC may experience challenges with the acquisition, development, enhancement, or deployment of technology necessary for EvolverAI. We may face similar challenges with other AI platforms that we utilize, including our own in-house proprietary platform.</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pharmaceutical, biotechnology,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their clients in forms that are easy to use while simultaneously providing clear answers to complex questions. We also utilize our own in-house AI platform.</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BioXcel LLC’s EvolverAI or other AI platforms that we utilize obsolete. BioXcel LLC’s and our continued success will depend on its ability to adapt to changing technologies, manage and process ever-increasing amounts of data and information and improve the performance, features and reliability of its services in response to changing client and industry demands. If EvolverAI or other AI and machine learning models that we use are incorrectly designed, do not operate properly, the data we use to train them is incomplete, inadequate or biased in some way, or if we do not have sufficient rights to use the data on which our AI and machine learning models rely, the performance of our products, services and businesses, as well as our reputation, could suffer or we could incur liability through the violation of laws, third-party privacy rights or contracts to which we are a party. BioXcel LLC or we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Risks Related to Our Reliance on Third Parties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are substantially dependent on third parties for the manufacture of our clinical supplies of our product candidates and our commercial supplies of IGALMI, and we intend to rely on third parties to produce commercial supplies of any other approved product candidate. Therefore, our development of our products could be stopped or delayed, and our commercialization of any future product could be stopped or delayed or made less profitable if third-party manufacturers fail to obtain approval of the FDA or comparable regulatory authorities or fail to provide us with drug product in sufficient quantities or at acceptable prices.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entered into a commercial supply agreement with ARx, LLC (“ARx”) pursuant to which ARx has agreed to exclusively manufacture and supply us with all of our worldwide demand of film formulation of Dex to be used for the commercial supply of IGALMI and for ongoing clinical trials of our product candidate BXCL501, subject to certain alternative supply provisions. If ARx is unable or ceases to produce our supply of Dex in sufficient quantities as and when needed, our business would be harmed because there can be no assurance that we will be able to identify or enter into agreements with alternative suppliers on a timely basis on acceptable terms, if at all. An interruption in our ability to sell our products to customers could occur if we encounter delays or difficulties in securing Dex, or if the quantity or quality supplied does not meet our specifications, or if we cannot then obtain an acceptable substitute. If any of these events occur, our business and operating results could be harmed. Our specified minimum annual payment could adversely affect our cash flows, such as in times when we have sufficient inventory and would otherwise be able to use our cash for other purposes.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or similar foreign requirements. Drug manufacturing facilities are subject to inspection before the FDA or foreign regulatory authorities will issue an approval to market a new drug product, and ARx, the Patheon pharma services division of Thermo Fisher Scientific Inc., and any other manufacturers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that we may use must adhere to the cGMP or similar foreign regulations prescribed by the FDA or foreign regulatory authorities.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As such, these third-party manufacturers will be required to comply with cGMPs, and other applicable laws and regulations. We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ARx, the Patheon pharma services division of Thermo Fisher Scientific Inc., and/or our other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LLC, we, ARx, the Patheon pharma services division of Thermo Fisher Scientific Inc., or our other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Moreover, as a result of the COVID-19 pandemic, third-party manufacturers have been and may in the future be affected, which could disrupt their activities and, as a result, we could face difficulty sourcing key components necessary to produce supply of our commercial product and product candidates, which may negatively affect our preclinical and clinical development activities.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or third-party manufacturers on whom we rely, including ARx, may be unable to successfully scale-up manufacturing of our product and product candidates in sufficient quality and quantity, which would delay or prevent us from developing our product candidates and commercializing any approved products.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order to conduct clinical trials of our product candidates and commercialize any approved product candidates, we, or our manufacturers, including ARx, and the Patheon pharma services division of Thermo Fisher Scientific Inc., will need to manufacture them in large quantities. We, or our manufacturers, may be unable to successfully increase the manufacturing capacity for any of our approved products or product candidates in a timely or cost-effective manner, or at all. In addition, quality issues may arise during scale-up activities. If we, or any of our manufacturers, are unable to successfully scale up the manufacture of our approved products or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approved products, or to do so on commercially reasonable terms, we may not be able to develop and commercialize our approved products or product candidates successfully.</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Our failure to find third-party collaborators to assist or share in the costs of product development could materially harm our business, financial condition, and results of operations.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Our strategy for the development and commercialization of our proprietary products and product candidates may include the formation of collaborative arrangements with third parties. Collaborators have significant discretion in determining the efforts and resources they apply and may not perform their obligations as expected. Potential third-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party collaborators include biopharmaceutical, pharmaceutical and biotechnology companies, academic institutions and other entities. Third-party collaborators may assist us in:</w:t>
      </w:r>
    </w:p>
    <w:tbl>
      <w:tblPr>
        <w:tblW w:w="6741" w:type="dxa"/>
        <w:jc w:val="left"/>
        <w:tblInd w:w="0" w:type="dxa"/>
        <w:tblCellMar>
          <w:top w:w="28" w:type="dxa"/>
          <w:left w:w="28" w:type="dxa"/>
          <w:bottom w:w="28" w:type="dxa"/>
          <w:right w:w="28" w:type="dxa"/>
        </w:tblCellMar>
      </w:tblPr>
      <w:tblGrid>
        <w:gridCol w:w="124"/>
        <w:gridCol w:w="256"/>
        <w:gridCol w:w="63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funding research, preclinical development, clinical trials and manufacturing;</w:t>
            </w:r>
          </w:p>
        </w:tc>
      </w:tr>
    </w:tbl>
    <w:tbl>
      <w:tblPr>
        <w:tblW w:w="4476" w:type="dxa"/>
        <w:jc w:val="left"/>
        <w:tblInd w:w="0" w:type="dxa"/>
        <w:tblCellMar>
          <w:top w:w="28" w:type="dxa"/>
          <w:left w:w="28" w:type="dxa"/>
          <w:bottom w:w="28" w:type="dxa"/>
          <w:right w:w="28" w:type="dxa"/>
        </w:tblCellMar>
      </w:tblPr>
      <w:tblGrid>
        <w:gridCol w:w="124"/>
        <w:gridCol w:w="256"/>
        <w:gridCol w:w="40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seeking and obtaining regulatory approvals; and</w:t>
            </w:r>
          </w:p>
        </w:tc>
      </w:tr>
    </w:tbl>
    <w:tbl>
      <w:tblPr>
        <w:tblW w:w="5511" w:type="dxa"/>
        <w:jc w:val="left"/>
        <w:tblInd w:w="0" w:type="dxa"/>
        <w:tblCellMar>
          <w:top w:w="28" w:type="dxa"/>
          <w:left w:w="28" w:type="dxa"/>
          <w:bottom w:w="28" w:type="dxa"/>
          <w:right w:w="28" w:type="dxa"/>
        </w:tblCellMar>
      </w:tblPr>
      <w:tblGrid>
        <w:gridCol w:w="124"/>
        <w:gridCol w:w="256"/>
        <w:gridCol w:w="51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commercializing IGALMI or product candidates.</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If we are not able to establish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collaborations could materially harm our business, financial condition and results of operations.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have relied upon and plan to continue to rely upon third-party medical institutions, clinical investigators, contract laboratories and other third-party CROs to monitor and manage data for our ongoing preclinical and clinical programs. We rely on these parties for execution of our preclinical and clinical trials,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member states of the European Economic Area (“EEA”) and comparable foreign regulatory authorities for all of our products in clinical development.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Regulatory authorities enforce these GCPs through periodic inspections of trial sponsors, principal investigators and trial sites. If we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GCP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The COVID-19 pandemic or other pandemics, epidemics or outbreaks of an infectious disease may materially and adversely impact our business, including our preclinical studies and clinical trials.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As a result of the COVID-19 pandemic, outbreaks from variants of COVID-19, or other pandemics, epidemics or outbreaks of infectious disease, we may experience disruptions that could severely impact our business, preclinical studies and clinical trials, including:</w:t>
      </w:r>
    </w:p>
    <w:tbl>
      <w:tblPr>
        <w:tblW w:w="5586" w:type="dxa"/>
        <w:jc w:val="left"/>
        <w:tblInd w:w="0" w:type="dxa"/>
        <w:tblCellMar>
          <w:top w:w="28" w:type="dxa"/>
          <w:left w:w="28" w:type="dxa"/>
          <w:bottom w:w="28" w:type="dxa"/>
          <w:right w:w="28" w:type="dxa"/>
        </w:tblCellMar>
      </w:tblPr>
      <w:tblGrid>
        <w:gridCol w:w="124"/>
        <w:gridCol w:w="256"/>
        <w:gridCol w:w="52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difficulties in enrolling patients in our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difficulties in clinical site initiation, including difficulties in recruiting clinical site investigators and clinical site staff;</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health care resources away from the conduct of clinical trials, including the diversion of hospitals serving as our clinical trial sites and hospital staff supporting the conduct of our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 of key clinical trial activities, such as clinical trial site data monitoring, due to limitations on travel imposed or recommended by governments, employers and others or interruption of clinical trial subject visits and study procedures, which may impact the integrity of subject data and clinical study endpoints;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 or delays in the operations of the FDA or other regulatory authorities, which may impact review and approval timelines;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 of, or delays in receiving, supplies of our product candidates from our contract manufacturing organizations due to staffing shortages, production slowdowns or stoppages and disruptions in delivery systems;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in preclinical studies due to restricted or limited operations resulting from restrictions on our on-site activities;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employee resources that would otherwise be focused on the conduct of our preclinical studies and clinical trials, including because of sickness of employees or their families or the desire of employees to avoid contact with large groups of people;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impacts from prolonged remote work arrangements, such as strains on our business continuity plans, cybersecurity risks, and inability of certain employees to perform their work remotely; and</w:t>
            </w:r>
          </w:p>
        </w:tc>
      </w:tr>
    </w:tbl>
    <w:tbl>
      <w:tblPr>
        <w:tblW w:w="6171" w:type="dxa"/>
        <w:jc w:val="left"/>
        <w:tblInd w:w="0" w:type="dxa"/>
        <w:tblCellMar>
          <w:top w:w="28" w:type="dxa"/>
          <w:left w:w="28" w:type="dxa"/>
          <w:bottom w:w="28" w:type="dxa"/>
          <w:right w:w="28" w:type="dxa"/>
        </w:tblCellMar>
      </w:tblPr>
      <w:tblGrid>
        <w:gridCol w:w="124"/>
        <w:gridCol w:w="256"/>
        <w:gridCol w:w="57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 or delays to our sourced discovery and clinical activities.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If we or any of the third parties with whom we engage were to experience shutdowns or other business disruptions from the COVID-19 pandemic or other pandemics, epidemics or outbreaks of infectious disease, our ability to conduct our business in the manner and on the timelines presently planned could be materially and negatively impacted.</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will need to increase the size of our organization and the scope of our outside vendor relationships, and we may experience difficulties in managing growth.</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addition to our employees, we have access to certain of BioXcel LLC’s employees and resources through the various agreements we have with BioXcel LLC. We have been expanding our management team to include an operational ramp-up of additional technical staff required to achieve our business objectives. We will need to continue to expand our managerial, commercial, operational, technical, and scientific, financial, and other resources to manage our operations and clinical trials, continue our research and development activities, and commercialize IGALMI and any approved product candidates. Our management and scientific personnel, systems and facilities currently in place may not be adequate to support our future growth.</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need to effectively manage our operations, growth and various projects requires that we: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our clinical trials effectively, including our planned clinical trials of our current, and any future, product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our internal development efforts effectively while carrying out our contractual obligations to licensors, contractors and other third parties;</w:t>
            </w:r>
          </w:p>
        </w:tc>
      </w:tr>
    </w:tbl>
    <w:tbl>
      <w:tblPr>
        <w:tblW w:w="4341" w:type="dxa"/>
        <w:jc w:val="left"/>
        <w:tblInd w:w="0" w:type="dxa"/>
        <w:tblCellMar>
          <w:top w:w="28" w:type="dxa"/>
          <w:left w:w="28" w:type="dxa"/>
          <w:bottom w:w="28" w:type="dxa"/>
          <w:right w:w="28" w:type="dxa"/>
        </w:tblCellMar>
      </w:tblPr>
      <w:tblGrid>
        <w:gridCol w:w="124"/>
        <w:gridCol w:w="256"/>
        <w:gridCol w:w="39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our commercial operations effectively;</w:t>
            </w:r>
          </w:p>
        </w:tc>
      </w:tr>
    </w:tbl>
    <w:tbl>
      <w:tblPr>
        <w:tblW w:w="9906" w:type="dxa"/>
        <w:jc w:val="left"/>
        <w:tblInd w:w="0" w:type="dxa"/>
        <w:tblCellMar>
          <w:top w:w="28" w:type="dxa"/>
          <w:left w:w="28" w:type="dxa"/>
          <w:bottom w:w="28" w:type="dxa"/>
          <w:right w:w="28" w:type="dxa"/>
        </w:tblCellMar>
      </w:tblPr>
      <w:tblGrid>
        <w:gridCol w:w="124"/>
        <w:gridCol w:w="256"/>
        <w:gridCol w:w="9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5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improve our operational, financial and management controls and reporting systems and procedures; and</w:t>
            </w:r>
          </w:p>
        </w:tc>
      </w:tr>
    </w:tbl>
    <w:tbl>
      <w:tblPr>
        <w:tblW w:w="4221" w:type="dxa"/>
        <w:jc w:val="left"/>
        <w:tblInd w:w="0" w:type="dxa"/>
        <w:tblCellMar>
          <w:top w:w="28" w:type="dxa"/>
          <w:left w:w="28" w:type="dxa"/>
          <w:bottom w:w="28" w:type="dxa"/>
          <w:right w:w="28" w:type="dxa"/>
        </w:tblCellMar>
      </w:tblPr>
      <w:tblGrid>
        <w:gridCol w:w="124"/>
        <w:gridCol w:w="256"/>
        <w:gridCol w:w="38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and retain enough talented employees.</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depend on our senior management team, and the loss of one or more of our executive officers or key employees or an inability to attract and retain highly skilled employees could adversely affect our business.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Our success depends largely upon the continued services of our key executive officers, Vimal Mehta, our Chief Executive Officer, President and a member of our Board, as well as the other principal members of our management, scientific, clinical teams and commercial readiness teams. We do not maintain “key person” insurance for any of these executive officers or any of our other key employees. We also rely on our leadership team in the areas of research and development, marketing, services and selling, general and administrative functions. We have been relying on our commercial readiness team in connection with the commercialization of IGALMI. From time to time, there may be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To continue to execute our growth strategy, we also must attract and retain highly skilled personnel. We might not be successful in maintaining our unique culture and continuing to attract and retain qualified personnel. We have, from time to time, had difficulty hiring and retaining highly skilled personnel with appropriate qualifications, and we have experienced increased costs to recruit such personnel. We expect to experience such difficulties in the future. The pool of qualified personnel with experience working within the biopharmaceutical and biotechnology market is limited overall. In addition, many of the companies with which we compete for experienced personnel have greater resources than we have.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the fair value of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may acquire other companies or technologies, which could divert our management’s attention, result in dilution to our stockholders and otherwise disrupt our operations and adversely affect our operating results.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tbl>
      <w:tblPr>
        <w:tblW w:w="8091" w:type="dxa"/>
        <w:jc w:val="left"/>
        <w:tblInd w:w="0" w:type="dxa"/>
        <w:tblCellMar>
          <w:top w:w="28" w:type="dxa"/>
          <w:left w:w="28" w:type="dxa"/>
          <w:bottom w:w="28" w:type="dxa"/>
          <w:right w:w="28" w:type="dxa"/>
        </w:tblCellMar>
      </w:tblPr>
      <w:tblGrid>
        <w:gridCol w:w="124"/>
        <w:gridCol w:w="256"/>
        <w:gridCol w:w="77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integrate or benefit from acquired technologies or services in a profitable manner;</w:t>
            </w:r>
          </w:p>
        </w:tc>
      </w:tr>
    </w:tbl>
    <w:tbl>
      <w:tblPr>
        <w:tblW w:w="5751" w:type="dxa"/>
        <w:jc w:val="left"/>
        <w:tblInd w:w="0" w:type="dxa"/>
        <w:tblCellMar>
          <w:top w:w="28" w:type="dxa"/>
          <w:left w:w="28" w:type="dxa"/>
          <w:bottom w:w="28" w:type="dxa"/>
          <w:right w:w="28" w:type="dxa"/>
        </w:tblCellMar>
      </w:tblPr>
      <w:tblGrid>
        <w:gridCol w:w="124"/>
        <w:gridCol w:w="256"/>
        <w:gridCol w:w="53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costs or liabilities associated with the acquisition;</w:t>
            </w:r>
          </w:p>
        </w:tc>
      </w:tr>
    </w:tbl>
    <w:tbl>
      <w:tblPr>
        <w:tblW w:w="8361" w:type="dxa"/>
        <w:jc w:val="left"/>
        <w:tblInd w:w="0" w:type="dxa"/>
        <w:tblCellMar>
          <w:top w:w="28" w:type="dxa"/>
          <w:left w:w="28" w:type="dxa"/>
          <w:bottom w:w="28" w:type="dxa"/>
          <w:right w:w="28" w:type="dxa"/>
        </w:tblCellMar>
      </w:tblPr>
      <w:tblGrid>
        <w:gridCol w:w="124"/>
        <w:gridCol w:w="256"/>
        <w:gridCol w:w="79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integrating the accounting systems, operations and personnel of the acquired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and additional expenses associated with supporting legacy products and hosting infrastructure of the acquired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converting the customers of the acquired business onto our platform and contract terms, including disparities in the revenue, licensing, support or professional services model of the acquired company;</w:t>
            </w:r>
          </w:p>
        </w:tc>
      </w:tr>
    </w:tbl>
    <w:tbl>
      <w:tblPr>
        <w:tblW w:w="5946" w:type="dxa"/>
        <w:jc w:val="left"/>
        <w:tblInd w:w="0" w:type="dxa"/>
        <w:tblCellMar>
          <w:top w:w="28" w:type="dxa"/>
          <w:left w:w="28" w:type="dxa"/>
          <w:bottom w:w="28" w:type="dxa"/>
          <w:right w:w="28" w:type="dxa"/>
        </w:tblCellMar>
      </w:tblPr>
      <w:tblGrid>
        <w:gridCol w:w="124"/>
        <w:gridCol w:w="256"/>
        <w:gridCol w:w="55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management’s attention from other business concerns;</w:t>
            </w:r>
          </w:p>
        </w:tc>
      </w:tr>
    </w:tbl>
    <w:tbl>
      <w:tblPr>
        <w:tblW w:w="10176" w:type="dxa"/>
        <w:jc w:val="left"/>
        <w:tblInd w:w="0" w:type="dxa"/>
        <w:tblCellMar>
          <w:top w:w="28" w:type="dxa"/>
          <w:left w:w="28" w:type="dxa"/>
          <w:bottom w:w="28" w:type="dxa"/>
          <w:right w:w="28" w:type="dxa"/>
        </w:tblCellMar>
      </w:tblPr>
      <w:tblGrid>
        <w:gridCol w:w="124"/>
        <w:gridCol w:w="256"/>
        <w:gridCol w:w="97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7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effects to our existing business relationships with business partners and customers as a result of the acquisition;</w:t>
            </w:r>
          </w:p>
        </w:tc>
      </w:tr>
    </w:tbl>
    <w:tbl>
      <w:tblPr>
        <w:tblW w:w="3456" w:type="dxa"/>
        <w:jc w:val="left"/>
        <w:tblInd w:w="0" w:type="dxa"/>
        <w:tblCellMar>
          <w:top w:w="28" w:type="dxa"/>
          <w:left w:w="28" w:type="dxa"/>
          <w:bottom w:w="28" w:type="dxa"/>
          <w:right w:w="28" w:type="dxa"/>
        </w:tblCellMar>
      </w:tblPr>
      <w:tblGrid>
        <w:gridCol w:w="124"/>
        <w:gridCol w:w="256"/>
        <w:gridCol w:w="30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loss of key employees;</w:t>
            </w:r>
          </w:p>
        </w:tc>
      </w:tr>
    </w:tbl>
    <w:tbl>
      <w:tblPr>
        <w:tblW w:w="5856" w:type="dxa"/>
        <w:jc w:val="left"/>
        <w:tblInd w:w="0" w:type="dxa"/>
        <w:tblCellMar>
          <w:top w:w="28" w:type="dxa"/>
          <w:left w:w="28" w:type="dxa"/>
          <w:bottom w:w="28" w:type="dxa"/>
          <w:right w:w="28" w:type="dxa"/>
        </w:tblCellMar>
      </w:tblPr>
      <w:tblGrid>
        <w:gridCol w:w="124"/>
        <w:gridCol w:w="256"/>
        <w:gridCol w:w="54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resources that are needed in other parts of our business; and</w:t>
            </w:r>
          </w:p>
        </w:tc>
      </w:tr>
    </w:tbl>
    <w:tbl>
      <w:tblPr>
        <w:tblW w:w="6966" w:type="dxa"/>
        <w:jc w:val="left"/>
        <w:tblInd w:w="0" w:type="dxa"/>
        <w:tblCellMar>
          <w:top w:w="28" w:type="dxa"/>
          <w:left w:w="28" w:type="dxa"/>
          <w:bottom w:w="28" w:type="dxa"/>
          <w:right w:w="28" w:type="dxa"/>
        </w:tblCellMar>
      </w:tblPr>
      <w:tblGrid>
        <w:gridCol w:w="124"/>
        <w:gridCol w:w="256"/>
        <w:gridCol w:w="65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substantial portions of our available cash to consummate the acquisition.</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Our employees may engage in misconduct or other improper activities, including noncompliance with regulatory standards and requirements and insider trading.</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 care fraud and abuse laws and regulations, or to report financial information or data accurately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during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Business interruptions could adversely affect future operations, revenues, and financial conditions, and may increase our costs and expenses.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 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Likewise, we will rely on third parties, including ARx, to manufacture IGALMI and our product candidates and to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Data breaches or cyber-attacks could disrupt our business operations and information technology systems or those of third parties on which we rely, adversely impact our financial results, or result in the loss or exposure of confidential or sensitive product candidate, clinical trial, employee, or Company information.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Our information technology systems and those of third parties on which we rely have been and may in the future be attacked or breached by individuals or organizations intending to obtain sensitive data regarding our business, our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product candidates, clinical trials or other third parties with whom we do business; harm or disrupt our business operations; or otherwise misappropriate information or Company funds. A security compromise of our information technology systems or business operations, or those of third parties on which we rely, could occur through a variety of methods such as from cyber-attacks and cyber-intrusions over the Internet, malware, computer viruses, email spoofing, attachments to e-mails, persons inside or outside our organization or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 We use our information technology systems to protect confidential or sensitive product candidate, clinical trial, employee and Company information.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Any attack on such systems that results in disruptions to our operations, or the unauthorized release or loss of such information, could have a material adverse effect on our business reputation, increase our costs and expose us to material legal claims and liability. If the unauthorized release or loss of product candidate, clinical trial, employee or other confidential or sensitive data were to occur, our operations and financial results and our share price could be adversely affected.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Furthermore, the security measures employed by third-party service providers may prove to be ineffective at preventing breaches of their systems. Although we maintain insurance for our business, the coverage under our policies may not be adequate to compensate us for all losses that may occur.</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Additionally, our use of AI and machine learning may be subject to laws and evolving regulations regarding the use of AI or machine learning, controlling for data bias, and anti-discrimination.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If we are determined to act as a covered entity or business associate under HIPAA and be directly regulated under HIPAA, any person acting on our behalf may be prosecuted under HIPAA’s criminal provisions either directly or under aiding-and-abetting or conspiracy principles. Consequently, depending on the facts and circumstances, we could face substantial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criminal penalties if we knowingly receive individually identifiable health information from a HIPAA-covered healthcare provider or research institution that has not satisfied HIPAA’s requirements for disclosure of individually identifiable health information.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The CCPA may increase our compliance costs and potential liability, and many similar laws have been proposed at the federal level and in other states in the U.S. Further, the California Privacy Rights Act (“CPRA”) passed in California, generally went into effect in January 2023, and significantly amends CCPA, imposing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If we are subject to or affected by HIPAA, the CCPA, the CPRA or other domestic privacy and data protection laws, any liability from failure to comply with the requirements of these laws could adversely affect our financial condition.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Europe, the General Data Protection Regulation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In July 2020, the Court of Justice of the EU (“CJEU”) limited how organizations could lawfully transfer personal data from the EU/EEA to the U.S. by invalidating the Privacy Shield for purposes of international transfers and imposing further restrictions on the use of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2020 have taken a restrictive approach to international data transfers.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Further, from January 1, 2021, companies have had to comply with the GDPR and also the UK GDPR, which, together with the amended UK Data Protection Act 2018, retains the GDPR in UK national law. The UK GDPR mirrors the fines under the GDPR (i.e., fines up to the greater of £17,500 or 4% of global turnover).</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Increased scrutiny of and evolving expectations for environmental, social and governance (“ESG”) initiatives may impose additional costs or otherwise adversely impact our business.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There has been an increased focus from investors, capital providers, shareholder advocacy groups, other market participants, customers, and other stakeholder groups regarding companies’ ESG initiatives. 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Additionally, some investors may use third-party or proprietary ESG ratings to guide their investment strategies and, in some cases, may choose not to invest in us if they believe our ESG practices are inadequate. The criteria by which companies’ ESG practices are assessed are evolving, which could result in greater expectations of us and cause us to undertake costly initiatives to satisfy such new criteria. Alternatively, if we elect not to or are unable to satisfy new criteria or do not meet the criteria, some investors may conclude that our policies with respect to ESG are inadequate and choose not to invest in us.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If our ESG practices do not meet evolving investor or other stakeholder expectations and our standards, reputation, ability to attract or retain employees and desirability as an investment or business partner could be negatively impacted. Similarly, our failure or perceived failure to adequately pursue or fulfill any ESG goals and objectives or to satisfy various reporting standards, if any, could expose us to additional regulatory, social or other scrutiny, the imposition of unexpected costs, or damage to our reputation, which in turn could have a material adverse effect on our business and could cause the market value of our common stock to decline.</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Our failure to successfully acquire, develop and market additional product candidates or approved drug products could impair our ability to grow.</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As part of our growth strategy, we may evaluate, acquire, license, develop and/or market third-party products or product candidates and technologies.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addition, future acquisitions may entail numerous operational and financial risks, including:</w:t>
      </w:r>
    </w:p>
    <w:tbl>
      <w:tblPr>
        <w:tblW w:w="3171" w:type="dxa"/>
        <w:jc w:val="left"/>
        <w:tblInd w:w="0" w:type="dxa"/>
        <w:tblCellMar>
          <w:top w:w="28" w:type="dxa"/>
          <w:left w:w="28" w:type="dxa"/>
          <w:bottom w:w="28" w:type="dxa"/>
          <w:right w:w="28" w:type="dxa"/>
        </w:tblCellMar>
      </w:tblPr>
      <w:tblGrid>
        <w:gridCol w:w="124"/>
        <w:gridCol w:w="256"/>
        <w:gridCol w:w="27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7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unknown liabilities;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of our business and diversion of our management’s and technical personnel’s time and attention to develop acquired products or technologies;</w:t>
            </w:r>
          </w:p>
        </w:tc>
      </w:tr>
    </w:tbl>
    <w:tbl>
      <w:tblPr>
        <w:tblW w:w="7581" w:type="dxa"/>
        <w:jc w:val="left"/>
        <w:tblInd w:w="0" w:type="dxa"/>
        <w:tblCellMar>
          <w:top w:w="28" w:type="dxa"/>
          <w:left w:w="28" w:type="dxa"/>
          <w:bottom w:w="28" w:type="dxa"/>
          <w:right w:w="28" w:type="dxa"/>
        </w:tblCellMar>
      </w:tblPr>
      <w:tblGrid>
        <w:gridCol w:w="124"/>
        <w:gridCol w:w="256"/>
        <w:gridCol w:w="72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incurrence of substantial debt or dilutive issuances of securities to pay for acquisitions;</w:t>
            </w:r>
          </w:p>
        </w:tc>
      </w:tr>
    </w:tbl>
    <w:tbl>
      <w:tblPr>
        <w:tblW w:w="5001" w:type="dxa"/>
        <w:jc w:val="left"/>
        <w:tblInd w:w="0" w:type="dxa"/>
        <w:tblCellMar>
          <w:top w:w="28" w:type="dxa"/>
          <w:left w:w="28" w:type="dxa"/>
          <w:bottom w:w="28" w:type="dxa"/>
          <w:right w:w="28" w:type="dxa"/>
        </w:tblCellMar>
      </w:tblPr>
      <w:tblGrid>
        <w:gridCol w:w="124"/>
        <w:gridCol w:w="256"/>
        <w:gridCol w:w="46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than expected acquisition and integration costs;</w:t>
            </w:r>
          </w:p>
        </w:tc>
      </w:tr>
    </w:tbl>
    <w:tbl>
      <w:tblPr>
        <w:tblW w:w="3216" w:type="dxa"/>
        <w:jc w:val="left"/>
        <w:tblInd w:w="0" w:type="dxa"/>
        <w:tblCellMar>
          <w:top w:w="28" w:type="dxa"/>
          <w:left w:w="28" w:type="dxa"/>
          <w:bottom w:w="28" w:type="dxa"/>
          <w:right w:w="28" w:type="dxa"/>
        </w:tblCellMar>
      </w:tblPr>
      <w:tblGrid>
        <w:gridCol w:w="124"/>
        <w:gridCol w:w="256"/>
        <w:gridCol w:w="28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amortization expenses;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and cost in combining the operations and personnel of any acquired businesses with our operations and personnel;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relationships with key suppliers or customers of any acquired businesses due to changes in management and ownership; 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5466" w:type="dxa"/>
        <w:jc w:val="left"/>
        <w:tblInd w:w="0" w:type="dxa"/>
        <w:tblCellMar>
          <w:top w:w="28" w:type="dxa"/>
          <w:left w:w="28" w:type="dxa"/>
          <w:bottom w:w="28" w:type="dxa"/>
          <w:right w:w="28" w:type="dxa"/>
        </w:tblCellMar>
      </w:tblPr>
      <w:tblGrid>
        <w:gridCol w:w="124"/>
        <w:gridCol w:w="256"/>
        <w:gridCol w:w="50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retain key employees of any acquired businesses.</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 </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Our ability to use our net operating losses and tax credits to offset future taxable income and income tax liabilities may be limited.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As of December 31, 2022, the Company had federal net operating loss carryforwards (“NOLs”) of approximately $222.4 million and state NOLs of approximately $214.5 million. If not utilized, the federal and state NOLs, which are subject to expiration, will begin to expire in 2037. Federal NOLs generated in taxable years beginning after December 31, 2017 may be carried forward indefinitely but may only be used to offset 80% of our taxable income in future taxable years beginning after December 31, 2020. As of December 31, 2022, we also had approximately $10.0 million of federal orphan drug credits and research and development credits, or tax credits, which will begin to expire in 2037 if not utilized. The utilization of such NOLs and tax credits and realization of tax benefits in future years depends upon our having taxable income and income tax liabilities.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addition, in general, under Sections 382 and 383 of the Internal Revenue Code of 1986, as amended, a corporation that undergoes an “ownership change” is subject to limitations on its ability to utilize its pre-ownership change NOLs and tax credits to offset future taxable income or income tax liabilities. For these purposes, an ownership change generally occurs where the aggregate change in stock ownership, of one or more stockholders or groups of stockholders owning at least 5% of a corporation's stock, exceeds 50 percentage points over a rolling three-year period. We may have experienced ownership changes in the past, and future changes in our stock ownership, many of which are outside of our control, could result in ownership changes in the future. Our state NOLs or tax credits may also be impaired under state law. Accordingly, even if we attain profitability, we may not be able to utilize a material portion of our NOLs or tax credits. We have recorded a full valuation allowance related to our NOLs and other deferred tax assets due to the uncertainty of the ultimate realization of the future benefits of those assets.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Our commercial success will depend in part on obtaining and maintaining patent protection and trade secret protection of our current and future approved products and product candidates, the processes used to manufacture them and the methods for using them, as well as successfully defending these patents against third-party challenges. We are the owner of record of patents and patent applications pending in the U.S. and in certain foreign jurisdictions. Patents issued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U.S. or in foreign jurisdictions outside of the U.S. Changes in either the patent laws or interpretations of patent laws in the U.S. and other countries may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Others have filed, and in the future are likely to file, patent applications covering products and technologies that are similar, identical or competitive to ours or important to our business. We cannot be certain that any patent application owned by a third-party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degree of future protection for our proprietary rights is uncertain because legal means afford only limited protection and may not adequately protect our rights or permit us to gain or keep our competitive advantage. For example: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be able to make compounds that are similar to our product candidates, but that are not covered by the claims of our patents;</w:t>
            </w:r>
          </w:p>
        </w:tc>
      </w:tr>
    </w:tbl>
    <w:tbl>
      <w:tblPr>
        <w:tblW w:w="8676" w:type="dxa"/>
        <w:jc w:val="left"/>
        <w:tblInd w:w="0" w:type="dxa"/>
        <w:tblCellMar>
          <w:top w:w="28" w:type="dxa"/>
          <w:left w:w="28" w:type="dxa"/>
          <w:bottom w:w="28" w:type="dxa"/>
          <w:right w:w="28" w:type="dxa"/>
        </w:tblCellMar>
      </w:tblPr>
      <w:tblGrid>
        <w:gridCol w:w="124"/>
        <w:gridCol w:w="256"/>
        <w:gridCol w:w="82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might not have been the first to make the inventions covered by our pending patent applications;</w:t>
            </w:r>
          </w:p>
        </w:tc>
      </w:tr>
    </w:tbl>
    <w:tbl>
      <w:tblPr>
        <w:tblW w:w="6966" w:type="dxa"/>
        <w:jc w:val="left"/>
        <w:tblInd w:w="0" w:type="dxa"/>
        <w:tblCellMar>
          <w:top w:w="28" w:type="dxa"/>
          <w:left w:w="28" w:type="dxa"/>
          <w:bottom w:w="28" w:type="dxa"/>
          <w:right w:w="28" w:type="dxa"/>
        </w:tblCellMar>
      </w:tblPr>
      <w:tblGrid>
        <w:gridCol w:w="124"/>
        <w:gridCol w:w="256"/>
        <w:gridCol w:w="65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might not have been the first to file patent applications for these inventions;</w:t>
            </w:r>
          </w:p>
        </w:tc>
      </w:tr>
    </w:tbl>
    <w:tbl>
      <w:tblPr>
        <w:tblW w:w="5781" w:type="dxa"/>
        <w:jc w:val="left"/>
        <w:tblInd w:w="0" w:type="dxa"/>
        <w:tblCellMar>
          <w:top w:w="28" w:type="dxa"/>
          <w:left w:w="28" w:type="dxa"/>
          <w:bottom w:w="28" w:type="dxa"/>
          <w:right w:w="28" w:type="dxa"/>
        </w:tblCellMar>
      </w:tblPr>
      <w:tblGrid>
        <w:gridCol w:w="124"/>
        <w:gridCol w:w="256"/>
        <w:gridCol w:w="54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pending patent applications may not result in issued patents;</w:t>
            </w:r>
          </w:p>
        </w:tc>
      </w:tr>
    </w:tbl>
    <w:tbl>
      <w:tblPr>
        <w:tblW w:w="10041" w:type="dxa"/>
        <w:jc w:val="left"/>
        <w:tblInd w:w="0" w:type="dxa"/>
        <w:tblCellMar>
          <w:top w:w="28" w:type="dxa"/>
          <w:left w:w="28" w:type="dxa"/>
          <w:bottom w:w="28" w:type="dxa"/>
          <w:right w:w="28" w:type="dxa"/>
        </w:tblCellMar>
      </w:tblPr>
      <w:tblGrid>
        <w:gridCol w:w="124"/>
        <w:gridCol w:w="256"/>
        <w:gridCol w:w="96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claims of our issued patents or patent applications when issued may not cover our products or product candidates;</w:t>
            </w:r>
          </w:p>
        </w:tc>
      </w:tr>
    </w:tbl>
    <w:tbl>
      <w:tblPr>
        <w:tblW w:w="7056" w:type="dxa"/>
        <w:jc w:val="left"/>
        <w:tblInd w:w="0" w:type="dxa"/>
        <w:tblCellMar>
          <w:top w:w="28" w:type="dxa"/>
          <w:left w:w="28" w:type="dxa"/>
          <w:bottom w:w="28" w:type="dxa"/>
          <w:right w:w="28" w:type="dxa"/>
        </w:tblCellMar>
      </w:tblPr>
      <w:tblGrid>
        <w:gridCol w:w="124"/>
        <w:gridCol w:w="256"/>
        <w:gridCol w:w="66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patents that we obtain may not provide us with any competitive advantages;</w:t>
            </w:r>
          </w:p>
        </w:tc>
      </w:tr>
    </w:tbl>
    <w:tbl>
      <w:tblPr>
        <w:tblW w:w="9291" w:type="dxa"/>
        <w:jc w:val="left"/>
        <w:tblInd w:w="0" w:type="dxa"/>
        <w:tblCellMar>
          <w:top w:w="28" w:type="dxa"/>
          <w:left w:w="28" w:type="dxa"/>
          <w:bottom w:w="28" w:type="dxa"/>
          <w:right w:w="28" w:type="dxa"/>
        </w:tblCellMar>
      </w:tblPr>
      <w:tblGrid>
        <w:gridCol w:w="124"/>
        <w:gridCol w:w="256"/>
        <w:gridCol w:w="89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9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granted patents may be held invalid or unenforceable as a result of legal challenges by third parties; and</w:t>
            </w:r>
          </w:p>
        </w:tc>
      </w:tr>
    </w:tbl>
    <w:tbl>
      <w:tblPr>
        <w:tblW w:w="5736" w:type="dxa"/>
        <w:jc w:val="left"/>
        <w:tblInd w:w="0" w:type="dxa"/>
        <w:tblCellMar>
          <w:top w:w="28" w:type="dxa"/>
          <w:left w:w="28" w:type="dxa"/>
          <w:bottom w:w="28" w:type="dxa"/>
          <w:right w:w="28" w:type="dxa"/>
        </w:tblCellMar>
      </w:tblPr>
      <w:tblGrid>
        <w:gridCol w:w="124"/>
        <w:gridCol w:w="256"/>
        <w:gridCol w:w="53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of others may have an adverse effect on our business.</w:t>
            </w:r>
          </w:p>
        </w:tc>
      </w:tr>
    </w:tbl>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 xml:space="preserve">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various procedural, document submission,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addition, disputes may arise regarding intellectual property subject to a license agreement, including:</w:t>
      </w:r>
    </w:p>
    <w:tbl>
      <w:tblPr>
        <w:tblW w:w="8151" w:type="dxa"/>
        <w:jc w:val="left"/>
        <w:tblInd w:w="0" w:type="dxa"/>
        <w:tblCellMar>
          <w:top w:w="28" w:type="dxa"/>
          <w:left w:w="28" w:type="dxa"/>
          <w:bottom w:w="28" w:type="dxa"/>
          <w:right w:w="28" w:type="dxa"/>
        </w:tblCellMar>
      </w:tblPr>
      <w:tblGrid>
        <w:gridCol w:w="124"/>
        <w:gridCol w:w="256"/>
        <w:gridCol w:w="77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rights granted under the license agreement and other interpretation-related issues;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our technology and processes infringe on intellectual property of the licensor that is not subject to the licensing agreement;</w:t>
            </w:r>
          </w:p>
        </w:tc>
      </w:tr>
    </w:tbl>
    <w:tbl>
      <w:tblPr>
        <w:tblW w:w="8556" w:type="dxa"/>
        <w:jc w:val="left"/>
        <w:tblInd w:w="0" w:type="dxa"/>
        <w:tblCellMar>
          <w:top w:w="28" w:type="dxa"/>
          <w:left w:w="28" w:type="dxa"/>
          <w:bottom w:w="28" w:type="dxa"/>
          <w:right w:w="28" w:type="dxa"/>
        </w:tblCellMar>
      </w:tblPr>
      <w:tblGrid>
        <w:gridCol w:w="124"/>
        <w:gridCol w:w="256"/>
        <w:gridCol w:w="81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diligence obligations under the license agreement and what activities satisfy those obligations;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third-party expresses interest in an area under a license that we are not pursuing, under the terms of certain of our license agreements, we may be required to sublicense rights in that area to a third-party, and that sublicense could harm our business;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of inventions and know-how resulting from the joint creation or use of intellectual property by our licensors and us.</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If disputes over intellectual property that we have licensed prevent or impair our ability to maintain our current licensing arrangements on acceptable terms, we may be unable to successfully develop and commercialize the affected approved products or product candidates.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may be subject to claims challenging the inventorship or ownership of our patents and other intellectual property.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An NDA submitted under Section 505(b)(2) subjects us to the risk that we may be subject to a patent infringement lawsuit that would delay or prevent the review or approval of our product candidate.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product candidates have been or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Hatch-Waxman Act apply. In accordance with the Hatch-Waxman Act, such NDAs may be required to include paragraph IV certifications, that certify that any patents listed in the FDA’s Orange Book, with respect to any product referenced in the 505(b)(2) application, are invalid, unenforceable or will not be infringed by the manufacture, use or sale of the product that is the subject of the 505(b)(2) NDA.</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certification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may incur substantial costs as a result of litigation or other proceedings relating to patents and other intellectual property rights.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 patents is upheld, the examiner or court will refuse to stop the other party on the ground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Third parties may initiate legal proceedings alleging that we are infringing, misappropriating or otherwise violating their intellectual property rights, which may prevent or delay our product development efforts and stop us from commercializing or increase the costs of commercializing our product candidates.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Our success will depend in part on our ability to operate without infringing, misappropriating or otherwise violating the proprietary rights of third parties. There is considerable patent and other intellectual property litigation in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the pharmaceutical and biotechnology industries. We may become party to, or threatened with, adversarial proceedings or litigation regarding intellectual property rights with respect to our products, or the manufacture or use of our product candidates, including interference proceedings, post grant review, inter partes review, and derivation proceedings before the USPTO and similar proceedings in foreign jurisdictions. 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cannot be certain that others have not filed patent applications for technology covered by our pending applications, or that we were the first to invent the technology, because:</w:t>
      </w:r>
    </w:p>
    <w:tbl>
      <w:tblPr>
        <w:tblW w:w="8151" w:type="dxa"/>
        <w:jc w:val="left"/>
        <w:tblInd w:w="0" w:type="dxa"/>
        <w:tblCellMar>
          <w:top w:w="28" w:type="dxa"/>
          <w:left w:w="28" w:type="dxa"/>
          <w:bottom w:w="28" w:type="dxa"/>
          <w:right w:w="28" w:type="dxa"/>
        </w:tblCellMar>
      </w:tblPr>
      <w:tblGrid>
        <w:gridCol w:w="124"/>
        <w:gridCol w:w="256"/>
        <w:gridCol w:w="77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patent applications in the U.S. may be maintained in secrecy until the patents are issued;</w:t>
            </w:r>
          </w:p>
        </w:tc>
      </w:tr>
    </w:tbl>
    <w:tbl>
      <w:tblPr>
        <w:tblW w:w="8706" w:type="dxa"/>
        <w:jc w:val="left"/>
        <w:tblInd w:w="0" w:type="dxa"/>
        <w:tblCellMar>
          <w:top w:w="28" w:type="dxa"/>
          <w:left w:w="28" w:type="dxa"/>
          <w:bottom w:w="28" w:type="dxa"/>
          <w:right w:w="28" w:type="dxa"/>
        </w:tblCellMar>
      </w:tblPr>
      <w:tblGrid>
        <w:gridCol w:w="124"/>
        <w:gridCol w:w="256"/>
        <w:gridCol w:w="83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applications in the U.S. are typically not published until 18 months after the priority date; and</w:t>
            </w:r>
          </w:p>
        </w:tc>
      </w:tr>
    </w:tbl>
    <w:tbl>
      <w:tblPr>
        <w:tblW w:w="6561" w:type="dxa"/>
        <w:jc w:val="left"/>
        <w:tblInd w:w="0" w:type="dxa"/>
        <w:tblCellMar>
          <w:top w:w="28" w:type="dxa"/>
          <w:left w:w="28" w:type="dxa"/>
          <w:bottom w:w="28" w:type="dxa"/>
          <w:right w:w="28" w:type="dxa"/>
        </w:tblCellMar>
      </w:tblPr>
      <w:tblGrid>
        <w:gridCol w:w="124"/>
        <w:gridCol w:w="256"/>
        <w:gridCol w:w="61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publications in the scientific literature often lag behind actual discoveries.</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 priority to any applications filed prior to the priority dates of our applications, we may have to participate in an interference proceeding declared by the USPTO to determine priority of invention in the U.S.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If we are not able to adequately prevent disclosure of trade secrets and other proprietary information, the value of our technology and products could be significantly diminished.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may be subject to claims that our employees, consultants or independent contractors have wrongfully used or disclosed alleged trade secrets.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Litigation may be necessary to defend against these claims. If we fail in defending any such claims, in addition to paying monetary damages, we could lose valuable intellectual property rights or personnel, which could adversely impact our business. Even if we are successful in defending against these claims, litigation could result in substantial costs and be a distraction to management.</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Our intellectual property may not be sufficient to protect our products from competition, which may negatively affect our business as well as limit our partnership or acquisition appeal.</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BXCL502, BXCL701 and BXCL702,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adversely affected.</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We may elect to sue a third-party, or otherwise make a claim, alleging infringement or other violation of patents, trademarks, trade dress, copyrights, trade secrets, domain names or other intellectual property rights that we either own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or license from BioXcel LLC. If we do not prevail in enforcing our intellectual property rights in this type of litigation, we may be subject to:</w:t>
      </w:r>
    </w:p>
    <w:tbl>
      <w:tblPr>
        <w:tblW w:w="6486" w:type="dxa"/>
        <w:jc w:val="left"/>
        <w:tblInd w:w="0" w:type="dxa"/>
        <w:tblCellMar>
          <w:top w:w="28" w:type="dxa"/>
          <w:left w:w="28" w:type="dxa"/>
          <w:bottom w:w="28" w:type="dxa"/>
          <w:right w:w="28" w:type="dxa"/>
        </w:tblCellMar>
      </w:tblPr>
      <w:tblGrid>
        <w:gridCol w:w="124"/>
        <w:gridCol w:w="256"/>
        <w:gridCol w:w="61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monetary damages related to the legal expenses of the third-party;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facing additional competition that may have a significant adverse effect on our product pricing, market share, business operations, financial condition, and the commercial viability of our products;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 third-party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Intellectual property rights and enforcement may be less extensive in jurisdictions outside of the U.S.; thus, we may not be able to protect our intellectual property and third parties may be able to market competitive products that may use some or all of our intellectual property.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Changes to patent law, including the Leahy-Smith America Invents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LLC, can be defended or will protect us against future intellectual property challenges, particularly as they pertain to changes in patent law and future patent law interpretations.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addition, enforcing and maintaining our intellectual property protection depends on compliance with various procedural, document submission, fee payment and other requirements imposed by the USPTO, courts and foreign government patent agencies, and our patent protection could be reduced or eliminated for non- compliance with these requirements.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Risks Related to Owning our Common Stock</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The price of our common stock may fluctuate substantially.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tbl>
      <w:tblPr>
        <w:tblW w:w="6411" w:type="dxa"/>
        <w:jc w:val="left"/>
        <w:tblInd w:w="0" w:type="dxa"/>
        <w:tblCellMar>
          <w:top w:w="28" w:type="dxa"/>
          <w:left w:w="28" w:type="dxa"/>
          <w:bottom w:w="28" w:type="dxa"/>
          <w:right w:w="28" w:type="dxa"/>
        </w:tblCellMar>
      </w:tblPr>
      <w:tblGrid>
        <w:gridCol w:w="124"/>
        <w:gridCol w:w="256"/>
        <w:gridCol w:w="60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our common stock by our stockholders, executives, and directors;</w:t>
            </w:r>
          </w:p>
        </w:tc>
      </w:tr>
    </w:tbl>
    <w:tbl>
      <w:tblPr>
        <w:tblW w:w="6711" w:type="dxa"/>
        <w:jc w:val="left"/>
        <w:tblInd w:w="0" w:type="dxa"/>
        <w:tblCellMar>
          <w:top w:w="28" w:type="dxa"/>
          <w:left w:w="28" w:type="dxa"/>
          <w:bottom w:w="28" w:type="dxa"/>
          <w:right w:w="28" w:type="dxa"/>
        </w:tblCellMar>
      </w:tblPr>
      <w:tblGrid>
        <w:gridCol w:w="124"/>
        <w:gridCol w:w="256"/>
        <w:gridCol w:w="63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and limitations in trading volumes of our shares of common stock;</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speculative trading in and short sales of our stock, as well as trading phenomena such as the “short squeeze” and “short and distort” schemes;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financings to conduct and complete research and development activities including, but not limited to, our clinical trials, and other business activities;</w:t>
            </w:r>
          </w:p>
        </w:tc>
      </w:tr>
    </w:tbl>
    <w:tbl>
      <w:tblPr>
        <w:tblW w:w="9891" w:type="dxa"/>
        <w:jc w:val="left"/>
        <w:tblInd w:w="0" w:type="dxa"/>
        <w:tblCellMar>
          <w:top w:w="28" w:type="dxa"/>
          <w:left w:w="28" w:type="dxa"/>
          <w:bottom w:w="28" w:type="dxa"/>
          <w:right w:w="28" w:type="dxa"/>
        </w:tblCellMar>
      </w:tblPr>
      <w:tblGrid>
        <w:gridCol w:w="124"/>
        <w:gridCol w:w="256"/>
        <w:gridCol w:w="95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5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delays in the expected recognition of revenue due to lengthy and sometimes unpredictable sales timelines;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success of introductions of new applications and services by us or our competitors or any other change in the competitive dynamics of our industry, including consolidation among competitors, customers or strategic partners;</w:t>
            </w:r>
          </w:p>
        </w:tc>
      </w:tr>
    </w:tbl>
    <w:tbl>
      <w:tblPr>
        <w:tblW w:w="3576" w:type="dxa"/>
        <w:jc w:val="left"/>
        <w:tblInd w:w="0" w:type="dxa"/>
        <w:tblCellMar>
          <w:top w:w="28" w:type="dxa"/>
          <w:left w:w="28" w:type="dxa"/>
          <w:bottom w:w="28" w:type="dxa"/>
          <w:right w:w="28" w:type="dxa"/>
        </w:tblCellMar>
      </w:tblPr>
      <w:tblGrid>
        <w:gridCol w:w="124"/>
        <w:gridCol w:w="256"/>
        <w:gridCol w:w="31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1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network outages or security breaches;</w:t>
            </w:r>
          </w:p>
        </w:tc>
      </w:tr>
    </w:tbl>
    <w:tbl>
      <w:tblPr>
        <w:tblW w:w="3441" w:type="dxa"/>
        <w:jc w:val="left"/>
        <w:tblInd w:w="0" w:type="dxa"/>
        <w:tblCellMar>
          <w:top w:w="28" w:type="dxa"/>
          <w:left w:w="28" w:type="dxa"/>
          <w:bottom w:w="28" w:type="dxa"/>
          <w:right w:w="28" w:type="dxa"/>
        </w:tblCellMar>
      </w:tblPr>
      <w:tblGrid>
        <w:gridCol w:w="124"/>
        <w:gridCol w:w="256"/>
        <w:gridCol w:w="30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w:t>
            </w:r>
          </w:p>
        </w:tc>
      </w:tr>
    </w:tbl>
    <w:tbl>
      <w:tblPr>
        <w:tblW w:w="6216" w:type="dxa"/>
        <w:jc w:val="left"/>
        <w:tblInd w:w="0" w:type="dxa"/>
        <w:tblCellMar>
          <w:top w:w="28" w:type="dxa"/>
          <w:left w:w="28" w:type="dxa"/>
          <w:bottom w:w="28" w:type="dxa"/>
          <w:right w:w="28" w:type="dxa"/>
        </w:tblCellMar>
      </w:tblPr>
      <w:tblGrid>
        <w:gridCol w:w="124"/>
        <w:gridCol w:w="256"/>
        <w:gridCol w:w="58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renewal rates and the timing and terms of customer renewals;</w:t>
            </w:r>
          </w:p>
        </w:tc>
      </w:tr>
    </w:tbl>
    <w:tbl>
      <w:tblPr>
        <w:tblW w:w="9306" w:type="dxa"/>
        <w:jc w:val="left"/>
        <w:tblInd w:w="0" w:type="dxa"/>
        <w:tblCellMar>
          <w:top w:w="28" w:type="dxa"/>
          <w:left w:w="28" w:type="dxa"/>
          <w:bottom w:w="28" w:type="dxa"/>
          <w:right w:w="28" w:type="dxa"/>
        </w:tblCellMar>
      </w:tblPr>
      <w:tblGrid>
        <w:gridCol w:w="124"/>
        <w:gridCol w:w="256"/>
        <w:gridCol w:w="89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9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resources and the necessary personnel to conduct clinical trials on our desired schedule;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enrollment or results of our clinical trials for our product candidates or any future clinical trials we may conduct;</w:t>
            </w:r>
          </w:p>
        </w:tc>
      </w:tr>
    </w:tbl>
    <w:tbl>
      <w:tblPr>
        <w:tblW w:w="5496" w:type="dxa"/>
        <w:jc w:val="left"/>
        <w:tblInd w:w="0" w:type="dxa"/>
        <w:tblCellMar>
          <w:top w:w="28" w:type="dxa"/>
          <w:left w:w="28" w:type="dxa"/>
          <w:bottom w:w="28" w:type="dxa"/>
          <w:right w:w="28" w:type="dxa"/>
        </w:tblCellMar>
      </w:tblPr>
      <w:tblGrid>
        <w:gridCol w:w="124"/>
        <w:gridCol w:w="256"/>
        <w:gridCol w:w="51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development status of our product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delays or adverse developments or perceived adverse developments with respect to the FDA’s review of our planned preclinical and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 in our submission for studies or product approvals or adverse regulatory decisions, including failure to receive regulatory approval for our product candidates;</w:t>
            </w:r>
          </w:p>
        </w:tc>
      </w:tr>
    </w:tbl>
    <w:tbl>
      <w:tblPr>
        <w:tblW w:w="6546" w:type="dxa"/>
        <w:jc w:val="left"/>
        <w:tblInd w:w="0" w:type="dxa"/>
        <w:tblCellMar>
          <w:top w:w="28" w:type="dxa"/>
          <w:left w:w="28" w:type="dxa"/>
          <w:bottom w:w="28" w:type="dxa"/>
          <w:right w:w="28" w:type="dxa"/>
        </w:tblCellMar>
      </w:tblPr>
      <w:tblGrid>
        <w:gridCol w:w="124"/>
        <w:gridCol w:w="256"/>
        <w:gridCol w:w="61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safety concerns related to the use of our product candidates;</w:t>
            </w:r>
          </w:p>
        </w:tc>
      </w:tr>
    </w:tbl>
    <w:tbl>
      <w:tblPr>
        <w:tblW w:w="5706" w:type="dxa"/>
        <w:jc w:val="left"/>
        <w:tblInd w:w="0" w:type="dxa"/>
        <w:tblCellMar>
          <w:top w:w="28" w:type="dxa"/>
          <w:left w:w="28" w:type="dxa"/>
          <w:bottom w:w="28" w:type="dxa"/>
          <w:right w:w="28" w:type="dxa"/>
        </w:tblCellMar>
      </w:tblPr>
      <w:tblGrid>
        <w:gridCol w:w="124"/>
        <w:gridCol w:w="256"/>
        <w:gridCol w:w="53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failures to meet external expectations or management guidance;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or dividend policy, future issuances of securities, sales of large blocks of common stock by our stockholders;</w:t>
            </w:r>
          </w:p>
        </w:tc>
      </w:tr>
    </w:tbl>
    <w:tbl>
      <w:tblPr>
        <w:tblW w:w="1986" w:type="dxa"/>
        <w:jc w:val="left"/>
        <w:tblInd w:w="0" w:type="dxa"/>
        <w:tblCellMar>
          <w:top w:w="28" w:type="dxa"/>
          <w:left w:w="28" w:type="dxa"/>
          <w:bottom w:w="28" w:type="dxa"/>
          <w:right w:w="28" w:type="dxa"/>
        </w:tblCellMar>
      </w:tblPr>
      <w:tblGrid>
        <w:gridCol w:w="124"/>
        <w:gridCol w:w="256"/>
        <w:gridCol w:w="16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6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position;</w:t>
            </w:r>
          </w:p>
        </w:tc>
      </w:tr>
    </w:tbl>
    <w:tbl>
      <w:tblPr>
        <w:tblW w:w="8211" w:type="dxa"/>
        <w:jc w:val="left"/>
        <w:tblInd w:w="0" w:type="dxa"/>
        <w:tblCellMar>
          <w:top w:w="28" w:type="dxa"/>
          <w:left w:w="28" w:type="dxa"/>
          <w:bottom w:w="28" w:type="dxa"/>
          <w:right w:w="28" w:type="dxa"/>
        </w:tblCellMar>
      </w:tblPr>
      <w:tblGrid>
        <w:gridCol w:w="124"/>
        <w:gridCol w:w="256"/>
        <w:gridCol w:w="78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8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and events surrounding financing efforts, including debt and equity securities;</w:t>
            </w:r>
          </w:p>
        </w:tc>
      </w:tr>
    </w:tbl>
    <w:tbl>
      <w:tblPr>
        <w:tblW w:w="5736" w:type="dxa"/>
        <w:jc w:val="left"/>
        <w:tblInd w:w="0" w:type="dxa"/>
        <w:tblCellMar>
          <w:top w:w="28" w:type="dxa"/>
          <w:left w:w="28" w:type="dxa"/>
          <w:bottom w:w="28" w:type="dxa"/>
          <w:right w:w="28" w:type="dxa"/>
        </w:tblCellMar>
      </w:tblPr>
      <w:tblGrid>
        <w:gridCol w:w="124"/>
        <w:gridCol w:w="256"/>
        <w:gridCol w:w="53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enter into new markets or develop new products;</w:t>
            </w:r>
          </w:p>
        </w:tc>
      </w:tr>
    </w:tbl>
    <w:tbl>
      <w:tblPr>
        <w:tblW w:w="2106" w:type="dxa"/>
        <w:jc w:val="left"/>
        <w:tblInd w:w="0" w:type="dxa"/>
        <w:tblCellMar>
          <w:top w:w="28" w:type="dxa"/>
          <w:left w:w="28" w:type="dxa"/>
          <w:bottom w:w="28" w:type="dxa"/>
          <w:right w:w="28" w:type="dxa"/>
        </w:tblCellMar>
      </w:tblPr>
      <w:tblGrid>
        <w:gridCol w:w="124"/>
        <w:gridCol w:w="256"/>
        <w:gridCol w:w="17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7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reputational issues;</w:t>
            </w:r>
          </w:p>
        </w:tc>
      </w:tr>
    </w:tbl>
    <w:tbl>
      <w:tblPr>
        <w:tblW w:w="9051" w:type="dxa"/>
        <w:jc w:val="left"/>
        <w:tblInd w:w="0" w:type="dxa"/>
        <w:tblCellMar>
          <w:top w:w="28" w:type="dxa"/>
          <w:left w:w="28" w:type="dxa"/>
          <w:bottom w:w="28" w:type="dxa"/>
          <w:right w:w="28" w:type="dxa"/>
        </w:tblCellMar>
      </w:tblPr>
      <w:tblGrid>
        <w:gridCol w:w="124"/>
        <w:gridCol w:w="256"/>
        <w:gridCol w:w="86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existing technologies and products or new technologies and products that may emerge;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acquisitions, partnerships, collaborations, joint ventures, new products, capital commitments, or other events by us or our competitors;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general economic, political and market conditions in or any of the regions in which we conduct our business;</w:t>
            </w:r>
          </w:p>
        </w:tc>
      </w:tr>
    </w:tbl>
    <w:tbl>
      <w:tblPr>
        <w:tblW w:w="4296" w:type="dxa"/>
        <w:jc w:val="left"/>
        <w:tblInd w:w="0" w:type="dxa"/>
        <w:tblCellMar>
          <w:top w:w="28" w:type="dxa"/>
          <w:left w:w="28" w:type="dxa"/>
          <w:bottom w:w="28" w:type="dxa"/>
          <w:right w:w="28" w:type="dxa"/>
        </w:tblCellMar>
      </w:tblPr>
      <w:tblGrid>
        <w:gridCol w:w="124"/>
        <w:gridCol w:w="256"/>
        <w:gridCol w:w="39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industry conditions or perceptions;</w:t>
            </w:r>
          </w:p>
        </w:tc>
      </w:tr>
    </w:tbl>
    <w:tbl>
      <w:tblPr>
        <w:tblW w:w="6021" w:type="dxa"/>
        <w:jc w:val="left"/>
        <w:tblInd w:w="0" w:type="dxa"/>
        <w:tblCellMar>
          <w:top w:w="28" w:type="dxa"/>
          <w:left w:w="28" w:type="dxa"/>
          <w:bottom w:w="28" w:type="dxa"/>
          <w:right w:w="28" w:type="dxa"/>
        </w:tblCellMar>
      </w:tblPr>
      <w:tblGrid>
        <w:gridCol w:w="124"/>
        <w:gridCol w:w="256"/>
        <w:gridCol w:w="56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valuations of similar companies or groups of companies;</w:t>
            </w:r>
          </w:p>
        </w:tc>
      </w:tr>
    </w:tbl>
    <w:tbl>
      <w:tblPr>
        <w:tblW w:w="10161" w:type="dxa"/>
        <w:jc w:val="left"/>
        <w:tblInd w:w="0" w:type="dxa"/>
        <w:tblCellMar>
          <w:top w:w="28" w:type="dxa"/>
          <w:left w:w="28" w:type="dxa"/>
          <w:bottom w:w="28" w:type="dxa"/>
          <w:right w:w="28" w:type="dxa"/>
        </w:tblCellMar>
      </w:tblPr>
      <w:tblGrid>
        <w:gridCol w:w="124"/>
        <w:gridCol w:w="256"/>
        <w:gridCol w:w="97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7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analyst research reports, recommendation and changes in recommendations, price targets, and withdrawals of coverage;</w:t>
            </w:r>
          </w:p>
        </w:tc>
      </w:tr>
    </w:tbl>
    <w:tbl>
      <w:tblPr>
        <w:tblW w:w="3981" w:type="dxa"/>
        <w:jc w:val="left"/>
        <w:tblInd w:w="0" w:type="dxa"/>
        <w:tblCellMar>
          <w:top w:w="28" w:type="dxa"/>
          <w:left w:w="28" w:type="dxa"/>
          <w:bottom w:w="28" w:type="dxa"/>
          <w:right w:w="28" w:type="dxa"/>
        </w:tblCellMar>
      </w:tblPr>
      <w:tblGrid>
        <w:gridCol w:w="124"/>
        <w:gridCol w:w="256"/>
        <w:gridCol w:w="3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6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departures and additions of key personnel;</w:t>
            </w:r>
          </w:p>
        </w:tc>
      </w:tr>
    </w:tbl>
    <w:tbl>
      <w:tblPr>
        <w:tblW w:w="8961" w:type="dxa"/>
        <w:jc w:val="left"/>
        <w:tblInd w:w="0" w:type="dxa"/>
        <w:tblCellMar>
          <w:top w:w="28" w:type="dxa"/>
          <w:left w:w="28" w:type="dxa"/>
          <w:bottom w:w="28" w:type="dxa"/>
          <w:right w:w="28" w:type="dxa"/>
        </w:tblCellMar>
      </w:tblPr>
      <w:tblGrid>
        <w:gridCol w:w="124"/>
        <w:gridCol w:w="256"/>
        <w:gridCol w:w="85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and litigations related to intellectual properties, proprietary rights, and contractual obligations;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211" w:type="dxa"/>
        <w:jc w:val="left"/>
        <w:tblInd w:w="0" w:type="dxa"/>
        <w:tblCellMar>
          <w:top w:w="28" w:type="dxa"/>
          <w:left w:w="28" w:type="dxa"/>
          <w:bottom w:w="28" w:type="dxa"/>
          <w:right w:w="28" w:type="dxa"/>
        </w:tblCellMar>
      </w:tblPr>
      <w:tblGrid>
        <w:gridCol w:w="124"/>
        <w:gridCol w:w="256"/>
        <w:gridCol w:w="78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8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rules, regulations, or accounting practices and other dynamics; and</w:t>
            </w:r>
          </w:p>
        </w:tc>
      </w:tr>
    </w:tbl>
    <w:tbl>
      <w:tblPr>
        <w:tblW w:w="5751" w:type="dxa"/>
        <w:jc w:val="left"/>
        <w:tblInd w:w="0" w:type="dxa"/>
        <w:tblCellMar>
          <w:top w:w="28" w:type="dxa"/>
          <w:left w:w="28" w:type="dxa"/>
          <w:bottom w:w="28" w:type="dxa"/>
          <w:right w:w="28" w:type="dxa"/>
        </w:tblCellMar>
      </w:tblPr>
      <w:tblGrid>
        <w:gridCol w:w="124"/>
        <w:gridCol w:w="256"/>
        <w:gridCol w:w="53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many of which may be out of our control.</w:t>
            </w:r>
          </w:p>
        </w:tc>
      </w:tr>
    </w:tbl>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Because certain of our stockholders control a significant number of shares of our common stock, they may have significant influence over actions requiring stockholder approval.</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As of April 27, 2023, our directors, executive officers and BioXcel LLC, and their respective affiliates, beneficially owned approximately 36% of our outstanding shares of common stock. As a result, these stockholders, acting together, would have significant control over the outcome of matters submitted to our stockholders for approval, including the election of directors and any merger, consolidation or sale of all or substantially all of our assets. In addition, these stockholders, acting together, would have significant control over the management and affairs of our company. Accordingly, this concentration of ownership might harm the market price of our common stock by: </w:t>
      </w:r>
    </w:p>
    <w:tbl>
      <w:tblPr>
        <w:tblW w:w="5691" w:type="dxa"/>
        <w:jc w:val="left"/>
        <w:tblInd w:w="0" w:type="dxa"/>
        <w:tblCellMar>
          <w:top w:w="28" w:type="dxa"/>
          <w:left w:w="28" w:type="dxa"/>
          <w:bottom w:w="28" w:type="dxa"/>
          <w:right w:w="28" w:type="dxa"/>
        </w:tblCellMar>
      </w:tblPr>
      <w:tblGrid>
        <w:gridCol w:w="124"/>
        <w:gridCol w:w="256"/>
        <w:gridCol w:w="53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deferring or preventing a change in corporate control;</w:t>
            </w:r>
          </w:p>
        </w:tc>
      </w:tr>
    </w:tbl>
    <w:tbl>
      <w:tblPr>
        <w:tblW w:w="7896" w:type="dxa"/>
        <w:jc w:val="left"/>
        <w:tblInd w:w="0" w:type="dxa"/>
        <w:tblCellMar>
          <w:top w:w="28" w:type="dxa"/>
          <w:left w:w="28" w:type="dxa"/>
          <w:bottom w:w="28" w:type="dxa"/>
          <w:right w:w="28" w:type="dxa"/>
        </w:tblCellMar>
      </w:tblPr>
      <w:tblGrid>
        <w:gridCol w:w="124"/>
        <w:gridCol w:w="256"/>
        <w:gridCol w:w="75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impeding a merger, consolidation, takeover or other business combination involving us; or</w:t>
            </w:r>
          </w:p>
        </w:tc>
      </w:tr>
    </w:tbl>
    <w:tbl>
      <w:tblPr>
        <w:tblW w:w="9261" w:type="dxa"/>
        <w:jc w:val="left"/>
        <w:tblInd w:w="0" w:type="dxa"/>
        <w:tblCellMar>
          <w:top w:w="28" w:type="dxa"/>
          <w:left w:w="28" w:type="dxa"/>
          <w:bottom w:w="28" w:type="dxa"/>
          <w:right w:w="28" w:type="dxa"/>
        </w:tblCellMar>
      </w:tblPr>
      <w:tblGrid>
        <w:gridCol w:w="124"/>
        <w:gridCol w:w="256"/>
        <w:gridCol w:w="88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8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discouraging a potential acquirer from making a tender offer or otherwise attempting to obtain control of us.</w:t>
            </w:r>
          </w:p>
        </w:tc>
      </w:tr>
    </w:tbl>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do not intend to pay cash dividends on our shares of common stock so any returns will be limited to the value of our shares.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 </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the 1940 Act.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are an “emerging growth company” and “smaller reporting company” and are able to avail ourselves of reduced disclosure requirements applicable to emerging growth companies and smaller reporting companies, which could make our common stock less attractive to investors.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are an “emerging growth company,” as defined in the Jumpstart Our Business Startups Act of 2012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and “emerging growth company” until December 31, 2023.</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are also a smaller reporting company, and we will remain a smaller reporting company until, as of fiscal year end, we determine that either (1) our annual revenues are at least $100 million and our voting and non-voting common stock held by non-affiliates is at least $250 million measured on the last business day of our most recent second fiscal quarter, or (2) our voting and non-voting common stock held by non-affiliates is at least $700 million measured on the last business day of our most recent second fiscal quarter. Similar to emerging growth companies, smaller reporting companies are able to provide simplified executive compensation disclosure, are exempt from the auditor attestation requirements of Section 404 of the Sarbanes-Oxley Act,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We may be at risk of securities class action litigation.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may be at risk of securities class action litigation. In the past, biotechnology and pharmaceutical companies have experienced significant stock price volatility, particularly when associated with binary events such as clinical trials and product approvals. If we face such litigation, it could result in substantial costs and a diversion of management’s attention and resources, which could harm our business and result in a decline in the market price of our common stock.</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Our certificate of incorporation, our bylaws, and Delaware law may have anti-takeover effects that could discourage, delay, or prevent a change in control, which may cause our stock price to decline.</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Our amended and restated certificate of incorporation, our amended and restated bylaws and Delaware law could make it more difficult for a third-party to acquire us, even if closing such a transaction would be beneficial to our stockholders. We are authorized to issue up to 10 million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common stock. In particular, specific rights granted to future holders of preferred stock could be used to restrict our ability to merge with, or sell our assets to, a third-party and thereby preserve control by the present management.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tbl>
      <w:tblPr>
        <w:tblW w:w="8256" w:type="dxa"/>
        <w:jc w:val="left"/>
        <w:tblInd w:w="0" w:type="dxa"/>
        <w:tblCellMar>
          <w:top w:w="28" w:type="dxa"/>
          <w:left w:w="28" w:type="dxa"/>
          <w:bottom w:w="28" w:type="dxa"/>
          <w:right w:w="28" w:type="dxa"/>
        </w:tblCellMar>
      </w:tblPr>
      <w:tblGrid>
        <w:gridCol w:w="124"/>
        <w:gridCol w:w="256"/>
        <w:gridCol w:w="78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8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board of directors with the ability to alter the bylaws without stockholder approval;</w:t>
            </w:r>
          </w:p>
        </w:tc>
      </w:tr>
    </w:tbl>
    <w:tbl>
      <w:tblPr>
        <w:tblW w:w="4176" w:type="dxa"/>
        <w:jc w:val="left"/>
        <w:tblInd w:w="0" w:type="dxa"/>
        <w:tblCellMar>
          <w:top w:w="28" w:type="dxa"/>
          <w:left w:w="28" w:type="dxa"/>
          <w:bottom w:w="28" w:type="dxa"/>
          <w:right w:w="28" w:type="dxa"/>
        </w:tblCellMar>
      </w:tblPr>
      <w:tblGrid>
        <w:gridCol w:w="124"/>
        <w:gridCol w:w="256"/>
        <w:gridCol w:w="37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limitations on the removal of directors;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advance notice requirements for nominations for election to the board of directors or for proposing matters that can be acted upon at stockholder meetings;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vacancies on the board of directors may be filled by a majority of directors in office, although less than a quorum.</w:t>
            </w:r>
          </w:p>
        </w:tc>
      </w:tr>
    </w:tbl>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Financial reporting obligations of being a public company in the U.S. are expensive and time-consuming, and our management is required to devote substantial time to compliance matters.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As a publicly traded company we have incurred and will continue to incur significant legal, accounting and other expenses. The obligations of being a public company in the U.S.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the Dodd-Frank Wall Street Reform and Consumer Protection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after we are no longer an “emerging growth company” beginning December 31, 2023. In addition, we expect these and similar rules and regulations to make it more difficult and more expensive for us to obtain director and officer liability insurance and we may be required to incur substantial costs to maintain such insurance.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General Risk Factors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If securities or industry analysts do not publish research or reports, or publish unfavorable research or reports about our business, our stock price and trading volume may decline.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Future sales and issuances of our common stock could result in additional dilution of the percentage ownership of our stockholders and could cause our share price to fall.</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If we fail to comply with the rules under the Sarbanes-Oxley Act related to accounting controls and procedures in the future, or, if we discover material weaknesses and other deficiencies in our internal control and accounting procedures, our stock price could decline significantly and raising capital could be more difficult.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We have discovered material weaknesses in the past. If future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Comprehensive tax reform bills could adversely affect our business and financial condition.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2017, the U.S. government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Future changes in corporate tax rates, the realization of net deferred tax assets relating to our operations, the taxation of any foreign earnings, and the deductibility of expenses under future reform legislation could have a material impact on the value of our deferred tax assets, could result in significant one-time charges, and could increase our future U.S. tax expense.</w:t>
      </w:r>
    </w:p>
    <w:p>
      <w:pPr>
        <w:pStyle w:val="TextBody"/>
        <w:spacing w:before="0" w:after="200"/>
        <w:ind w:left="0" w:right="0" w:hanging="0"/>
        <w:rPr>
          <w:rFonts w:ascii="Times New Roman;Times;serif" w:hAnsi="Times New Roman;Times;serif"/>
          <w:b/>
          <w:sz w:val="20"/>
        </w:rPr>
      </w:pPr>
      <w:bookmarkStart w:id="787" w:name="Item2UnregisteredSalesofEquitySecurities"/>
      <w:bookmarkStart w:id="788" w:name="_f33cdba5_f511_42c5_b2e4_b18bd478ead1"/>
      <w:bookmarkEnd w:id="787"/>
      <w:bookmarkEnd w:id="788"/>
      <w:r>
        <w:rPr>
          <w:rFonts w:ascii="Times New Roman;Times;serif" w:hAnsi="Times New Roman;Times;serif"/>
          <w:b/>
          <w:sz w:val="20"/>
        </w:rPr>
        <w:t>Item 2. Unregistered Sales of Equity Securities and Use of Proceeds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None.</w:t>
      </w:r>
    </w:p>
    <w:p>
      <w:pPr>
        <w:pStyle w:val="TextBody"/>
        <w:spacing w:before="0" w:after="200"/>
        <w:ind w:left="0" w:right="0" w:hanging="0"/>
        <w:rPr>
          <w:rFonts w:ascii="Times New Roman;Times;serif" w:hAnsi="Times New Roman;Times;serif"/>
          <w:b/>
          <w:sz w:val="20"/>
        </w:rPr>
      </w:pPr>
      <w:bookmarkStart w:id="789" w:name="Item3DefaultsUponSeniorSecurities_782584"/>
      <w:bookmarkStart w:id="790" w:name="_45a7f204_c93e_481c_9db3_19a5b4f2d5a4"/>
      <w:bookmarkEnd w:id="789"/>
      <w:bookmarkEnd w:id="790"/>
      <w:r>
        <w:rPr>
          <w:rFonts w:ascii="Times New Roman;Times;serif" w:hAnsi="Times New Roman;Times;serif"/>
          <w:b/>
          <w:sz w:val="20"/>
        </w:rPr>
        <w:t>Item 3. Defaults Upon Senior Securities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None.</w:t>
      </w:r>
    </w:p>
    <w:p>
      <w:pPr>
        <w:pStyle w:val="TextBody"/>
        <w:spacing w:before="0" w:after="200"/>
        <w:ind w:left="0" w:right="0" w:hanging="0"/>
        <w:rPr>
          <w:rFonts w:ascii="Times New Roman;Times;serif" w:hAnsi="Times New Roman;Times;serif"/>
          <w:b/>
          <w:sz w:val="20"/>
        </w:rPr>
      </w:pPr>
      <w:bookmarkStart w:id="791" w:name="Item4MineSafetyDisclosures_613042"/>
      <w:bookmarkStart w:id="792" w:name="_90d21e6b_785b_4ed3_9b49_4f240955df8b"/>
      <w:bookmarkEnd w:id="791"/>
      <w:bookmarkEnd w:id="792"/>
      <w:r>
        <w:rPr>
          <w:rFonts w:ascii="Times New Roman;Times;serif" w:hAnsi="Times New Roman;Times;serif"/>
          <w:b/>
          <w:sz w:val="20"/>
        </w:rPr>
        <w:t>Item 4. Mine Safety Disclosures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Not applicable.</w:t>
      </w:r>
    </w:p>
    <w:p>
      <w:pPr>
        <w:pStyle w:val="TextBody"/>
        <w:spacing w:before="0" w:after="200"/>
        <w:ind w:left="0" w:right="0" w:hanging="0"/>
        <w:rPr>
          <w:rFonts w:ascii="Times New Roman;Times;serif" w:hAnsi="Times New Roman;Times;serif"/>
          <w:b/>
          <w:sz w:val="20"/>
        </w:rPr>
      </w:pPr>
      <w:bookmarkStart w:id="793" w:name="Item5OtherInformation_348642"/>
      <w:bookmarkStart w:id="794" w:name="_e341ba08_ca5f_42d9_8544_9f161faa6a6a"/>
      <w:bookmarkEnd w:id="793"/>
      <w:bookmarkEnd w:id="794"/>
      <w:r>
        <w:rPr>
          <w:rFonts w:ascii="Times New Roman;Times;serif" w:hAnsi="Times New Roman;Times;serif"/>
          <w:b/>
          <w:sz w:val="20"/>
        </w:rPr>
        <w:t>Item 5. Other Information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Our Board of Directors has set June 26, 2023 as the date of our annual meeting of stockholders for 2023. Because the date of the meeting is more than 30 days after the date of last year’s annual meeting, we are hereby notifying our stockholders that the deadline for submitting stockholder proposals pursuant to Rule 14a-8 under the Securities Exchange Act of 1934, as amended, has changed from the deadline disclosed in our 2022 proxy materials. The new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deadline is May 18, 2023. In order for a stockholder proposal to be included in our 2023 proxy materials, we must receive it by that date, and it must also comply with all of the requirements of Rule 14a-8. The deadlines for proposals or director nominations submitted pursuant to our Bylaws as currently in effect remain unchanged from those disclosed in our 2022 proxy materials.</w:t>
      </w:r>
    </w:p>
    <w:p>
      <w:pPr>
        <w:pStyle w:val="TextBody"/>
        <w:pBdr/>
        <w:spacing w:before="0" w:after="240"/>
        <w:ind w:left="0" w:right="0" w:hanging="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795" w:name="Item6Exhibits_836986"/>
      <w:bookmarkStart w:id="796" w:name="_4efa6ef3_c39c_4bfb_8c44_8425ab42395b"/>
      <w:bookmarkEnd w:id="795"/>
      <w:bookmarkEnd w:id="796"/>
      <w:r>
        <w:rPr>
          <w:rFonts w:ascii="Times New Roman;Times;serif" w:hAnsi="Times New Roman;Times;serif"/>
          <w:b/>
          <w:sz w:val="20"/>
        </w:rPr>
        <w:t>Item 6. Exhibits</w:t>
      </w:r>
    </w:p>
    <w:tbl>
      <w:tblPr>
        <w:tblW w:w="10205" w:type="dxa"/>
        <w:jc w:val="left"/>
        <w:tblInd w:w="0" w:type="dxa"/>
        <w:tblCellMar>
          <w:top w:w="0" w:type="dxa"/>
          <w:left w:w="0" w:type="dxa"/>
          <w:bottom w:w="0" w:type="dxa"/>
          <w:right w:w="0" w:type="dxa"/>
        </w:tblCellMar>
      </w:tblPr>
      <w:tblGrid>
        <w:gridCol w:w="754"/>
        <w:gridCol w:w="109"/>
        <w:gridCol w:w="5910"/>
        <w:gridCol w:w="511"/>
        <w:gridCol w:w="741"/>
        <w:gridCol w:w="23"/>
        <w:gridCol w:w="631"/>
        <w:gridCol w:w="653"/>
        <w:gridCol w:w="873"/>
      </w:tblGrid>
      <w:tr>
        <w:trPr/>
        <w:tc>
          <w:tcPr>
            <w:tcW w:w="754"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283"/>
              <w:ind w:left="0" w:right="0" w:hanging="0"/>
              <w:rPr>
                <w:sz w:val="4"/>
                <w:szCs w:val="4"/>
              </w:rPr>
            </w:pPr>
            <w:r>
              <w:rPr>
                <w:sz w:val="4"/>
                <w:szCs w:val="4"/>
              </w:rPr>
            </w:r>
          </w:p>
        </w:tc>
        <w:tc>
          <w:tcPr>
            <w:tcW w:w="764" w:type="dxa"/>
            <w:gridSpan w:val="2"/>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283"/>
              <w:ind w:left="0" w:right="0" w:hanging="0"/>
              <w:rPr>
                <w:sz w:val="4"/>
                <w:szCs w:val="4"/>
              </w:rPr>
            </w:pPr>
            <w:r>
              <w:rPr>
                <w:sz w:val="4"/>
                <w:szCs w:val="4"/>
              </w:rPr>
            </w:r>
          </w:p>
        </w:tc>
        <w:tc>
          <w:tcPr>
            <w:tcW w:w="653" w:type="dxa"/>
            <w:tcBorders/>
            <w:shd w:fill="auto" w:val="clear"/>
            <w:vAlign w:val="center"/>
          </w:tcPr>
          <w:p>
            <w:pPr>
              <w:pStyle w:val="TableContents"/>
              <w:spacing w:before="0" w:after="283"/>
              <w:ind w:left="0" w:right="0" w:hanging="0"/>
              <w:rPr>
                <w:sz w:val="4"/>
                <w:szCs w:val="4"/>
              </w:rPr>
            </w:pPr>
            <w:r>
              <w:rPr>
                <w:sz w:val="4"/>
                <w:szCs w:val="4"/>
              </w:rPr>
            </w:r>
          </w:p>
        </w:tc>
        <w:tc>
          <w:tcPr>
            <w:tcW w:w="873" w:type="dxa"/>
            <w:tcBorders/>
            <w:shd w:fill="auto" w:val="clear"/>
            <w:vAlign w:val="center"/>
          </w:tcPr>
          <w:p>
            <w:pPr>
              <w:pStyle w:val="TableContents"/>
              <w:spacing w:before="0" w:after="283"/>
              <w:ind w:left="0" w:right="0" w:hanging="0"/>
              <w:rPr>
                <w:sz w:val="4"/>
                <w:szCs w:val="4"/>
              </w:rPr>
            </w:pPr>
            <w:r>
              <w:rPr>
                <w:sz w:val="4"/>
                <w:szCs w:val="4"/>
              </w:rPr>
            </w:r>
          </w:p>
        </w:tc>
      </w:tr>
      <w:tr>
        <w:trPr/>
        <w:tc>
          <w:tcPr>
            <w:tcW w:w="75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591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76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65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87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r>
          </w:p>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Furnished</w:t>
            </w:r>
          </w:p>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Herewith</w:t>
            </w:r>
          </w:p>
        </w:tc>
      </w:tr>
      <w:tr>
        <w:trPr/>
        <w:tc>
          <w:tcPr>
            <w:tcW w:w="754" w:type="dxa"/>
            <w:tcBorders/>
            <w:shd w:fill="auto" w:val="clear"/>
            <w:vAlign w:val="center"/>
          </w:tcPr>
          <w:p>
            <w:pPr>
              <w:pStyle w:val="TableContents"/>
              <w:spacing w:before="0" w:after="0"/>
              <w:ind w:left="0" w:right="0" w:hanging="0"/>
              <w:jc w:val="center"/>
              <w:rPr>
                <w:highlight w:val="white"/>
              </w:rPr>
            </w:pPr>
            <w:r>
              <w:rPr>
                <w:highlight w:val="white"/>
              </w:rPr>
              <w:t>​</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highlight w:val="yellow"/>
              </w:rPr>
            </w:pPr>
            <w:r>
              <w:rPr>
                <w:highlight w:val="yellow"/>
              </w:rPr>
              <w:t>​</w:t>
            </w:r>
          </w:p>
        </w:tc>
        <w:tc>
          <w:tcPr>
            <w:tcW w:w="511" w:type="dxa"/>
            <w:tcBorders/>
            <w:shd w:fill="auto" w:val="clear"/>
            <w:vAlign w:val="center"/>
          </w:tcPr>
          <w:p>
            <w:pPr>
              <w:pStyle w:val="TableContents"/>
              <w:spacing w:before="0" w:after="0"/>
              <w:ind w:left="0" w:right="0" w:hanging="0"/>
              <w:jc w:val="center"/>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653" w:type="dxa"/>
            <w:tcBorders/>
            <w:shd w:fill="auto" w:val="clear"/>
            <w:vAlign w:val="center"/>
          </w:tcPr>
          <w:p>
            <w:pPr>
              <w:pStyle w:val="TableContents"/>
              <w:spacing w:before="0" w:after="0"/>
              <w:ind w:left="0" w:right="0" w:hanging="0"/>
              <w:jc w:val="center"/>
              <w:rPr/>
            </w:pPr>
            <w:r>
              <w:rPr/>
              <w:t>​</w:t>
            </w:r>
          </w:p>
        </w:tc>
        <w:tc>
          <w:tcPr>
            <w:tcW w:w="873" w:type="dxa"/>
            <w:tcBorders/>
            <w:shd w:fill="auto" w:val="clear"/>
            <w:vAlign w:val="center"/>
          </w:tcPr>
          <w:p>
            <w:pPr>
              <w:pStyle w:val="TableContents"/>
              <w:spacing w:before="0" w:after="0"/>
              <w:ind w:left="0" w:right="0" w:hanging="0"/>
              <w:rPr/>
            </w:pPr>
            <w:r>
              <w:rPr/>
              <w:t>​</w:t>
            </w:r>
          </w:p>
        </w:tc>
      </w:tr>
      <w:tr>
        <w:trPr/>
        <w:tc>
          <w:tcPr>
            <w:tcW w:w="754" w:type="dxa"/>
            <w:tcBorders/>
            <w:shd w:fill="auto" w:val="clear"/>
            <w:vAlign w:val="center"/>
          </w:tcPr>
          <w:p>
            <w:pPr>
              <w:pStyle w:val="TableContents"/>
              <w:spacing w:before="0" w:after="0"/>
              <w:ind w:left="0" w:right="0" w:hanging="0"/>
              <w:jc w:val="center"/>
              <w:rPr>
                <w:highlight w:val="white"/>
              </w:rPr>
            </w:pPr>
            <w:r>
              <w:rPr>
                <w:highlight w:val="white"/>
              </w:rPr>
              <w:t>  </w:t>
            </w:r>
            <w:r>
              <w:rPr>
                <w:rFonts w:ascii="Times New Roman;Times;serif" w:hAnsi="Times New Roman;Times;serif"/>
                <w:sz w:val="20"/>
                <w:highlight w:val="white"/>
              </w:rPr>
              <w:t>3.1</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hyperlink r:id="rId4">
              <w:r>
                <w:rPr>
                  <w:rStyle w:val="InternetLink"/>
                  <w:rFonts w:ascii="Times New Roman;Times;serif" w:hAnsi="Times New Roman;Times;serif"/>
                  <w:b w:val="false"/>
                  <w:i w:val="false"/>
                  <w:caps w:val="false"/>
                  <w:smallCaps w:val="false"/>
                  <w:sz w:val="20"/>
                </w:rPr>
                <w:t>Amended and Restated Certificate of Incorporation, as amended.</w:t>
              </w:r>
            </w:hyperlink>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001-38410</w:t>
            </w:r>
          </w:p>
        </w:tc>
        <w:tc>
          <w:tcPr>
            <w:tcW w:w="654"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65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8/10/2021</w:t>
            </w:r>
          </w:p>
        </w:tc>
        <w:tc>
          <w:tcPr>
            <w:tcW w:w="873" w:type="dxa"/>
            <w:tcBorders/>
            <w:shd w:fill="auto" w:val="clear"/>
            <w:vAlign w:val="center"/>
          </w:tcPr>
          <w:p>
            <w:pPr>
              <w:pStyle w:val="TableContents"/>
              <w:spacing w:before="0" w:after="0"/>
              <w:ind w:left="0" w:right="0" w:hanging="0"/>
              <w:jc w:val="center"/>
              <w:rPr/>
            </w:pPr>
            <w:r>
              <w:rPr/>
              <w:t>​</w:t>
            </w:r>
          </w:p>
        </w:tc>
      </w:tr>
      <w:tr>
        <w:trPr/>
        <w:tc>
          <w:tcPr>
            <w:tcW w:w="754"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741" w:type="dxa"/>
            <w:tcBorders/>
            <w:shd w:fill="auto" w:val="clear"/>
            <w:vAlign w:val="center"/>
          </w:tcPr>
          <w:p>
            <w:pPr>
              <w:pStyle w:val="TableContents"/>
              <w:spacing w:before="0" w:after="0"/>
              <w:ind w:left="0" w:right="0" w:hanging="0"/>
              <w:rPr/>
            </w:pPr>
            <w:r>
              <w:rPr/>
              <w:t>​</w:t>
            </w:r>
          </w:p>
        </w:tc>
        <w:tc>
          <w:tcPr>
            <w:tcW w:w="654" w:type="dxa"/>
            <w:gridSpan w:val="2"/>
            <w:tcBorders/>
            <w:shd w:fill="auto" w:val="clear"/>
            <w:vAlign w:val="center"/>
          </w:tcPr>
          <w:p>
            <w:pPr>
              <w:pStyle w:val="TableContents"/>
              <w:spacing w:before="0" w:after="0"/>
              <w:ind w:left="0" w:right="0" w:hanging="0"/>
              <w:jc w:val="center"/>
              <w:rPr/>
            </w:pPr>
            <w:r>
              <w:rPr/>
              <w:t>​</w:t>
            </w:r>
          </w:p>
        </w:tc>
        <w:tc>
          <w:tcPr>
            <w:tcW w:w="653" w:type="dxa"/>
            <w:tcBorders/>
            <w:shd w:fill="auto" w:val="clear"/>
            <w:vAlign w:val="center"/>
          </w:tcPr>
          <w:p>
            <w:pPr>
              <w:pStyle w:val="TableContents"/>
              <w:spacing w:before="0" w:after="0"/>
              <w:ind w:left="0" w:right="0" w:hanging="0"/>
              <w:jc w:val="center"/>
              <w:rPr/>
            </w:pPr>
            <w:r>
              <w:rPr/>
              <w:t>​</w:t>
            </w:r>
          </w:p>
        </w:tc>
        <w:tc>
          <w:tcPr>
            <w:tcW w:w="873" w:type="dxa"/>
            <w:tcBorders/>
            <w:shd w:fill="auto" w:val="clear"/>
            <w:vAlign w:val="center"/>
          </w:tcPr>
          <w:p>
            <w:pPr>
              <w:pStyle w:val="TableContents"/>
              <w:spacing w:before="0" w:after="0"/>
              <w:ind w:left="0" w:right="0" w:hanging="0"/>
              <w:rPr/>
            </w:pPr>
            <w:r>
              <w:rPr/>
              <w:t>​</w:t>
            </w:r>
          </w:p>
        </w:tc>
      </w:tr>
      <w:tr>
        <w:trPr/>
        <w:tc>
          <w:tcPr>
            <w:tcW w:w="754" w:type="dxa"/>
            <w:tcBorders/>
            <w:shd w:fill="auto" w:val="clear"/>
            <w:vAlign w:val="center"/>
          </w:tcPr>
          <w:p>
            <w:pPr>
              <w:pStyle w:val="TableContents"/>
              <w:spacing w:before="0" w:after="0"/>
              <w:ind w:left="0" w:right="0" w:hanging="0"/>
              <w:jc w:val="center"/>
              <w:rPr>
                <w:highlight w:val="white"/>
              </w:rPr>
            </w:pPr>
            <w:r>
              <w:rPr>
                <w:highlight w:val="white"/>
              </w:rPr>
              <w:t>  </w:t>
            </w:r>
            <w:r>
              <w:rPr>
                <w:rFonts w:ascii="Times New Roman;Times;serif" w:hAnsi="Times New Roman;Times;serif"/>
                <w:sz w:val="20"/>
                <w:highlight w:val="white"/>
              </w:rPr>
              <w:t>3.2</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hyperlink r:id="rId5">
              <w:r>
                <w:rPr>
                  <w:rStyle w:val="InternetLink"/>
                  <w:rFonts w:ascii="Times New Roman;Times;serif" w:hAnsi="Times New Roman;Times;serif"/>
                  <w:b w:val="false"/>
                  <w:i w:val="false"/>
                  <w:caps w:val="false"/>
                  <w:smallCaps w:val="false"/>
                  <w:sz w:val="20"/>
                </w:rPr>
                <w:t>Amended and Restated Bylaws.</w:t>
              </w:r>
            </w:hyperlink>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001-38410</w:t>
            </w:r>
          </w:p>
        </w:tc>
        <w:tc>
          <w:tcPr>
            <w:tcW w:w="654"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65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3/13/2018</w:t>
            </w:r>
          </w:p>
        </w:tc>
        <w:tc>
          <w:tcPr>
            <w:tcW w:w="873" w:type="dxa"/>
            <w:tcBorders/>
            <w:shd w:fill="auto" w:val="clear"/>
            <w:vAlign w:val="center"/>
          </w:tcPr>
          <w:p>
            <w:pPr>
              <w:pStyle w:val="TableContents"/>
              <w:spacing w:before="0" w:after="0"/>
              <w:ind w:left="0" w:right="0" w:hanging="0"/>
              <w:rPr/>
            </w:pPr>
            <w:r>
              <w:rPr/>
              <w:t>​</w:t>
            </w:r>
          </w:p>
        </w:tc>
      </w:tr>
      <w:tr>
        <w:trPr/>
        <w:tc>
          <w:tcPr>
            <w:tcW w:w="754" w:type="dxa"/>
            <w:tcBorders/>
            <w:shd w:fill="auto" w:val="clear"/>
            <w:vAlign w:val="center"/>
          </w:tcPr>
          <w:p>
            <w:pPr>
              <w:pStyle w:val="TableContents"/>
              <w:spacing w:before="0" w:after="0"/>
              <w:ind w:left="0" w:right="0" w:hanging="0"/>
              <w:jc w:val="center"/>
              <w:rPr>
                <w:highlight w:val="yellow"/>
              </w:rPr>
            </w:pPr>
            <w:r>
              <w:rPr>
                <w:highlight w:val="yellow"/>
              </w:rPr>
              <w:t>​</w:t>
            </w:r>
          </w:p>
        </w:tc>
        <w:tc>
          <w:tcPr>
            <w:tcW w:w="109" w:type="dxa"/>
            <w:tcBorders/>
            <w:shd w:fill="auto" w:val="clear"/>
            <w:vAlign w:val="center"/>
          </w:tcPr>
          <w:p>
            <w:pPr>
              <w:pStyle w:val="TableContents"/>
              <w:spacing w:before="0" w:after="0"/>
              <w:ind w:left="0" w:right="0" w:hanging="0"/>
              <w:rPr>
                <w:highlight w:val="yellow"/>
              </w:rPr>
            </w:pPr>
            <w:r>
              <w:rPr>
                <w:highlight w:val="yellow"/>
              </w:rPr>
              <w:t>​</w:t>
            </w:r>
          </w:p>
        </w:tc>
        <w:tc>
          <w:tcPr>
            <w:tcW w:w="5910" w:type="dxa"/>
            <w:tcBorders/>
            <w:shd w:fill="auto" w:val="clear"/>
            <w:vAlign w:val="center"/>
          </w:tcPr>
          <w:p>
            <w:pPr>
              <w:pStyle w:val="TableContents"/>
              <w:spacing w:before="0" w:after="0"/>
              <w:ind w:left="0" w:right="0" w:hanging="0"/>
              <w:rPr>
                <w:highlight w:val="yellow"/>
              </w:rPr>
            </w:pPr>
            <w:r>
              <w:rPr>
                <w:highlight w:val="yellow"/>
              </w:rPr>
              <w:t>​</w:t>
            </w:r>
          </w:p>
        </w:tc>
        <w:tc>
          <w:tcPr>
            <w:tcW w:w="511" w:type="dxa"/>
            <w:tcBorders/>
            <w:shd w:fill="auto" w:val="clear"/>
            <w:vAlign w:val="center"/>
          </w:tcPr>
          <w:p>
            <w:pPr>
              <w:pStyle w:val="TableContents"/>
              <w:spacing w:before="0" w:after="0"/>
              <w:ind w:left="0" w:right="0" w:hanging="0"/>
              <w:jc w:val="center"/>
              <w:rPr>
                <w:highlight w:val="yellow"/>
              </w:rPr>
            </w:pPr>
            <w:r>
              <w:rPr>
                <w:highlight w:val="yellow"/>
              </w:rPr>
              <w:t>​</w:t>
            </w:r>
          </w:p>
        </w:tc>
        <w:tc>
          <w:tcPr>
            <w:tcW w:w="741" w:type="dxa"/>
            <w:tcBorders/>
            <w:shd w:fill="auto" w:val="clear"/>
            <w:vAlign w:val="center"/>
          </w:tcPr>
          <w:p>
            <w:pPr>
              <w:pStyle w:val="TableContents"/>
              <w:spacing w:before="0" w:after="0"/>
              <w:ind w:left="0" w:right="0" w:hanging="0"/>
              <w:rPr>
                <w:highlight w:val="yellow"/>
              </w:rPr>
            </w:pPr>
            <w:r>
              <w:rPr>
                <w:highlight w:val="yellow"/>
              </w:rPr>
              <w:t>​</w:t>
            </w:r>
          </w:p>
        </w:tc>
        <w:tc>
          <w:tcPr>
            <w:tcW w:w="654" w:type="dxa"/>
            <w:gridSpan w:val="2"/>
            <w:tcBorders/>
            <w:shd w:fill="auto" w:val="clear"/>
            <w:vAlign w:val="center"/>
          </w:tcPr>
          <w:p>
            <w:pPr>
              <w:pStyle w:val="TableContents"/>
              <w:spacing w:before="0" w:after="0"/>
              <w:ind w:left="0" w:right="0" w:hanging="0"/>
              <w:jc w:val="center"/>
              <w:rPr>
                <w:highlight w:val="yellow"/>
              </w:rPr>
            </w:pPr>
            <w:r>
              <w:rPr>
                <w:highlight w:val="yellow"/>
              </w:rPr>
              <w:t>​</w:t>
            </w:r>
          </w:p>
        </w:tc>
        <w:tc>
          <w:tcPr>
            <w:tcW w:w="653" w:type="dxa"/>
            <w:tcBorders/>
            <w:shd w:fill="auto" w:val="clear"/>
            <w:vAlign w:val="center"/>
          </w:tcPr>
          <w:p>
            <w:pPr>
              <w:pStyle w:val="TableContents"/>
              <w:spacing w:before="0" w:after="0"/>
              <w:ind w:left="0" w:right="0" w:hanging="0"/>
              <w:jc w:val="center"/>
              <w:rPr>
                <w:highlight w:val="yellow"/>
              </w:rPr>
            </w:pPr>
            <w:r>
              <w:rPr>
                <w:highlight w:val="yellow"/>
              </w:rPr>
              <w:t>​</w:t>
            </w:r>
          </w:p>
        </w:tc>
        <w:tc>
          <w:tcPr>
            <w:tcW w:w="873" w:type="dxa"/>
            <w:tcBorders/>
            <w:shd w:fill="auto" w:val="clear"/>
            <w:vAlign w:val="center"/>
          </w:tcPr>
          <w:p>
            <w:pPr>
              <w:pStyle w:val="TableContents"/>
              <w:spacing w:before="0" w:after="0"/>
              <w:ind w:left="0" w:right="0" w:hanging="0"/>
              <w:rPr/>
            </w:pPr>
            <w:r>
              <w:rPr/>
              <w:t>​</w:t>
            </w:r>
          </w:p>
        </w:tc>
      </w:tr>
      <w:tr>
        <w:trPr/>
        <w:tc>
          <w:tcPr>
            <w:tcW w:w="75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hyperlink w:anchor="btai-20230331xex10d1.htm">
              <w:r>
                <w:rPr>
                  <w:rStyle w:val="InternetLink"/>
                  <w:rFonts w:ascii="Times New Roman;Times;serif" w:hAnsi="Times New Roman;Times;serif"/>
                  <w:b w:val="false"/>
                  <w:i w:val="false"/>
                  <w:caps w:val="false"/>
                  <w:smallCaps w:val="false"/>
                  <w:sz w:val="20"/>
                </w:rPr>
                <w:t>First Amendment to Revenue Interest Financing Agreement, dated August 4, 2022, by and between the Company, the purchasers party thereto and Oaktree Fund Administration, LLC, as administrative agent.</w:t>
              </w:r>
            </w:hyperlink>
          </w:p>
        </w:tc>
        <w:tc>
          <w:tcPr>
            <w:tcW w:w="511" w:type="dxa"/>
            <w:tcBorders/>
            <w:shd w:fill="auto" w:val="clear"/>
            <w:vAlign w:val="center"/>
          </w:tcPr>
          <w:p>
            <w:pPr>
              <w:pStyle w:val="TableContents"/>
              <w:spacing w:before="0" w:after="0"/>
              <w:ind w:left="0" w:right="0" w:hanging="0"/>
              <w:jc w:val="center"/>
              <w:rPr/>
            </w:pPr>
            <w:r>
              <w:rPr/>
              <w:t>​</w:t>
            </w:r>
          </w:p>
        </w:tc>
        <w:tc>
          <w:tcPr>
            <w:tcW w:w="741" w:type="dxa"/>
            <w:tcBorders/>
            <w:shd w:fill="auto" w:val="clear"/>
            <w:vAlign w:val="center"/>
          </w:tcPr>
          <w:p>
            <w:pPr>
              <w:pStyle w:val="TableContents"/>
              <w:spacing w:before="0" w:after="0"/>
              <w:ind w:left="0" w:right="0" w:hanging="0"/>
              <w:rPr/>
            </w:pPr>
            <w:r>
              <w:rPr/>
              <w:t>​</w:t>
            </w:r>
          </w:p>
        </w:tc>
        <w:tc>
          <w:tcPr>
            <w:tcW w:w="654" w:type="dxa"/>
            <w:gridSpan w:val="2"/>
            <w:tcBorders/>
            <w:shd w:fill="auto" w:val="clear"/>
            <w:vAlign w:val="center"/>
          </w:tcPr>
          <w:p>
            <w:pPr>
              <w:pStyle w:val="TableContents"/>
              <w:spacing w:before="0" w:after="0"/>
              <w:ind w:left="0" w:right="0" w:hanging="0"/>
              <w:jc w:val="center"/>
              <w:rPr/>
            </w:pPr>
            <w:r>
              <w:rPr/>
              <w:t>​</w:t>
            </w:r>
          </w:p>
        </w:tc>
        <w:tc>
          <w:tcPr>
            <w:tcW w:w="653" w:type="dxa"/>
            <w:tcBorders/>
            <w:shd w:fill="auto" w:val="clear"/>
            <w:vAlign w:val="center"/>
          </w:tcPr>
          <w:p>
            <w:pPr>
              <w:pStyle w:val="TableContents"/>
              <w:spacing w:before="0" w:after="0"/>
              <w:ind w:left="0" w:right="0" w:hanging="0"/>
              <w:jc w:val="center"/>
              <w:rPr/>
            </w:pPr>
            <w:r>
              <w:rPr/>
              <w:t>​</w:t>
            </w:r>
          </w:p>
        </w:tc>
        <w:tc>
          <w:tcPr>
            <w:tcW w:w="87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54"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741" w:type="dxa"/>
            <w:tcBorders/>
            <w:shd w:fill="auto" w:val="clear"/>
            <w:vAlign w:val="center"/>
          </w:tcPr>
          <w:p>
            <w:pPr>
              <w:pStyle w:val="TableContents"/>
              <w:spacing w:before="0" w:after="0"/>
              <w:ind w:left="0" w:right="0" w:hanging="0"/>
              <w:rPr/>
            </w:pPr>
            <w:r>
              <w:rPr/>
              <w:t>​</w:t>
            </w:r>
          </w:p>
        </w:tc>
        <w:tc>
          <w:tcPr>
            <w:tcW w:w="654" w:type="dxa"/>
            <w:gridSpan w:val="2"/>
            <w:tcBorders/>
            <w:shd w:fill="auto" w:val="clear"/>
            <w:vAlign w:val="center"/>
          </w:tcPr>
          <w:p>
            <w:pPr>
              <w:pStyle w:val="TableContents"/>
              <w:spacing w:before="0" w:after="0"/>
              <w:ind w:left="0" w:right="0" w:hanging="0"/>
              <w:jc w:val="center"/>
              <w:rPr/>
            </w:pPr>
            <w:r>
              <w:rPr/>
              <w:t>​</w:t>
            </w:r>
          </w:p>
        </w:tc>
        <w:tc>
          <w:tcPr>
            <w:tcW w:w="653" w:type="dxa"/>
            <w:tcBorders/>
            <w:shd w:fill="auto" w:val="clear"/>
            <w:vAlign w:val="center"/>
          </w:tcPr>
          <w:p>
            <w:pPr>
              <w:pStyle w:val="TableContents"/>
              <w:spacing w:before="0" w:after="0"/>
              <w:ind w:left="0" w:right="0" w:hanging="0"/>
              <w:jc w:val="center"/>
              <w:rPr/>
            </w:pPr>
            <w:r>
              <w:rPr/>
              <w:t>​</w:t>
            </w:r>
          </w:p>
        </w:tc>
        <w:tc>
          <w:tcPr>
            <w:tcW w:w="873" w:type="dxa"/>
            <w:tcBorders/>
            <w:shd w:fill="auto" w:val="clear"/>
            <w:vAlign w:val="center"/>
          </w:tcPr>
          <w:p>
            <w:pPr>
              <w:pStyle w:val="TableContents"/>
              <w:spacing w:before="0" w:after="0"/>
              <w:ind w:left="0" w:right="0" w:hanging="0"/>
              <w:rPr/>
            </w:pPr>
            <w:r>
              <w:rPr/>
              <w:t>​</w:t>
            </w:r>
          </w:p>
        </w:tc>
      </w:tr>
      <w:tr>
        <w:trPr/>
        <w:tc>
          <w:tcPr>
            <w:tcW w:w="75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hyperlink w:anchor="btai-20230331xex10d2.htm">
              <w:r>
                <w:rPr>
                  <w:rStyle w:val="InternetLink"/>
                  <w:rFonts w:ascii="Times New Roman;Times;serif" w:hAnsi="Times New Roman;Times;serif"/>
                  <w:b w:val="false"/>
                  <w:i w:val="false"/>
                  <w:caps w:val="false"/>
                  <w:smallCaps w:val="false"/>
                  <w:sz w:val="20"/>
                </w:rPr>
                <w:t>Employment Agreement, dated July 1, 2022, by and between BioXcel Therapeutics, Inc. and Vincent O’Neill, M.D.</w:t>
              </w:r>
            </w:hyperlink>
          </w:p>
        </w:tc>
        <w:tc>
          <w:tcPr>
            <w:tcW w:w="511" w:type="dxa"/>
            <w:tcBorders/>
            <w:shd w:fill="auto" w:val="clear"/>
            <w:vAlign w:val="center"/>
          </w:tcPr>
          <w:p>
            <w:pPr>
              <w:pStyle w:val="TableContents"/>
              <w:spacing w:before="0" w:after="0"/>
              <w:ind w:left="0" w:right="0" w:hanging="0"/>
              <w:jc w:val="center"/>
              <w:rPr/>
            </w:pPr>
            <w:r>
              <w:rPr/>
              <w:t>​</w:t>
            </w:r>
          </w:p>
        </w:tc>
        <w:tc>
          <w:tcPr>
            <w:tcW w:w="741" w:type="dxa"/>
            <w:tcBorders/>
            <w:shd w:fill="auto" w:val="clear"/>
            <w:vAlign w:val="center"/>
          </w:tcPr>
          <w:p>
            <w:pPr>
              <w:pStyle w:val="TableContents"/>
              <w:spacing w:before="0" w:after="0"/>
              <w:ind w:left="0" w:right="0" w:hanging="0"/>
              <w:rPr/>
            </w:pPr>
            <w:r>
              <w:rPr/>
              <w:t>​</w:t>
            </w:r>
          </w:p>
        </w:tc>
        <w:tc>
          <w:tcPr>
            <w:tcW w:w="654" w:type="dxa"/>
            <w:gridSpan w:val="2"/>
            <w:tcBorders/>
            <w:shd w:fill="auto" w:val="clear"/>
            <w:vAlign w:val="center"/>
          </w:tcPr>
          <w:p>
            <w:pPr>
              <w:pStyle w:val="TableContents"/>
              <w:spacing w:before="0" w:after="0"/>
              <w:ind w:left="0" w:right="0" w:hanging="0"/>
              <w:jc w:val="center"/>
              <w:rPr/>
            </w:pPr>
            <w:r>
              <w:rPr/>
              <w:t>​</w:t>
            </w:r>
          </w:p>
        </w:tc>
        <w:tc>
          <w:tcPr>
            <w:tcW w:w="653" w:type="dxa"/>
            <w:tcBorders/>
            <w:shd w:fill="auto" w:val="clear"/>
            <w:vAlign w:val="center"/>
          </w:tcPr>
          <w:p>
            <w:pPr>
              <w:pStyle w:val="TableContents"/>
              <w:spacing w:before="0" w:after="0"/>
              <w:ind w:left="0" w:right="0" w:hanging="0"/>
              <w:jc w:val="center"/>
              <w:rPr/>
            </w:pPr>
            <w:r>
              <w:rPr/>
              <w:t>​</w:t>
            </w:r>
          </w:p>
        </w:tc>
        <w:tc>
          <w:tcPr>
            <w:tcW w:w="87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54"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741" w:type="dxa"/>
            <w:tcBorders/>
            <w:shd w:fill="auto" w:val="clear"/>
            <w:vAlign w:val="center"/>
          </w:tcPr>
          <w:p>
            <w:pPr>
              <w:pStyle w:val="TableContents"/>
              <w:spacing w:before="0" w:after="0"/>
              <w:ind w:left="0" w:right="0" w:hanging="0"/>
              <w:rPr/>
            </w:pPr>
            <w:r>
              <w:rPr/>
              <w:t>​</w:t>
            </w:r>
          </w:p>
        </w:tc>
        <w:tc>
          <w:tcPr>
            <w:tcW w:w="654" w:type="dxa"/>
            <w:gridSpan w:val="2"/>
            <w:tcBorders/>
            <w:shd w:fill="auto" w:val="clear"/>
            <w:vAlign w:val="center"/>
          </w:tcPr>
          <w:p>
            <w:pPr>
              <w:pStyle w:val="TableContents"/>
              <w:spacing w:before="0" w:after="0"/>
              <w:ind w:left="0" w:right="0" w:hanging="0"/>
              <w:jc w:val="center"/>
              <w:rPr/>
            </w:pPr>
            <w:r>
              <w:rPr/>
              <w:t>​</w:t>
            </w:r>
          </w:p>
        </w:tc>
        <w:tc>
          <w:tcPr>
            <w:tcW w:w="653" w:type="dxa"/>
            <w:tcBorders/>
            <w:shd w:fill="auto" w:val="clear"/>
            <w:vAlign w:val="center"/>
          </w:tcPr>
          <w:p>
            <w:pPr>
              <w:pStyle w:val="TableContents"/>
              <w:spacing w:before="0" w:after="0"/>
              <w:ind w:left="0" w:right="0" w:hanging="0"/>
              <w:jc w:val="center"/>
              <w:rPr/>
            </w:pPr>
            <w:r>
              <w:rPr/>
              <w:t>​</w:t>
            </w:r>
          </w:p>
        </w:tc>
        <w:tc>
          <w:tcPr>
            <w:tcW w:w="873" w:type="dxa"/>
            <w:tcBorders/>
            <w:shd w:fill="auto" w:val="clear"/>
            <w:vAlign w:val="center"/>
          </w:tcPr>
          <w:p>
            <w:pPr>
              <w:pStyle w:val="TableContents"/>
              <w:spacing w:before="0" w:after="0"/>
              <w:ind w:left="0" w:right="0" w:hanging="0"/>
              <w:rPr/>
            </w:pPr>
            <w:r>
              <w:rPr/>
              <w:t>​</w:t>
            </w:r>
          </w:p>
        </w:tc>
      </w:tr>
      <w:tr>
        <w:trPr/>
        <w:tc>
          <w:tcPr>
            <w:tcW w:w="75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hyperlink w:anchor="btai-20230331xex10d3.htm">
              <w:r>
                <w:rPr>
                  <w:rStyle w:val="InternetLink"/>
                  <w:rFonts w:ascii="Times New Roman;Times;serif" w:hAnsi="Times New Roman;Times;serif"/>
                  <w:b w:val="false"/>
                  <w:i w:val="false"/>
                  <w:caps w:val="false"/>
                  <w:smallCaps w:val="false"/>
                  <w:sz w:val="20"/>
                </w:rPr>
                <w:t>Form of RSU Agreement pursuant to the OnkosXcel Therapeutics, LLC and OnkosXcel Employee Holdings, LLC Management Incentive Plan.</w:t>
              </w:r>
            </w:hyperlink>
          </w:p>
        </w:tc>
        <w:tc>
          <w:tcPr>
            <w:tcW w:w="511" w:type="dxa"/>
            <w:tcBorders/>
            <w:shd w:fill="auto" w:val="clear"/>
            <w:vAlign w:val="center"/>
          </w:tcPr>
          <w:p>
            <w:pPr>
              <w:pStyle w:val="TableContents"/>
              <w:spacing w:before="0" w:after="0"/>
              <w:ind w:left="0" w:right="0" w:hanging="0"/>
              <w:jc w:val="center"/>
              <w:rPr/>
            </w:pPr>
            <w:r>
              <w:rPr/>
              <w:t>​</w:t>
            </w:r>
          </w:p>
        </w:tc>
        <w:tc>
          <w:tcPr>
            <w:tcW w:w="741" w:type="dxa"/>
            <w:tcBorders/>
            <w:shd w:fill="auto" w:val="clear"/>
            <w:vAlign w:val="center"/>
          </w:tcPr>
          <w:p>
            <w:pPr>
              <w:pStyle w:val="TableContents"/>
              <w:spacing w:before="0" w:after="0"/>
              <w:ind w:left="0" w:right="0" w:hanging="0"/>
              <w:rPr/>
            </w:pPr>
            <w:r>
              <w:rPr/>
              <w:t>​</w:t>
            </w:r>
          </w:p>
        </w:tc>
        <w:tc>
          <w:tcPr>
            <w:tcW w:w="654" w:type="dxa"/>
            <w:gridSpan w:val="2"/>
            <w:tcBorders/>
            <w:shd w:fill="auto" w:val="clear"/>
            <w:vAlign w:val="center"/>
          </w:tcPr>
          <w:p>
            <w:pPr>
              <w:pStyle w:val="TableContents"/>
              <w:spacing w:before="0" w:after="0"/>
              <w:ind w:left="0" w:right="0" w:hanging="0"/>
              <w:jc w:val="center"/>
              <w:rPr/>
            </w:pPr>
            <w:r>
              <w:rPr/>
              <w:t>​</w:t>
            </w:r>
          </w:p>
        </w:tc>
        <w:tc>
          <w:tcPr>
            <w:tcW w:w="653" w:type="dxa"/>
            <w:tcBorders/>
            <w:shd w:fill="auto" w:val="clear"/>
            <w:vAlign w:val="center"/>
          </w:tcPr>
          <w:p>
            <w:pPr>
              <w:pStyle w:val="TableContents"/>
              <w:spacing w:before="0" w:after="0"/>
              <w:ind w:left="0" w:right="0" w:hanging="0"/>
              <w:jc w:val="center"/>
              <w:rPr/>
            </w:pPr>
            <w:r>
              <w:rPr/>
              <w:t>​</w:t>
            </w:r>
          </w:p>
        </w:tc>
        <w:tc>
          <w:tcPr>
            <w:tcW w:w="87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54" w:type="dxa"/>
            <w:tcBorders/>
            <w:shd w:fill="auto" w:val="clear"/>
            <w:vAlign w:val="center"/>
          </w:tcPr>
          <w:p>
            <w:pPr>
              <w:pStyle w:val="TableContents"/>
              <w:spacing w:before="0" w:after="0"/>
              <w:ind w:left="0" w:right="0" w:hanging="0"/>
              <w:jc w:val="center"/>
              <w:rPr>
                <w:highlight w:val="yellow"/>
              </w:rPr>
            </w:pPr>
            <w:r>
              <w:rPr>
                <w:highlight w:val="yellow"/>
              </w:rPr>
              <w:t>​</w:t>
            </w:r>
          </w:p>
        </w:tc>
        <w:tc>
          <w:tcPr>
            <w:tcW w:w="109" w:type="dxa"/>
            <w:tcBorders/>
            <w:shd w:fill="auto" w:val="clear"/>
            <w:vAlign w:val="center"/>
          </w:tcPr>
          <w:p>
            <w:pPr>
              <w:pStyle w:val="TableContents"/>
              <w:spacing w:before="0" w:after="0"/>
              <w:ind w:left="0" w:right="0" w:hanging="0"/>
              <w:rPr>
                <w:highlight w:val="yellow"/>
              </w:rPr>
            </w:pPr>
            <w:r>
              <w:rPr>
                <w:highlight w:val="yellow"/>
              </w:rPr>
              <w:t>​</w:t>
            </w:r>
          </w:p>
        </w:tc>
        <w:tc>
          <w:tcPr>
            <w:tcW w:w="5910" w:type="dxa"/>
            <w:tcBorders/>
            <w:shd w:fill="auto" w:val="clear"/>
            <w:vAlign w:val="center"/>
          </w:tcPr>
          <w:p>
            <w:pPr>
              <w:pStyle w:val="TableContents"/>
              <w:spacing w:before="0" w:after="0"/>
              <w:ind w:left="0" w:right="0" w:hanging="0"/>
              <w:rPr>
                <w:highlight w:val="yellow"/>
              </w:rPr>
            </w:pPr>
            <w:r>
              <w:rPr>
                <w:highlight w:val="yellow"/>
              </w:rPr>
              <w:t>​</w:t>
            </w:r>
          </w:p>
        </w:tc>
        <w:tc>
          <w:tcPr>
            <w:tcW w:w="511" w:type="dxa"/>
            <w:tcBorders/>
            <w:shd w:fill="auto" w:val="clear"/>
            <w:vAlign w:val="center"/>
          </w:tcPr>
          <w:p>
            <w:pPr>
              <w:pStyle w:val="TableContents"/>
              <w:spacing w:before="0" w:after="0"/>
              <w:ind w:left="0" w:right="0" w:hanging="0"/>
              <w:jc w:val="center"/>
              <w:rPr>
                <w:highlight w:val="yellow"/>
              </w:rPr>
            </w:pPr>
            <w:r>
              <w:rPr>
                <w:highlight w:val="yellow"/>
              </w:rPr>
              <w:t>​</w:t>
            </w:r>
          </w:p>
        </w:tc>
        <w:tc>
          <w:tcPr>
            <w:tcW w:w="741" w:type="dxa"/>
            <w:tcBorders/>
            <w:shd w:fill="auto" w:val="clear"/>
            <w:vAlign w:val="center"/>
          </w:tcPr>
          <w:p>
            <w:pPr>
              <w:pStyle w:val="TableContents"/>
              <w:spacing w:before="0" w:after="0"/>
              <w:ind w:left="0" w:right="0" w:hanging="0"/>
              <w:rPr>
                <w:highlight w:val="yellow"/>
              </w:rPr>
            </w:pPr>
            <w:r>
              <w:rPr>
                <w:highlight w:val="yellow"/>
              </w:rPr>
              <w:t>​</w:t>
            </w:r>
          </w:p>
        </w:tc>
        <w:tc>
          <w:tcPr>
            <w:tcW w:w="654" w:type="dxa"/>
            <w:gridSpan w:val="2"/>
            <w:tcBorders/>
            <w:shd w:fill="auto" w:val="clear"/>
            <w:vAlign w:val="center"/>
          </w:tcPr>
          <w:p>
            <w:pPr>
              <w:pStyle w:val="TableContents"/>
              <w:spacing w:before="0" w:after="0"/>
              <w:ind w:left="0" w:right="0" w:hanging="0"/>
              <w:jc w:val="center"/>
              <w:rPr>
                <w:highlight w:val="yellow"/>
              </w:rPr>
            </w:pPr>
            <w:r>
              <w:rPr>
                <w:highlight w:val="yellow"/>
              </w:rPr>
              <w:t>​</w:t>
            </w:r>
          </w:p>
        </w:tc>
        <w:tc>
          <w:tcPr>
            <w:tcW w:w="653" w:type="dxa"/>
            <w:tcBorders/>
            <w:shd w:fill="auto" w:val="clear"/>
            <w:vAlign w:val="center"/>
          </w:tcPr>
          <w:p>
            <w:pPr>
              <w:pStyle w:val="TableContents"/>
              <w:spacing w:before="0" w:after="0"/>
              <w:ind w:left="0" w:right="0" w:hanging="0"/>
              <w:jc w:val="center"/>
              <w:rPr>
                <w:highlight w:val="yellow"/>
              </w:rPr>
            </w:pPr>
            <w:r>
              <w:rPr>
                <w:highlight w:val="yellow"/>
              </w:rPr>
              <w:t>​</w:t>
            </w:r>
          </w:p>
        </w:tc>
        <w:tc>
          <w:tcPr>
            <w:tcW w:w="873" w:type="dxa"/>
            <w:tcBorders/>
            <w:shd w:fill="auto" w:val="clear"/>
            <w:vAlign w:val="center"/>
          </w:tcPr>
          <w:p>
            <w:pPr>
              <w:pStyle w:val="TableContents"/>
              <w:spacing w:before="0" w:after="0"/>
              <w:ind w:left="0" w:right="0" w:hanging="0"/>
              <w:rPr/>
            </w:pPr>
            <w:r>
              <w:rPr/>
              <w:t>​</w:t>
            </w:r>
          </w:p>
        </w:tc>
      </w:tr>
      <w:tr>
        <w:trPr/>
        <w:tc>
          <w:tcPr>
            <w:tcW w:w="754" w:type="dxa"/>
            <w:tcBorders/>
            <w:shd w:fill="auto" w:val="clear"/>
            <w:vAlign w:val="center"/>
          </w:tcPr>
          <w:p>
            <w:pPr>
              <w:pStyle w:val="TableContents"/>
              <w:spacing w:before="0" w:after="0"/>
              <w:ind w:left="0" w:right="0" w:hanging="0"/>
              <w:jc w:val="center"/>
              <w:rPr>
                <w:rFonts w:ascii="Times New Roman;Times;serif" w:hAnsi="Times New Roman;Times;serif"/>
                <w:sz w:val="20"/>
                <w:highlight w:val="white"/>
              </w:rPr>
            </w:pPr>
            <w:r>
              <w:rPr>
                <w:rFonts w:ascii="Times New Roman;Times;serif" w:hAnsi="Times New Roman;Times;serif"/>
                <w:sz w:val="20"/>
                <w:highlight w:val="white"/>
              </w:rPr>
              <w:t>31.1</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hyperlink w:anchor="btai-20230331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511" w:type="dxa"/>
            <w:tcBorders/>
            <w:shd w:fill="auto" w:val="clear"/>
            <w:vAlign w:val="center"/>
          </w:tcPr>
          <w:p>
            <w:pPr>
              <w:pStyle w:val="TableContents"/>
              <w:spacing w:before="0" w:after="0"/>
              <w:ind w:left="0" w:right="0" w:hanging="0"/>
              <w:jc w:val="center"/>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653" w:type="dxa"/>
            <w:tcBorders/>
            <w:shd w:fill="auto" w:val="clear"/>
            <w:vAlign w:val="center"/>
          </w:tcPr>
          <w:p>
            <w:pPr>
              <w:pStyle w:val="TableContents"/>
              <w:spacing w:before="0" w:after="0"/>
              <w:ind w:left="0" w:right="0" w:hanging="0"/>
              <w:jc w:val="center"/>
              <w:rPr/>
            </w:pPr>
            <w:r>
              <w:rPr/>
              <w:t>​</w:t>
            </w:r>
          </w:p>
        </w:tc>
        <w:tc>
          <w:tcPr>
            <w:tcW w:w="873"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754"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653" w:type="dxa"/>
            <w:tcBorders/>
            <w:shd w:fill="auto" w:val="clear"/>
            <w:vAlign w:val="center"/>
          </w:tcPr>
          <w:p>
            <w:pPr>
              <w:pStyle w:val="TableContents"/>
              <w:spacing w:before="0" w:after="0"/>
              <w:ind w:left="0" w:right="0" w:hanging="0"/>
              <w:jc w:val="center"/>
              <w:rPr/>
            </w:pPr>
            <w:r>
              <w:rPr/>
              <w:t>​</w:t>
            </w:r>
          </w:p>
        </w:tc>
        <w:tc>
          <w:tcPr>
            <w:tcW w:w="873" w:type="dxa"/>
            <w:tcBorders/>
            <w:shd w:fill="auto" w:val="clear"/>
            <w:vAlign w:val="center"/>
          </w:tcPr>
          <w:p>
            <w:pPr>
              <w:pStyle w:val="TableContents"/>
              <w:spacing w:before="0" w:after="0"/>
              <w:ind w:left="0" w:right="0" w:hanging="0"/>
              <w:jc w:val="center"/>
              <w:rPr/>
            </w:pPr>
            <w:r>
              <w:rPr/>
              <w:t>​</w:t>
            </w:r>
          </w:p>
        </w:tc>
      </w:tr>
      <w:tr>
        <w:trPr/>
        <w:tc>
          <w:tcPr>
            <w:tcW w:w="754" w:type="dxa"/>
            <w:tcBorders/>
            <w:shd w:fill="auto" w:val="clear"/>
            <w:vAlign w:val="center"/>
          </w:tcPr>
          <w:p>
            <w:pPr>
              <w:pStyle w:val="TableContents"/>
              <w:spacing w:before="0" w:after="0"/>
              <w:ind w:left="0" w:right="0" w:hanging="0"/>
              <w:jc w:val="center"/>
              <w:rPr>
                <w:rFonts w:ascii="Times New Roman;Times;serif" w:hAnsi="Times New Roman;Times;serif"/>
                <w:sz w:val="20"/>
                <w:highlight w:val="white"/>
              </w:rPr>
            </w:pPr>
            <w:r>
              <w:rPr>
                <w:rFonts w:ascii="Times New Roman;Times;serif" w:hAnsi="Times New Roman;Times;serif"/>
                <w:sz w:val="20"/>
                <w:highlight w:val="white"/>
              </w:rPr>
              <w:t>31.2</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hyperlink w:anchor="btai-20230331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511" w:type="dxa"/>
            <w:tcBorders/>
            <w:shd w:fill="auto" w:val="clear"/>
            <w:vAlign w:val="center"/>
          </w:tcPr>
          <w:p>
            <w:pPr>
              <w:pStyle w:val="TableContents"/>
              <w:spacing w:before="0" w:after="0"/>
              <w:ind w:left="0" w:right="0" w:hanging="0"/>
              <w:jc w:val="center"/>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653" w:type="dxa"/>
            <w:tcBorders/>
            <w:shd w:fill="auto" w:val="clear"/>
            <w:vAlign w:val="center"/>
          </w:tcPr>
          <w:p>
            <w:pPr>
              <w:pStyle w:val="TableContents"/>
              <w:spacing w:before="0" w:after="0"/>
              <w:ind w:left="0" w:right="0" w:hanging="0"/>
              <w:jc w:val="center"/>
              <w:rPr/>
            </w:pPr>
            <w:r>
              <w:rPr/>
              <w:t>​</w:t>
            </w:r>
          </w:p>
        </w:tc>
        <w:tc>
          <w:tcPr>
            <w:tcW w:w="873"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754"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653" w:type="dxa"/>
            <w:tcBorders/>
            <w:shd w:fill="auto" w:val="clear"/>
            <w:vAlign w:val="center"/>
          </w:tcPr>
          <w:p>
            <w:pPr>
              <w:pStyle w:val="TableContents"/>
              <w:spacing w:before="0" w:after="0"/>
              <w:ind w:left="0" w:right="0" w:hanging="0"/>
              <w:jc w:val="center"/>
              <w:rPr/>
            </w:pPr>
            <w:r>
              <w:rPr/>
              <w:t>​</w:t>
            </w:r>
          </w:p>
        </w:tc>
        <w:tc>
          <w:tcPr>
            <w:tcW w:w="873" w:type="dxa"/>
            <w:tcBorders/>
            <w:shd w:fill="auto" w:val="clear"/>
            <w:vAlign w:val="center"/>
          </w:tcPr>
          <w:p>
            <w:pPr>
              <w:pStyle w:val="TableContents"/>
              <w:spacing w:before="0" w:after="0"/>
              <w:ind w:left="0" w:right="0" w:hanging="0"/>
              <w:jc w:val="center"/>
              <w:rPr/>
            </w:pPr>
            <w:r>
              <w:rPr/>
              <w:t>​</w:t>
            </w:r>
          </w:p>
        </w:tc>
      </w:tr>
      <w:tr>
        <w:trPr/>
        <w:tc>
          <w:tcPr>
            <w:tcW w:w="754" w:type="dxa"/>
            <w:tcBorders/>
            <w:shd w:fill="auto" w:val="clear"/>
            <w:vAlign w:val="center"/>
          </w:tcPr>
          <w:p>
            <w:pPr>
              <w:pStyle w:val="TableContents"/>
              <w:spacing w:before="0" w:after="0"/>
              <w:ind w:left="0" w:right="0" w:hanging="0"/>
              <w:jc w:val="center"/>
              <w:rPr>
                <w:rFonts w:ascii="Times New Roman;Times;serif" w:hAnsi="Times New Roman;Times;serif"/>
                <w:sz w:val="20"/>
                <w:highlight w:val="white"/>
              </w:rPr>
            </w:pPr>
            <w:r>
              <w:rPr>
                <w:rFonts w:ascii="Times New Roman;Times;serif" w:hAnsi="Times New Roman;Times;serif"/>
                <w:sz w:val="20"/>
                <w:highlight w:val="white"/>
              </w:rPr>
              <w:t>32.1</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hyperlink w:anchor="btai-2023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511" w:type="dxa"/>
            <w:tcBorders/>
            <w:shd w:fill="auto" w:val="clear"/>
            <w:vAlign w:val="center"/>
          </w:tcPr>
          <w:p>
            <w:pPr>
              <w:pStyle w:val="TableContents"/>
              <w:spacing w:before="0" w:after="0"/>
              <w:ind w:left="0" w:right="0" w:hanging="0"/>
              <w:jc w:val="center"/>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653" w:type="dxa"/>
            <w:tcBorders/>
            <w:shd w:fill="auto" w:val="clear"/>
            <w:vAlign w:val="center"/>
          </w:tcPr>
          <w:p>
            <w:pPr>
              <w:pStyle w:val="TableContents"/>
              <w:spacing w:before="0" w:after="0"/>
              <w:ind w:left="0" w:right="0" w:hanging="0"/>
              <w:jc w:val="center"/>
              <w:rPr/>
            </w:pPr>
            <w:r>
              <w:rPr/>
              <w:t>​</w:t>
            </w:r>
          </w:p>
        </w:tc>
        <w:tc>
          <w:tcPr>
            <w:tcW w:w="873"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754"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jc w:val="center"/>
              <w:rPr/>
            </w:pPr>
            <w:r>
              <w:rPr/>
              <w:t>​</w:t>
            </w:r>
          </w:p>
        </w:tc>
        <w:tc>
          <w:tcPr>
            <w:tcW w:w="873" w:type="dxa"/>
            <w:tcBorders/>
            <w:shd w:fill="auto" w:val="clear"/>
            <w:vAlign w:val="center"/>
          </w:tcPr>
          <w:p>
            <w:pPr>
              <w:pStyle w:val="TableContents"/>
              <w:spacing w:before="0" w:after="0"/>
              <w:ind w:left="0" w:right="0" w:hanging="0"/>
              <w:jc w:val="center"/>
              <w:rPr/>
            </w:pPr>
            <w:r>
              <w:rPr/>
              <w:t>​</w:t>
            </w:r>
          </w:p>
        </w:tc>
      </w:tr>
      <w:tr>
        <w:trPr/>
        <w:tc>
          <w:tcPr>
            <w:tcW w:w="754" w:type="dxa"/>
            <w:tcBorders/>
            <w:shd w:fill="auto" w:val="clear"/>
            <w:vAlign w:val="center"/>
          </w:tcPr>
          <w:p>
            <w:pPr>
              <w:pStyle w:val="TableContents"/>
              <w:spacing w:before="0" w:after="0"/>
              <w:ind w:left="0" w:right="0" w:hanging="0"/>
              <w:jc w:val="center"/>
              <w:rPr>
                <w:rFonts w:ascii="Times New Roman;Times;serif" w:hAnsi="Times New Roman;Times;serif"/>
                <w:sz w:val="20"/>
                <w:highlight w:val="white"/>
              </w:rPr>
            </w:pPr>
            <w:r>
              <w:rPr>
                <w:rFonts w:ascii="Times New Roman;Times;serif" w:hAnsi="Times New Roman;Times;serif"/>
                <w:sz w:val="20"/>
                <w:highlight w:val="white"/>
              </w:rPr>
              <w:t>32.2</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hyperlink w:anchor="btai-202303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511" w:type="dxa"/>
            <w:tcBorders/>
            <w:shd w:fill="auto" w:val="clear"/>
            <w:vAlign w:val="center"/>
          </w:tcPr>
          <w:p>
            <w:pPr>
              <w:pStyle w:val="TableContents"/>
              <w:spacing w:before="0" w:after="0"/>
              <w:ind w:left="0" w:right="0" w:hanging="0"/>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754"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pPr>
            <w:r>
              <w:rPr/>
              <w:t>​</w:t>
            </w:r>
          </w:p>
        </w:tc>
      </w:tr>
      <w:tr>
        <w:trPr/>
        <w:tc>
          <w:tcPr>
            <w:tcW w:w="754" w:type="dxa"/>
            <w:tcBorders/>
            <w:shd w:fill="auto" w:val="clear"/>
            <w:vAlign w:val="center"/>
          </w:tcPr>
          <w:p>
            <w:pPr>
              <w:pStyle w:val="TableContents"/>
              <w:spacing w:before="0" w:after="0"/>
              <w:ind w:left="0" w:right="0" w:hanging="0"/>
              <w:jc w:val="center"/>
              <w:rPr>
                <w:rFonts w:ascii="Times New Roman;Times;serif" w:hAnsi="Times New Roman;Times;serif"/>
                <w:sz w:val="20"/>
                <w:highlight w:val="white"/>
              </w:rPr>
            </w:pPr>
            <w:r>
              <w:rPr>
                <w:rFonts w:ascii="Times New Roman;Times;serif" w:hAnsi="Times New Roman;Times;serif"/>
                <w:sz w:val="20"/>
                <w:highlight w:val="white"/>
              </w:rPr>
              <w:t>101.INS</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Instance Document</w:t>
            </w:r>
          </w:p>
        </w:tc>
        <w:tc>
          <w:tcPr>
            <w:tcW w:w="511" w:type="dxa"/>
            <w:tcBorders/>
            <w:shd w:fill="auto" w:val="clear"/>
            <w:vAlign w:val="center"/>
          </w:tcPr>
          <w:p>
            <w:pPr>
              <w:pStyle w:val="TableContents"/>
              <w:spacing w:before="0" w:after="0"/>
              <w:ind w:left="0" w:right="0" w:hanging="0"/>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754"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the instance document does not appear in the Interactive Data File because its XBRL tags are embedded within the Inline XBRL document</w:t>
            </w:r>
          </w:p>
        </w:tc>
        <w:tc>
          <w:tcPr>
            <w:tcW w:w="511" w:type="dxa"/>
            <w:tcBorders/>
            <w:shd w:fill="auto" w:val="clear"/>
            <w:vAlign w:val="center"/>
          </w:tcPr>
          <w:p>
            <w:pPr>
              <w:pStyle w:val="TableContents"/>
              <w:spacing w:before="0" w:after="0"/>
              <w:ind w:left="0" w:right="0" w:hanging="0"/>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pPr>
            <w:r>
              <w:rPr/>
              <w:t>​</w:t>
            </w:r>
          </w:p>
        </w:tc>
      </w:tr>
      <w:tr>
        <w:trPr/>
        <w:tc>
          <w:tcPr>
            <w:tcW w:w="754"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pPr>
            <w:r>
              <w:rPr/>
              <w:t>​</w:t>
            </w:r>
          </w:p>
        </w:tc>
      </w:tr>
      <w:tr>
        <w:trPr/>
        <w:tc>
          <w:tcPr>
            <w:tcW w:w="754" w:type="dxa"/>
            <w:tcBorders/>
            <w:shd w:fill="auto" w:val="clear"/>
            <w:vAlign w:val="center"/>
          </w:tcPr>
          <w:p>
            <w:pPr>
              <w:pStyle w:val="TableContents"/>
              <w:spacing w:before="0" w:after="0"/>
              <w:ind w:left="0" w:right="0" w:hanging="0"/>
              <w:jc w:val="center"/>
              <w:rPr>
                <w:rFonts w:ascii="Times New Roman;Times;serif" w:hAnsi="Times New Roman;Times;serif"/>
                <w:sz w:val="20"/>
                <w:highlight w:val="white"/>
              </w:rPr>
            </w:pPr>
            <w:r>
              <w:rPr>
                <w:rFonts w:ascii="Times New Roman;Times;serif" w:hAnsi="Times New Roman;Times;serif"/>
                <w:sz w:val="20"/>
                <w:highlight w:val="white"/>
              </w:rPr>
              <w:t>101.SCH</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c>
          <w:tcPr>
            <w:tcW w:w="511" w:type="dxa"/>
            <w:tcBorders/>
            <w:shd w:fill="auto" w:val="clear"/>
            <w:vAlign w:val="center"/>
          </w:tcPr>
          <w:p>
            <w:pPr>
              <w:pStyle w:val="TableContents"/>
              <w:spacing w:before="0" w:after="0"/>
              <w:ind w:left="0" w:right="0" w:hanging="0"/>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754"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pPr>
            <w:r>
              <w:rPr/>
              <w:t>​</w:t>
            </w:r>
          </w:p>
        </w:tc>
      </w:tr>
      <w:tr>
        <w:trPr/>
        <w:tc>
          <w:tcPr>
            <w:tcW w:w="754" w:type="dxa"/>
            <w:tcBorders/>
            <w:shd w:fill="auto" w:val="clear"/>
            <w:vAlign w:val="center"/>
          </w:tcPr>
          <w:p>
            <w:pPr>
              <w:pStyle w:val="TableContents"/>
              <w:spacing w:before="0" w:after="0"/>
              <w:ind w:left="0" w:right="0" w:hanging="0"/>
              <w:jc w:val="center"/>
              <w:rPr>
                <w:rFonts w:ascii="Times New Roman;Times;serif" w:hAnsi="Times New Roman;Times;serif"/>
                <w:sz w:val="20"/>
                <w:highlight w:val="white"/>
              </w:rPr>
            </w:pPr>
            <w:r>
              <w:rPr>
                <w:rFonts w:ascii="Times New Roman;Times;serif" w:hAnsi="Times New Roman;Times;serif"/>
                <w:sz w:val="20"/>
                <w:highlight w:val="white"/>
              </w:rPr>
              <w:t>101.CAL</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511" w:type="dxa"/>
            <w:tcBorders/>
            <w:shd w:fill="auto" w:val="clear"/>
            <w:vAlign w:val="center"/>
          </w:tcPr>
          <w:p>
            <w:pPr>
              <w:pStyle w:val="TableContents"/>
              <w:spacing w:before="0" w:after="0"/>
              <w:ind w:left="0" w:right="0" w:hanging="0"/>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754"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pPr>
            <w:r>
              <w:rPr/>
              <w:t>​</w:t>
            </w:r>
          </w:p>
        </w:tc>
      </w:tr>
      <w:tr>
        <w:trPr/>
        <w:tc>
          <w:tcPr>
            <w:tcW w:w="754" w:type="dxa"/>
            <w:tcBorders/>
            <w:shd w:fill="auto" w:val="clear"/>
            <w:vAlign w:val="center"/>
          </w:tcPr>
          <w:p>
            <w:pPr>
              <w:pStyle w:val="TableContents"/>
              <w:spacing w:before="0" w:after="0"/>
              <w:ind w:left="0" w:right="0" w:hanging="0"/>
              <w:jc w:val="center"/>
              <w:rPr>
                <w:rFonts w:ascii="Times New Roman;Times;serif" w:hAnsi="Times New Roman;Times;serif"/>
                <w:sz w:val="20"/>
                <w:highlight w:val="white"/>
              </w:rPr>
            </w:pPr>
            <w:r>
              <w:rPr>
                <w:rFonts w:ascii="Times New Roman;Times;serif" w:hAnsi="Times New Roman;Times;serif"/>
                <w:sz w:val="20"/>
                <w:highlight w:val="white"/>
              </w:rPr>
              <w:t>101.DEF</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511" w:type="dxa"/>
            <w:tcBorders/>
            <w:shd w:fill="auto" w:val="clear"/>
            <w:vAlign w:val="center"/>
          </w:tcPr>
          <w:p>
            <w:pPr>
              <w:pStyle w:val="TableContents"/>
              <w:spacing w:before="0" w:after="0"/>
              <w:ind w:left="0" w:right="0" w:hanging="0"/>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754"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pPr>
            <w:r>
              <w:rPr/>
              <w:t>​</w:t>
            </w:r>
          </w:p>
        </w:tc>
      </w:tr>
      <w:tr>
        <w:trPr/>
        <w:tc>
          <w:tcPr>
            <w:tcW w:w="754" w:type="dxa"/>
            <w:tcBorders/>
            <w:shd w:fill="auto" w:val="clear"/>
            <w:vAlign w:val="center"/>
          </w:tcPr>
          <w:p>
            <w:pPr>
              <w:pStyle w:val="TableContents"/>
              <w:spacing w:before="0" w:after="0"/>
              <w:ind w:left="0" w:right="0" w:hanging="0"/>
              <w:jc w:val="center"/>
              <w:rPr>
                <w:rFonts w:ascii="Times New Roman;Times;serif" w:hAnsi="Times New Roman;Times;serif"/>
                <w:sz w:val="20"/>
                <w:highlight w:val="white"/>
              </w:rPr>
            </w:pPr>
            <w:r>
              <w:rPr>
                <w:rFonts w:ascii="Times New Roman;Times;serif" w:hAnsi="Times New Roman;Times;serif"/>
                <w:sz w:val="20"/>
                <w:highlight w:val="white"/>
              </w:rPr>
              <w:t>101.LAB</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511" w:type="dxa"/>
            <w:tcBorders/>
            <w:shd w:fill="auto" w:val="clear"/>
            <w:vAlign w:val="center"/>
          </w:tcPr>
          <w:p>
            <w:pPr>
              <w:pStyle w:val="TableContents"/>
              <w:spacing w:before="0" w:after="0"/>
              <w:ind w:left="0" w:right="0" w:hanging="0"/>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754"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pPr>
            <w:r>
              <w:rPr/>
              <w:t>​</w:t>
            </w:r>
          </w:p>
        </w:tc>
      </w:tr>
      <w:tr>
        <w:trPr/>
        <w:tc>
          <w:tcPr>
            <w:tcW w:w="754" w:type="dxa"/>
            <w:tcBorders/>
            <w:shd w:fill="auto" w:val="clear"/>
            <w:vAlign w:val="center"/>
          </w:tcPr>
          <w:p>
            <w:pPr>
              <w:pStyle w:val="TableContents"/>
              <w:spacing w:before="0" w:after="0"/>
              <w:ind w:left="0" w:right="0" w:hanging="0"/>
              <w:jc w:val="center"/>
              <w:rPr>
                <w:rFonts w:ascii="Times New Roman;Times;serif" w:hAnsi="Times New Roman;Times;serif"/>
                <w:sz w:val="20"/>
                <w:highlight w:val="white"/>
              </w:rPr>
            </w:pPr>
            <w:r>
              <w:rPr>
                <w:rFonts w:ascii="Times New Roman;Times;serif" w:hAnsi="Times New Roman;Times;serif"/>
                <w:sz w:val="20"/>
                <w:highlight w:val="white"/>
              </w:rPr>
              <w:t>101.PRE</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511" w:type="dxa"/>
            <w:tcBorders/>
            <w:shd w:fill="auto" w:val="clear"/>
            <w:vAlign w:val="center"/>
          </w:tcPr>
          <w:p>
            <w:pPr>
              <w:pStyle w:val="TableContents"/>
              <w:spacing w:before="0" w:after="0"/>
              <w:ind w:left="0" w:right="0" w:hanging="0"/>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54"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5910"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764" w:type="dxa"/>
            <w:gridSpan w:val="2"/>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653" w:type="dxa"/>
            <w:tcBorders/>
            <w:shd w:fill="auto" w:val="clear"/>
            <w:vAlign w:val="center"/>
          </w:tcPr>
          <w:p>
            <w:pPr>
              <w:pStyle w:val="TableContents"/>
              <w:spacing w:before="0" w:after="0"/>
              <w:ind w:left="0" w:right="0" w:hanging="0"/>
              <w:rPr/>
            </w:pPr>
            <w:r>
              <w:rPr/>
              <w:t>​</w:t>
            </w:r>
          </w:p>
        </w:tc>
        <w:tc>
          <w:tcPr>
            <w:tcW w:w="873" w:type="dxa"/>
            <w:tcBorders/>
            <w:shd w:fill="auto" w:val="clear"/>
            <w:vAlign w:val="center"/>
          </w:tcPr>
          <w:p>
            <w:pPr>
              <w:pStyle w:val="TableContents"/>
              <w:spacing w:before="0" w:after="0"/>
              <w:ind w:left="0" w:right="0" w:hanging="0"/>
              <w:jc w:val="center"/>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693" w:type="dxa"/>
        <w:jc w:val="left"/>
        <w:tblInd w:w="0" w:type="dxa"/>
        <w:tblCellMar>
          <w:top w:w="0" w:type="dxa"/>
          <w:left w:w="0" w:type="dxa"/>
          <w:bottom w:w="0" w:type="dxa"/>
          <w:right w:w="0" w:type="dxa"/>
        </w:tblCellMar>
      </w:tblPr>
      <w:tblGrid>
        <w:gridCol w:w="436"/>
        <w:gridCol w:w="109"/>
        <w:gridCol w:w="7456"/>
        <w:gridCol w:w="109"/>
        <w:gridCol w:w="109"/>
        <w:gridCol w:w="109"/>
        <w:gridCol w:w="109"/>
        <w:gridCol w:w="256"/>
      </w:tblGrid>
      <w:tr>
        <w:trPr/>
        <w:tc>
          <w:tcPr>
            <w:tcW w:w="436" w:type="dxa"/>
            <w:tcBorders/>
            <w:shd w:fill="auto" w:val="clear"/>
            <w:vAlign w:val="center"/>
          </w:tcPr>
          <w:p>
            <w:pPr>
              <w:pStyle w:val="TableContents"/>
              <w:spacing w:before="0" w:after="0"/>
              <w:ind w:left="0" w:right="0" w:hanging="0"/>
              <w:jc w:val="center"/>
              <w:rPr>
                <w:rFonts w:ascii="Times New Roman;Times;serif" w:hAnsi="Times New Roman;Times;serif"/>
                <w:sz w:val="20"/>
                <w:highlight w:val="white"/>
              </w:rPr>
            </w:pPr>
            <w:r>
              <w:rPr>
                <w:rFonts w:ascii="Times New Roman;Times;serif" w:hAnsi="Times New Roman;Times;serif"/>
                <w:sz w:val="20"/>
                <w:highlight w:val="white"/>
              </w:rPr>
              <w:t>104</w:t>
            </w:r>
          </w:p>
        </w:tc>
        <w:tc>
          <w:tcPr>
            <w:tcW w:w="109" w:type="dxa"/>
            <w:tcBorders/>
            <w:shd w:fill="auto" w:val="clear"/>
            <w:vAlign w:val="center"/>
          </w:tcPr>
          <w:p>
            <w:pPr>
              <w:pStyle w:val="TableContents"/>
              <w:spacing w:before="0" w:after="0"/>
              <w:ind w:left="0" w:right="0" w:hanging="0"/>
              <w:rPr/>
            </w:pPr>
            <w:r>
              <w:rPr/>
              <w:t>​</w:t>
            </w:r>
          </w:p>
        </w:tc>
        <w:tc>
          <w:tcPr>
            <w:tcW w:w="74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bl>
    <w:tbl>
      <w:tblPr>
        <w:tblW w:w="1592" w:type="dxa"/>
        <w:jc w:val="left"/>
        <w:tblInd w:w="0" w:type="dxa"/>
        <w:tblCellMar>
          <w:top w:w="0" w:type="dxa"/>
          <w:left w:w="0" w:type="dxa"/>
          <w:bottom w:w="0" w:type="dxa"/>
          <w:right w:w="0" w:type="dxa"/>
        </w:tblCellMar>
      </w:tblPr>
      <w:tblGrid>
        <w:gridCol w:w="226"/>
        <w:gridCol w:w="1366"/>
      </w:tblGrid>
      <w:tr>
        <w:trPr/>
        <w:tc>
          <w:tcPr>
            <w:tcW w:w="226" w:type="dxa"/>
            <w:tcBorders/>
            <w:shd w:fill="auto" w:val="clear"/>
            <w:vAlign w:val="center"/>
          </w:tcPr>
          <w:p>
            <w:pPr>
              <w:pStyle w:val="TableContents"/>
              <w:spacing w:before="40" w:after="0"/>
              <w:rPr>
                <w:rFonts w:ascii="Times New Roman;Times;serif" w:hAnsi="Times New Roman;Times;serif"/>
                <w:sz w:val="20"/>
              </w:rPr>
            </w:pPr>
            <w:r>
              <w:rPr>
                <w:rFonts w:ascii="Times New Roman;Times;serif" w:hAnsi="Times New Roman;Times;serif"/>
                <w:sz w:val="20"/>
              </w:rPr>
              <w:t>*</w:t>
            </w:r>
          </w:p>
        </w:tc>
        <w:tc>
          <w:tcPr>
            <w:tcW w:w="1366" w:type="dxa"/>
            <w:tcBorders/>
            <w:shd w:fill="auto" w:val="clear"/>
            <w:vAlign w:val="center"/>
          </w:tcPr>
          <w:p>
            <w:pPr>
              <w:pStyle w:val="TableContents"/>
              <w:spacing w:before="40" w:after="0"/>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CellMar>
          <w:top w:w="0" w:type="dxa"/>
          <w:left w:w="0" w:type="dxa"/>
          <w:bottom w:w="0" w:type="dxa"/>
          <w:right w:w="0" w:type="dxa"/>
        </w:tblCellMar>
      </w:tblPr>
      <w:tblGrid>
        <w:gridCol w:w="331"/>
        <w:gridCol w:w="1756"/>
      </w:tblGrid>
      <w:tr>
        <w:trPr/>
        <w:tc>
          <w:tcPr>
            <w:tcW w:w="331" w:type="dxa"/>
            <w:tcBorders/>
            <w:shd w:fill="auto" w:val="clear"/>
            <w:vAlign w:val="center"/>
          </w:tcPr>
          <w:p>
            <w:pPr>
              <w:pStyle w:val="TableContents"/>
              <w:spacing w:before="40" w:after="0"/>
              <w:rPr>
                <w:rFonts w:ascii="Times New Roman;Times;serif" w:hAnsi="Times New Roman;Times;serif"/>
                <w:sz w:val="20"/>
              </w:rPr>
            </w:pPr>
            <w:r>
              <w:rPr>
                <w:rFonts w:ascii="Times New Roman;Times;serif" w:hAnsi="Times New Roman;Times;serif"/>
                <w:sz w:val="20"/>
              </w:rPr>
              <w:t>**</w:t>
            </w:r>
          </w:p>
        </w:tc>
        <w:tc>
          <w:tcPr>
            <w:tcW w:w="1756" w:type="dxa"/>
            <w:tcBorders/>
            <w:shd w:fill="auto" w:val="clear"/>
            <w:vAlign w:val="center"/>
          </w:tcPr>
          <w:p>
            <w:pPr>
              <w:pStyle w:val="TableContents"/>
              <w:spacing w:before="40" w:after="0"/>
              <w:rPr>
                <w:rFonts w:ascii="Times New Roman;Times;serif" w:hAnsi="Times New Roman;Times;serif"/>
                <w:sz w:val="20"/>
              </w:rPr>
            </w:pPr>
            <w:r>
              <w:rPr>
                <w:rFonts w:ascii="Times New Roman;Times;serif" w:hAnsi="Times New Roman;Times;serif"/>
                <w:sz w:val="20"/>
              </w:rPr>
              <w:t>Furnished herewith.</w:t>
            </w:r>
          </w:p>
        </w:tc>
      </w:tr>
    </w:tbl>
    <w:p>
      <w:pPr>
        <w:pStyle w:val="TextBody"/>
        <w:pBdr/>
        <w:spacing w:before="0" w:after="0"/>
        <w:ind w:left="0" w:right="0" w:hanging="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797" w:name="SIGNATURES_228043"/>
      <w:bookmarkStart w:id="798" w:name="_0185d259_d0f5_4d79_b32c_2965897e51b8"/>
      <w:bookmarkEnd w:id="797"/>
      <w:bookmarkEnd w:id="798"/>
      <w:r>
        <w:rPr>
          <w:rFonts w:ascii="Times New Roman;Times;serif" w:hAnsi="Times New Roman;Times;serif"/>
          <w:b/>
          <w:sz w:val="20"/>
        </w:rPr>
        <w:t>SIGNATURES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4262" w:type="dxa"/>
        <w:jc w:val="left"/>
        <w:tblInd w:w="0" w:type="dxa"/>
        <w:tblCellMar>
          <w:top w:w="0" w:type="dxa"/>
          <w:left w:w="0" w:type="dxa"/>
          <w:bottom w:w="0" w:type="dxa"/>
          <w:right w:w="0" w:type="dxa"/>
        </w:tblCellMar>
      </w:tblPr>
      <w:tblGrid>
        <w:gridCol w:w="1741"/>
        <w:gridCol w:w="2521"/>
      </w:tblGrid>
      <w:tr>
        <w:trPr/>
        <w:tc>
          <w:tcPr>
            <w:tcW w:w="1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105535" cy="175260"/>
                      <wp:effectExtent l="0" t="0" r="0" b="0"/>
                      <wp:wrapNone/>
                      <wp:docPr id="218" name="Frame216"/>
                      <a:graphic xmlns:a="http://schemas.openxmlformats.org/drawingml/2006/main">
                        <a:graphicData uri="http://schemas.microsoft.com/office/word/2010/wordprocessingShape">
                          <wps:wsp>
                            <wps:cNvSpPr txBox="1"/>
                            <wps:spPr>
                              <a:xfrm>
                                <a:off x="0" y="0"/>
                                <a:ext cx="1105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600835" cy="175260"/>
                      <wp:effectExtent l="0" t="0" r="0" b="0"/>
                      <wp:wrapNone/>
                      <wp:docPr id="219" name="Frame217"/>
                      <a:graphic xmlns:a="http://schemas.openxmlformats.org/drawingml/2006/main">
                        <a:graphicData uri="http://schemas.microsoft.com/office/word/2010/wordprocessingShape">
                          <wps:wsp>
                            <wps:cNvSpPr txBox="1"/>
                            <wps:spPr>
                              <a:xfrm>
                                <a:off x="0" y="0"/>
                                <a:ext cx="1600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41" w:type="dxa"/>
            <w:tcBorders/>
            <w:shd w:fill="auto" w:val="clear"/>
            <w:vAlign w:val="center"/>
          </w:tcPr>
          <w:p>
            <w:pPr>
              <w:pStyle w:val="TableContents"/>
              <w:pBdr/>
              <w:spacing w:before="0" w:after="240"/>
              <w:ind w:left="0" w:right="0" w:hanging="0"/>
              <w:rPr/>
            </w:pPr>
            <w:r>
              <w:rPr/>
              <w:t>​</w:t>
            </w:r>
          </w:p>
        </w:tc>
        <w:tc>
          <w:tcPr>
            <w:tcW w:w="2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BioXcel Therapeutics, Inc.</w:t>
            </w:r>
          </w:p>
        </w:tc>
      </w:tr>
      <w:tr>
        <w:trPr/>
        <w:tc>
          <w:tcPr>
            <w:tcW w:w="1741" w:type="dxa"/>
            <w:tcBorders/>
            <w:shd w:fill="auto" w:val="clear"/>
            <w:vAlign w:val="center"/>
          </w:tcPr>
          <w:p>
            <w:pPr>
              <w:pStyle w:val="TableContents"/>
              <w:spacing w:before="0" w:after="240"/>
              <w:ind w:left="0" w:right="0" w:hanging="0"/>
              <w:rPr/>
            </w:pPr>
            <w:r>
              <w:rPr/>
              <w:t>​</w:t>
            </w:r>
          </w:p>
        </w:tc>
        <w:tc>
          <w:tcPr>
            <w:tcW w:w="2521" w:type="dxa"/>
            <w:tcBorders/>
            <w:shd w:fill="auto" w:val="clear"/>
            <w:vAlign w:val="center"/>
          </w:tcPr>
          <w:p>
            <w:pPr>
              <w:pStyle w:val="TableContents"/>
              <w:spacing w:before="0" w:after="240"/>
              <w:ind w:left="0" w:right="0" w:hanging="0"/>
              <w:rPr/>
            </w:pPr>
            <w:r>
              <w:rPr/>
              <w:t>​</w:t>
            </w:r>
          </w:p>
        </w:tc>
      </w:tr>
      <w:tr>
        <w:trPr/>
        <w:tc>
          <w:tcPr>
            <w:tcW w:w="1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Dated: May 8, 2023</w:t>
            </w:r>
          </w:p>
        </w:tc>
        <w:tc>
          <w:tcPr>
            <w:tcW w:w="2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r>
      <w:tr>
        <w:trPr/>
        <w:tc>
          <w:tcPr>
            <w:tcW w:w="1741" w:type="dxa"/>
            <w:tcBorders/>
            <w:shd w:fill="auto" w:val="clear"/>
            <w:vAlign w:val="center"/>
          </w:tcPr>
          <w:p>
            <w:pPr>
              <w:pStyle w:val="TableContents"/>
              <w:spacing w:before="0" w:after="240"/>
              <w:ind w:left="0" w:right="0" w:hanging="0"/>
              <w:rPr/>
            </w:pPr>
            <w:r>
              <w:rPr/>
              <w:t>​</w:t>
            </w:r>
          </w:p>
        </w:tc>
        <w:tc>
          <w:tcPr>
            <w:tcW w:w="252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Vimal Mehta</w:t>
            </w:r>
          </w:p>
        </w:tc>
      </w:tr>
      <w:tr>
        <w:trPr/>
        <w:tc>
          <w:tcPr>
            <w:tcW w:w="1741" w:type="dxa"/>
            <w:tcBorders/>
            <w:shd w:fill="auto" w:val="clear"/>
            <w:vAlign w:val="center"/>
          </w:tcPr>
          <w:p>
            <w:pPr>
              <w:pStyle w:val="TableContents"/>
              <w:spacing w:before="0" w:after="240"/>
              <w:ind w:left="0" w:right="0" w:hanging="0"/>
              <w:rPr/>
            </w:pPr>
            <w:r>
              <w:rPr/>
              <w:t>​</w:t>
            </w:r>
          </w:p>
        </w:tc>
        <w:tc>
          <w:tcPr>
            <w:tcW w:w="252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Vimal Mehta</w:t>
            </w:r>
          </w:p>
        </w:tc>
      </w:tr>
      <w:tr>
        <w:trPr/>
        <w:tc>
          <w:tcPr>
            <w:tcW w:w="1741" w:type="dxa"/>
            <w:tcBorders/>
            <w:shd w:fill="auto" w:val="clear"/>
            <w:vAlign w:val="center"/>
          </w:tcPr>
          <w:p>
            <w:pPr>
              <w:pStyle w:val="TableContents"/>
              <w:spacing w:before="0" w:after="240"/>
              <w:ind w:left="0" w:right="0" w:hanging="0"/>
              <w:rPr/>
            </w:pPr>
            <w:r>
              <w:rPr/>
              <w:t>​</w:t>
            </w:r>
          </w:p>
        </w:tc>
        <w:tc>
          <w:tcPr>
            <w:tcW w:w="2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r>
      <w:tr>
        <w:trPr/>
        <w:tc>
          <w:tcPr>
            <w:tcW w:w="1741" w:type="dxa"/>
            <w:tcBorders/>
            <w:shd w:fill="auto" w:val="clear"/>
            <w:vAlign w:val="center"/>
          </w:tcPr>
          <w:p>
            <w:pPr>
              <w:pStyle w:val="TableContents"/>
              <w:spacing w:before="0" w:after="240"/>
              <w:ind w:left="0" w:right="0" w:hanging="0"/>
              <w:rPr/>
            </w:pPr>
            <w:r>
              <w:rPr/>
              <w:t>​</w:t>
            </w:r>
          </w:p>
        </w:tc>
        <w:tc>
          <w:tcPr>
            <w:tcW w:w="252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(Principal Executive Officer)</w:t>
            </w:r>
          </w:p>
        </w:tc>
      </w:tr>
      <w:tr>
        <w:trPr/>
        <w:tc>
          <w:tcPr>
            <w:tcW w:w="1741" w:type="dxa"/>
            <w:tcBorders/>
            <w:shd w:fill="auto" w:val="clear"/>
            <w:vAlign w:val="center"/>
          </w:tcPr>
          <w:p>
            <w:pPr>
              <w:pStyle w:val="TableContents"/>
              <w:spacing w:before="0" w:after="240"/>
              <w:ind w:left="0" w:right="0" w:hanging="0"/>
              <w:rPr/>
            </w:pPr>
            <w:r>
              <w:rPr/>
              <w:t>​</w:t>
            </w:r>
          </w:p>
        </w:tc>
        <w:tc>
          <w:tcPr>
            <w:tcW w:w="2521" w:type="dxa"/>
            <w:tcBorders/>
            <w:shd w:fill="auto" w:val="clear"/>
            <w:vAlign w:val="center"/>
          </w:tcPr>
          <w:p>
            <w:pPr>
              <w:pStyle w:val="TableContents"/>
              <w:spacing w:before="0" w:after="240"/>
              <w:ind w:left="0" w:right="0" w:hanging="0"/>
              <w:rPr/>
            </w:pPr>
            <w:r>
              <w:rPr/>
              <w:t>​</w:t>
            </w:r>
          </w:p>
        </w:tc>
      </w:tr>
      <w:tr>
        <w:trPr/>
        <w:tc>
          <w:tcPr>
            <w:tcW w:w="1741" w:type="dxa"/>
            <w:tcBorders/>
            <w:shd w:fill="auto" w:val="clear"/>
            <w:vAlign w:val="center"/>
          </w:tcPr>
          <w:p>
            <w:pPr>
              <w:pStyle w:val="TableContents"/>
              <w:spacing w:before="0" w:after="240"/>
              <w:ind w:left="0" w:right="0" w:hanging="0"/>
              <w:rPr/>
            </w:pPr>
            <w:r>
              <w:rPr/>
              <w:t>​</w:t>
            </w:r>
          </w:p>
        </w:tc>
        <w:tc>
          <w:tcPr>
            <w:tcW w:w="2521" w:type="dxa"/>
            <w:tcBorders/>
            <w:shd w:fill="auto" w:val="clear"/>
            <w:vAlign w:val="center"/>
          </w:tcPr>
          <w:p>
            <w:pPr>
              <w:pStyle w:val="TableContents"/>
              <w:spacing w:before="0" w:after="240"/>
              <w:ind w:left="0" w:right="0" w:hanging="0"/>
              <w:rPr/>
            </w:pPr>
            <w:r>
              <w:rPr/>
              <w:t>​</w:t>
            </w:r>
          </w:p>
        </w:tc>
      </w:tr>
      <w:tr>
        <w:trPr/>
        <w:tc>
          <w:tcPr>
            <w:tcW w:w="1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Dated: May 8, 2023</w:t>
            </w:r>
          </w:p>
        </w:tc>
        <w:tc>
          <w:tcPr>
            <w:tcW w:w="2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r>
      <w:tr>
        <w:trPr/>
        <w:tc>
          <w:tcPr>
            <w:tcW w:w="1741" w:type="dxa"/>
            <w:tcBorders/>
            <w:shd w:fill="auto" w:val="clear"/>
            <w:vAlign w:val="center"/>
          </w:tcPr>
          <w:p>
            <w:pPr>
              <w:pStyle w:val="TableContents"/>
              <w:spacing w:before="0" w:after="240"/>
              <w:ind w:left="0" w:right="0" w:hanging="0"/>
              <w:rPr/>
            </w:pPr>
            <w:r>
              <w:rPr/>
              <w:t>​</w:t>
            </w:r>
          </w:p>
        </w:tc>
        <w:tc>
          <w:tcPr>
            <w:tcW w:w="252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Richard Steinhart</w:t>
            </w:r>
          </w:p>
        </w:tc>
      </w:tr>
      <w:tr>
        <w:trPr/>
        <w:tc>
          <w:tcPr>
            <w:tcW w:w="1741" w:type="dxa"/>
            <w:tcBorders/>
            <w:shd w:fill="auto" w:val="clear"/>
            <w:vAlign w:val="center"/>
          </w:tcPr>
          <w:p>
            <w:pPr>
              <w:pStyle w:val="TableContents"/>
              <w:spacing w:before="0" w:after="240"/>
              <w:ind w:left="0" w:right="0" w:hanging="0"/>
              <w:rPr/>
            </w:pPr>
            <w:r>
              <w:rPr/>
              <w:t>​</w:t>
            </w:r>
          </w:p>
        </w:tc>
        <w:tc>
          <w:tcPr>
            <w:tcW w:w="252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Richard Steinhart</w:t>
            </w:r>
          </w:p>
        </w:tc>
      </w:tr>
      <w:tr>
        <w:trPr/>
        <w:tc>
          <w:tcPr>
            <w:tcW w:w="1741" w:type="dxa"/>
            <w:tcBorders/>
            <w:shd w:fill="auto" w:val="clear"/>
            <w:vAlign w:val="center"/>
          </w:tcPr>
          <w:p>
            <w:pPr>
              <w:pStyle w:val="TableContents"/>
              <w:spacing w:before="0" w:after="240"/>
              <w:ind w:left="0" w:right="0" w:hanging="0"/>
              <w:rPr/>
            </w:pPr>
            <w:r>
              <w:rPr/>
              <w:t>​</w:t>
            </w:r>
          </w:p>
        </w:tc>
        <w:tc>
          <w:tcPr>
            <w:tcW w:w="2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shd w:fill="auto" w:val="clear"/>
            <w:vAlign w:val="center"/>
          </w:tcPr>
          <w:p>
            <w:pPr>
              <w:pStyle w:val="TableContents"/>
              <w:spacing w:before="0" w:after="240"/>
              <w:ind w:left="0" w:right="0" w:hanging="0"/>
              <w:rPr/>
            </w:pPr>
            <w:r>
              <w:rPr/>
              <w:t>​</w:t>
            </w:r>
          </w:p>
        </w:tc>
        <w:tc>
          <w:tcPr>
            <w:tcW w:w="252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spacing w:before="0" w:after="0"/>
        <w:ind w:left="0" w:right="0" w:hanging="0"/>
        <w:rPr/>
      </w:pPr>
      <w:r>
        <w:rPr/>
        <w:t>​</w:t>
      </w:r>
    </w:p>
    <w:p>
      <w:pPr>
        <w:pStyle w:val="TextBody"/>
        <w:spacing w:before="0" w:after="240"/>
        <w:ind w:left="0" w:right="0" w:firstLine="360"/>
        <w:rPr/>
      </w:pPr>
      <w:r>
        <w:rPr/>
        <w:t>​</w:t>
      </w:r>
    </w:p>
    <w:p>
      <w:pPr>
        <w:pStyle w:val="TextBody"/>
        <w:spacing w:before="0" w:after="0"/>
        <w:ind w:left="0" w:right="0" w:hanging="0"/>
        <w:rPr/>
      </w:pPr>
      <w:r>
        <w:rPr/>
        <w:t>​</w:t>
      </w:r>
    </w:p>
    <w:p>
      <w:pPr>
        <w:pStyle w:val="TextBody"/>
        <w:spacing w:before="0" w:after="24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r>
        <w:br w:type="page"/>
      </w:r>
    </w:p>
    <w:p>
      <w:pPr>
        <w:pStyle w:val="TextBody"/>
        <w:spacing w:lineRule="auto" w:line="285" w:before="0" w:after="0"/>
        <w:ind w:left="0" w:right="0" w:hanging="0"/>
        <w:jc w:val="right"/>
        <w:rPr>
          <w:rFonts w:ascii="Times New Roman;Times;serif" w:hAnsi="Times New Roman;Times;serif"/>
          <w:b/>
          <w:sz w:val="24"/>
        </w:rPr>
      </w:pPr>
      <w:bookmarkStart w:id="799" w:name="btai-20230331xex10d1.htm"/>
      <w:bookmarkStart w:id="800" w:name="ksbtai20230331xex10d1"/>
      <w:bookmarkEnd w:id="799"/>
      <w:bookmarkEnd w:id="800"/>
      <w:r>
        <w:rPr>
          <w:rFonts w:ascii="Times New Roman;Times;serif" w:hAnsi="Times New Roman;Times;serif"/>
          <w:b/>
          <w:sz w:val="24"/>
        </w:rPr>
        <w:t>Exhibit 10.1</w:t>
      </w:r>
    </w:p>
    <w:p>
      <w:pPr>
        <w:pStyle w:val="TextBody"/>
        <w:spacing w:lineRule="auto" w:line="285" w:before="0" w:after="240"/>
        <w:ind w:left="0" w:right="0" w:hanging="0"/>
        <w:jc w:val="right"/>
        <w:rPr>
          <w:rFonts w:ascii="Times New Roman;Times;serif" w:hAnsi="Times New Roman;Times;serif"/>
          <w:sz w:val="24"/>
        </w:rPr>
      </w:pPr>
      <w:r>
        <w:rPr>
          <w:rFonts w:ascii="Times New Roman;Times;serif" w:hAnsi="Times New Roman;Times;serif"/>
          <w:sz w:val="24"/>
        </w:rPr>
        <w:t>EXECUTION VERSION</w:t>
      </w:r>
    </w:p>
    <w:p>
      <w:pPr>
        <w:pStyle w:val="TextBody"/>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FIRST AMENDMENT TO REVENUE INTEREST FINANCING AGREEMENT</w:t>
      </w:r>
    </w:p>
    <w:p>
      <w:pPr>
        <w:pStyle w:val="TextBody"/>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This First Amendment to Revenue Interest Financing Agreement (this “</w:t>
      </w:r>
      <w:r>
        <w:rPr>
          <w:rFonts w:ascii="Times New Roman;Times;serif" w:hAnsi="Times New Roman;Times;serif"/>
          <w:b/>
          <w:sz w:val="24"/>
        </w:rPr>
        <w:t>Amendment</w:t>
      </w:r>
      <w:r>
        <w:rPr>
          <w:rFonts w:ascii="Times New Roman;Times;serif" w:hAnsi="Times New Roman;Times;serif"/>
          <w:sz w:val="24"/>
        </w:rPr>
        <w:t>”) is made as of August 4, 2022, by and among BIOXCEL THERAPEUTICS, INC., a Delaware corporation (the “</w:t>
      </w:r>
      <w:r>
        <w:rPr>
          <w:rFonts w:ascii="Times New Roman;Times;serif" w:hAnsi="Times New Roman;Times;serif"/>
          <w:b/>
          <w:sz w:val="24"/>
        </w:rPr>
        <w:t>Company</w:t>
      </w:r>
      <w:r>
        <w:rPr>
          <w:rFonts w:ascii="Times New Roman;Times;serif" w:hAnsi="Times New Roman;Times;serif"/>
          <w:sz w:val="24"/>
        </w:rPr>
        <w:t>”), the purchasers party hereto (collectively, the “</w:t>
      </w:r>
      <w:r>
        <w:rPr>
          <w:rFonts w:ascii="Times New Roman;Times;serif" w:hAnsi="Times New Roman;Times;serif"/>
          <w:b/>
          <w:sz w:val="24"/>
        </w:rPr>
        <w:t>Purchasers</w:t>
      </w:r>
      <w:r>
        <w:rPr>
          <w:rFonts w:ascii="Times New Roman;Times;serif" w:hAnsi="Times New Roman;Times;serif"/>
          <w:sz w:val="24"/>
        </w:rPr>
        <w:t>” and individually, a “</w:t>
      </w:r>
      <w:r>
        <w:rPr>
          <w:rFonts w:ascii="Times New Roman;Times;serif" w:hAnsi="Times New Roman;Times;serif"/>
          <w:b/>
          <w:sz w:val="24"/>
        </w:rPr>
        <w:t>Purchaser</w:t>
      </w:r>
      <w:r>
        <w:rPr>
          <w:rFonts w:ascii="Times New Roman;Times;serif" w:hAnsi="Times New Roman;Times;serif"/>
          <w:sz w:val="24"/>
        </w:rPr>
        <w:t>”) and OAKTREE FUND ADMINISTRATION, LLC, as administrative agent on behalf of the Purchasers (in such capacity, together with its successors and assigns, the “</w:t>
      </w:r>
      <w:r>
        <w:rPr>
          <w:rFonts w:ascii="Times New Roman;Times;serif" w:hAnsi="Times New Roman;Times;serif"/>
          <w:b/>
          <w:sz w:val="24"/>
        </w:rPr>
        <w:t>Administrative Agent</w:t>
      </w:r>
      <w:r>
        <w:rPr>
          <w:rFonts w:ascii="Times New Roman;Times;serif" w:hAnsi="Times New Roman;Times;serif"/>
          <w:sz w:val="24"/>
        </w:rPr>
        <w:t>”).</w:t>
      </w:r>
    </w:p>
    <w:p>
      <w:pPr>
        <w:pStyle w:val="TextBody"/>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WHEREAS, the Company, the Administrative Agent and the Purchasers previously entered into that certain Revenue Interest Financing Agreement, dated as of April 19, 2022 (as amended, amended and restated, restated, supplemented, modified or otherwise in effect from time to time prior to the date hereof, the “</w:t>
      </w:r>
      <w:r>
        <w:rPr>
          <w:rFonts w:ascii="Times New Roman;Times;serif" w:hAnsi="Times New Roman;Times;serif"/>
          <w:b/>
          <w:sz w:val="24"/>
        </w:rPr>
        <w:t>Existing Revenue Interest Financing Agreement</w:t>
      </w:r>
      <w:r>
        <w:rPr>
          <w:rFonts w:ascii="Times New Roman;Times;serif" w:hAnsi="Times New Roman;Times;serif"/>
          <w:sz w:val="24"/>
        </w:rPr>
        <w:t>”, and as further amended by this Amendment, the “</w:t>
      </w:r>
      <w:r>
        <w:rPr>
          <w:rFonts w:ascii="Times New Roman;Times;serif" w:hAnsi="Times New Roman;Times;serif"/>
          <w:b/>
          <w:sz w:val="24"/>
        </w:rPr>
        <w:t>Revenue Interest Financing Agreement</w:t>
      </w:r>
      <w:r>
        <w:rPr>
          <w:rFonts w:ascii="Times New Roman;Times;serif" w:hAnsi="Times New Roman;Times;serif"/>
          <w:sz w:val="24"/>
        </w:rPr>
        <w:t>”); and</w:t>
      </w:r>
    </w:p>
    <w:p>
      <w:pPr>
        <w:pStyle w:val="TextBody"/>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WHEREAS, the Company, the Administrative Agent and the Purchasers party hereto (which constitute all of the Purchasers) have agreed to amend the Existing Revenue Interest Financing Agreement on the terms and subject to the conditions set forth herein to make a technical correction with respect to a patent application number.</w:t>
      </w:r>
    </w:p>
    <w:p>
      <w:pPr>
        <w:pStyle w:val="TextBody"/>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NOW, THEREFORE, for and in consideration of the above premises and other good and valuable consideration, the receipt and sufficiency of which is hereby acknowledged by the parties hereto, each of the Company, the Administrative Agent and the Purchasers party hereto hereby covenants and agrees as follows:</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1.</w:t>
      </w:r>
      <w:bookmarkStart w:id="801" w:name="OrigSetCursorLoc"/>
      <w:bookmarkEnd w:id="801"/>
      <w:r>
        <w:rPr>
          <w:rFonts w:ascii="Times New Roman;Times;serif" w:hAnsi="Times New Roman;Times;serif"/>
          <w:sz w:val="24"/>
          <w:u w:val="single"/>
        </w:rPr>
        <w:t>Definitions</w:t>
      </w:r>
      <w:r>
        <w:rPr>
          <w:rFonts w:ascii="Times New Roman;Times;serif" w:hAnsi="Times New Roman;Times;serif"/>
          <w:sz w:val="24"/>
        </w:rPr>
        <w:t>. Capitalized terms used herein and not otherwise defined herein shall have the meanings assigned to such terms in the Existing Revenue Interest Financing Agreement.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2.</w:t>
      </w:r>
      <w:r>
        <w:rPr>
          <w:rFonts w:ascii="Times New Roman;Times;serif" w:hAnsi="Times New Roman;Times;serif"/>
          <w:sz w:val="24"/>
          <w:u w:val="single"/>
        </w:rPr>
        <w:t>Amendments</w:t>
      </w:r>
      <w:r>
        <w:rPr>
          <w:rFonts w:ascii="Times New Roman;Times;serif" w:hAnsi="Times New Roman;Times;serif"/>
          <w:sz w:val="24"/>
        </w:rPr>
        <w:t>. Subject to the satisfaction of the conditions precedent specified in Section 4 hereof, on the Amendment Effective Date, the Revenue Interest Financing Agreement is hereby amended so that “17/496,479” in the definitions of “MOIC Patent Grant Condition” and “Patent Grant Condition” is replaced with “17/496,470”.</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3.</w:t>
      </w:r>
      <w:r>
        <w:rPr>
          <w:rFonts w:ascii="Times New Roman;Times;serif" w:hAnsi="Times New Roman;Times;serif"/>
          <w:sz w:val="24"/>
          <w:u w:val="single"/>
        </w:rPr>
        <w:t>Reaffirmation of Transaction Documents</w:t>
      </w:r>
      <w:r>
        <w:rPr>
          <w:rFonts w:ascii="Times New Roman;Times;serif" w:hAnsi="Times New Roman;Times;serif"/>
          <w:sz w:val="24"/>
        </w:rPr>
        <w:t>. Except as otherwise expressly provided herein, the parties hereto agree that all terms and conditions of the Existing Revenue Interest Financing Agreement and the other Transaction Documents remain in full force and effect.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4.</w:t>
      </w:r>
      <w:r>
        <w:rPr>
          <w:rFonts w:ascii="Times New Roman;Times;serif" w:hAnsi="Times New Roman;Times;serif"/>
          <w:sz w:val="24"/>
          <w:u w:val="single"/>
        </w:rPr>
        <w:t>Conditions Precedent to Effectiveness</w:t>
      </w:r>
      <w:r>
        <w:rPr>
          <w:rFonts w:ascii="Times New Roman;Times;serif" w:hAnsi="Times New Roman;Times;serif"/>
          <w:sz w:val="24"/>
        </w:rPr>
        <w:t>. This Amendment shall be effective when this Amendment shall have been executed by the Company, the Administrative Agent, and each of the Purchasers.</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5.</w:t>
      </w:r>
      <w:r>
        <w:rPr>
          <w:rFonts w:ascii="Times New Roman;Times;serif" w:hAnsi="Times New Roman;Times;serif"/>
          <w:sz w:val="24"/>
          <w:u w:val="single"/>
        </w:rPr>
        <w:t>Miscellaneous</w:t>
      </w:r>
      <w:r>
        <w:rPr>
          <w:rFonts w:ascii="Times New Roman;Times;serif" w:hAnsi="Times New Roman;Times;serif"/>
          <w:sz w:val="24"/>
        </w:rPr>
        <w:t>.</w:t>
      </w:r>
    </w:p>
    <w:tbl>
      <w:tblPr>
        <w:tblW w:w="10205" w:type="dxa"/>
        <w:jc w:val="left"/>
        <w:tblInd w:w="0" w:type="dxa"/>
        <w:tblCellMar>
          <w:top w:w="0" w:type="dxa"/>
          <w:left w:w="0" w:type="dxa"/>
          <w:bottom w:w="0" w:type="dxa"/>
          <w:right w:w="0" w:type="dxa"/>
        </w:tblCellMar>
      </w:tblPr>
      <w:tblGrid>
        <w:gridCol w:w="23"/>
        <w:gridCol w:w="231"/>
        <w:gridCol w:w="9951"/>
      </w:tblGrid>
      <w:tr>
        <w:trPr/>
        <w:tc>
          <w:tcPr>
            <w:tcW w:w="2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rFonts w:ascii="Times New Roman;Times;serif" w:hAnsi="Times New Roman;Times;serif"/>
                <w:sz w:val="24"/>
              </w:rPr>
            </w:pPr>
            <w:r>
              <w:rPr>
                <w:rFonts w:ascii="Times New Roman;Times;serif" w:hAnsi="Times New Roman;Times;serif"/>
                <w:sz w:val="24"/>
              </w:rPr>
              <w:t>(a)</w:t>
            </w:r>
          </w:p>
        </w:tc>
        <w:tc>
          <w:tcPr>
            <w:tcW w:w="99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Except as otherwise expressly provided herein, all provisions of the Revenue Interest Financing Agreement and the other Transaction Documents remain in full force and effect. This Amendment shall constitute a Transaction Document.</w:t>
            </w:r>
          </w:p>
        </w:tc>
      </w:tr>
    </w:tbl>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sz w:val="16"/>
        </w:rPr>
      </w:pPr>
      <w:r>
        <w:rPr>
          <w:rFonts w:ascii="Times New Roman;Times;serif" w:hAnsi="Times New Roman;Times;serif"/>
          <w:sz w:val="16"/>
        </w:rPr>
        <w:t>US-DOCS\141391420.1</w:t>
      </w:r>
    </w:p>
    <w:p>
      <w:pPr>
        <w:pStyle w:val="HorizontalLine"/>
        <w:rPr/>
      </w:pPr>
      <w:r>
        <w:rPr/>
      </w:r>
    </w:p>
    <w:p>
      <w:pPr>
        <w:pStyle w:val="TextBody"/>
        <w:spacing w:lineRule="auto" w:line="285"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35"/>
        <w:gridCol w:w="9947"/>
      </w:tblGrid>
      <w:tr>
        <w:trPr/>
        <w:tc>
          <w:tcPr>
            <w:tcW w:w="2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rFonts w:ascii="Times New Roman;Times;serif" w:hAnsi="Times New Roman;Times;serif"/>
                <w:sz w:val="24"/>
              </w:rPr>
            </w:pPr>
            <w:r>
              <w:rPr>
                <w:rFonts w:ascii="Times New Roman;Times;serif" w:hAnsi="Times New Roman;Times;serif"/>
                <w:sz w:val="24"/>
              </w:rPr>
              <w:t>(b)</w:t>
            </w:r>
          </w:p>
        </w:tc>
        <w:tc>
          <w:tcPr>
            <w:tcW w:w="994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This Amendment may be executed in several counterparts and by each party on a separate counterpart, each of which when so executed and delivered shall be an original, and all of which together shall constitute one instrument. An executed facsimile or electronic copy of this Amendment shall be effective for all purposes as an original hereof.</w:t>
            </w:r>
          </w:p>
        </w:tc>
      </w:tr>
    </w:tbl>
    <w:tbl>
      <w:tblPr>
        <w:tblW w:w="10205" w:type="dxa"/>
        <w:jc w:val="left"/>
        <w:tblInd w:w="0" w:type="dxa"/>
        <w:tblCellMar>
          <w:top w:w="0" w:type="dxa"/>
          <w:left w:w="0" w:type="dxa"/>
          <w:bottom w:w="0" w:type="dxa"/>
          <w:right w:w="0" w:type="dxa"/>
        </w:tblCellMar>
      </w:tblPr>
      <w:tblGrid>
        <w:gridCol w:w="23"/>
        <w:gridCol w:w="233"/>
        <w:gridCol w:w="9949"/>
      </w:tblGrid>
      <w:tr>
        <w:trPr/>
        <w:tc>
          <w:tcPr>
            <w:tcW w:w="2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rFonts w:ascii="Times New Roman;Times;serif" w:hAnsi="Times New Roman;Times;serif"/>
                <w:sz w:val="24"/>
              </w:rPr>
            </w:pPr>
            <w:r>
              <w:rPr>
                <w:rFonts w:ascii="Times New Roman;Times;serif" w:hAnsi="Times New Roman;Times;serif"/>
                <w:sz w:val="24"/>
              </w:rPr>
              <w:t>(c)</w:t>
            </w:r>
          </w:p>
        </w:tc>
        <w:tc>
          <w:tcPr>
            <w:tcW w:w="994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This Amendment expresses the entire understanding of the parties with respect to the amendments contemplated hereby. No prior negotiations or discussions shall limit, modify, or otherwise affect the provisions hereof.</w:t>
            </w:r>
          </w:p>
        </w:tc>
      </w:tr>
    </w:tbl>
    <w:tbl>
      <w:tblPr>
        <w:tblW w:w="10205" w:type="dxa"/>
        <w:jc w:val="left"/>
        <w:tblInd w:w="0" w:type="dxa"/>
        <w:tblCellMar>
          <w:top w:w="0" w:type="dxa"/>
          <w:left w:w="0" w:type="dxa"/>
          <w:bottom w:w="0" w:type="dxa"/>
          <w:right w:w="0" w:type="dxa"/>
        </w:tblCellMar>
      </w:tblPr>
      <w:tblGrid>
        <w:gridCol w:w="23"/>
        <w:gridCol w:w="246"/>
        <w:gridCol w:w="9936"/>
      </w:tblGrid>
      <w:tr>
        <w:trPr/>
        <w:tc>
          <w:tcPr>
            <w:tcW w:w="23"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rFonts w:ascii="Times New Roman;Times;serif" w:hAnsi="Times New Roman;Times;serif"/>
                <w:sz w:val="24"/>
              </w:rPr>
            </w:pPr>
            <w:r>
              <w:rPr>
                <w:rFonts w:ascii="Times New Roman;Times;serif" w:hAnsi="Times New Roman;Times;serif"/>
                <w:sz w:val="24"/>
              </w:rPr>
              <w:t>(d)</w:t>
            </w:r>
          </w:p>
        </w:tc>
        <w:tc>
          <w:tcPr>
            <w:tcW w:w="9936"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4"/>
              </w:rPr>
              <w:t xml:space="preserve">This Amendment and its contents shall be subject to the governing law, indemnification, venue, service of process, waivers of jury trial and severability provisions of the Existing Revenue Interest Financing Agreement, </w:t>
            </w:r>
            <w:r>
              <w:rPr>
                <w:rFonts w:ascii="Times New Roman;Times;serif" w:hAnsi="Times New Roman;Times;serif"/>
                <w:b w:val="false"/>
                <w:i/>
                <w:sz w:val="24"/>
              </w:rPr>
              <w:t>mutatis mutandis</w:t>
            </w:r>
            <w:r>
              <w:rPr>
                <w:rFonts w:ascii="Times New Roman;Times;serif" w:hAnsi="Times New Roman;Times;serif"/>
                <w:b w:val="false"/>
                <w:i w:val="false"/>
                <w:caps w:val="false"/>
                <w:smallCaps w:val="false"/>
                <w:sz w:val="24"/>
              </w:rPr>
              <w:t>.</w:t>
            </w:r>
          </w:p>
        </w:tc>
      </w:tr>
    </w:tbl>
    <w:p>
      <w:pPr>
        <w:pStyle w:val="TextBody"/>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[SIGNATURE PAGES FOLLOW]</w:t>
      </w:r>
    </w:p>
    <w:p>
      <w:pPr>
        <w:pStyle w:val="TextBody"/>
        <w:spacing w:lineRule="auto" w:line="285" w:before="0" w:after="240"/>
        <w:ind w:left="0" w:right="0" w:firstLine="720"/>
        <w:jc w:val="both"/>
        <w:rPr/>
      </w:pPr>
      <w:r>
        <w:rPr/>
        <w:t>​</w:t>
      </w:r>
    </w:p>
    <w:p>
      <w:pPr>
        <w:pStyle w:val="TextBody"/>
        <w:spacing w:lineRule="auto" w:line="285" w:before="0" w:after="0"/>
        <w:ind w:left="0" w:right="0" w:hanging="0"/>
        <w:jc w:val="center"/>
        <w:rPr/>
      </w:pPr>
      <w:r>
        <w:rPr/>
        <w:t>​</w:t>
      </w:r>
    </w:p>
    <w:p>
      <w:pPr>
        <w:pStyle w:val="HorizontalLine"/>
        <w:rPr/>
      </w:pPr>
      <w:r>
        <w:rPr/>
      </w:r>
    </w:p>
    <w:p>
      <w:pPr>
        <w:pStyle w:val="TextBody"/>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IN WITNESS WHEREOF, the parties have hereunto caused this Amendment to be executed as of the date first above written.</w:t>
      </w:r>
    </w:p>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b/>
          <w:sz w:val="24"/>
        </w:rPr>
      </w:pPr>
      <w:r>
        <w:rPr>
          <w:rFonts w:ascii="Times New Roman;Times;serif" w:hAnsi="Times New Roman;Times;serif"/>
          <w:b/>
          <w:sz w:val="24"/>
        </w:rPr>
        <w:t>BIOXCEL THERAPUETICS, INC.</w:t>
      </w:r>
    </w:p>
    <w:p>
      <w:pPr>
        <w:pStyle w:val="TextBody"/>
        <w:spacing w:lineRule="auto" w:line="285" w:before="0" w:after="0"/>
        <w:ind w:left="0" w:right="0" w:hanging="0"/>
        <w:rPr>
          <w:rFonts w:ascii="Times New Roman;Times;serif" w:hAnsi="Times New Roman;Times;serif"/>
          <w:sz w:val="24"/>
        </w:rPr>
      </w:pPr>
      <w:r>
        <w:rPr>
          <w:rFonts w:ascii="Times New Roman;Times;serif" w:hAnsi="Times New Roman;Times;serif"/>
          <w:sz w:val="24"/>
        </w:rPr>
        <w:t>as the Company</w:t>
      </w:r>
    </w:p>
    <w:p>
      <w:pPr>
        <w:pStyle w:val="TextBody"/>
        <w:spacing w:lineRule="auto" w:line="285" w:before="0" w:after="0"/>
        <w:ind w:left="0" w:right="0" w:hanging="0"/>
        <w:rPr/>
      </w:pPr>
      <w:r>
        <w:rPr/>
        <w:t>​</w:t>
      </w:r>
    </w:p>
    <w:p>
      <w:pPr>
        <w:pStyle w:val="TextBody"/>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Vimal Mehta​ ​​ ​​ ​</w:t>
      </w:r>
    </w:p>
    <w:p>
      <w:pPr>
        <w:pStyle w:val="TextBody"/>
        <w:spacing w:lineRule="auto" w:line="285" w:before="0" w:after="0"/>
        <w:ind w:left="0" w:right="0" w:hanging="0"/>
        <w:rPr>
          <w:rFonts w:ascii="Times New Roman;Times;serif" w:hAnsi="Times New Roman;Times;serif"/>
          <w:sz w:val="24"/>
        </w:rPr>
      </w:pPr>
      <w:r>
        <w:rPr>
          <w:rFonts w:ascii="Times New Roman;Times;serif" w:hAnsi="Times New Roman;Times;serif"/>
          <w:b w:val="false"/>
          <w:i w:val="false"/>
          <w:caps w:val="false"/>
          <w:smallCaps w:val="false"/>
          <w:sz w:val="24"/>
        </w:rPr>
        <w:t>Name:</w:t>
      </w:r>
      <w:r>
        <w:rPr>
          <w:rFonts w:ascii="Times New Roman;Times;serif" w:hAnsi="Times New Roman;Times;serif"/>
          <w:sz w:val="24"/>
        </w:rPr>
        <w:t>Vimal Mehta</w:t>
      </w:r>
    </w:p>
    <w:p>
      <w:pPr>
        <w:pStyle w:val="TextBody"/>
        <w:spacing w:lineRule="auto" w:line="285" w:before="0" w:after="0"/>
        <w:ind w:left="0" w:right="0" w:hanging="0"/>
        <w:rPr>
          <w:rFonts w:ascii="Times New Roman;Times;serif" w:hAnsi="Times New Roman;Times;serif"/>
          <w:sz w:val="24"/>
        </w:rPr>
      </w:pPr>
      <w:r>
        <w:rPr>
          <w:rFonts w:ascii="Times New Roman;Times;serif" w:hAnsi="Times New Roman;Times;serif"/>
          <w:b w:val="false"/>
          <w:i w:val="false"/>
          <w:caps w:val="false"/>
          <w:smallCaps w:val="false"/>
          <w:sz w:val="24"/>
        </w:rPr>
        <w:t>Title:</w:t>
      </w:r>
      <w:r>
        <w:rPr>
          <w:rFonts w:ascii="Times New Roman;Times;serif" w:hAnsi="Times New Roman;Times;serif"/>
          <w:sz w:val="24"/>
        </w:rPr>
        <w:t>Chief Executive Officer</w:t>
      </w:r>
    </w:p>
    <w:p>
      <w:pPr>
        <w:pStyle w:val="TextBody"/>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Amendment to Revenue Interest Financing Agreement]</w:t>
      </w:r>
    </w:p>
    <w:p>
      <w:pPr>
        <w:pStyle w:val="HorizontalLine"/>
        <w:rPr/>
      </w:pPr>
      <w:r>
        <w:rPr/>
      </w:r>
    </w:p>
    <w:p>
      <w:pPr>
        <w:pStyle w:val="TextBody"/>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b/>
          <w:sz w:val="24"/>
        </w:rPr>
        <w:t>ADMINISTRATIVE AGENT</w:t>
      </w:r>
      <w:r>
        <w:rPr>
          <w:rFonts w:ascii="Times New Roman;Times;serif" w:hAnsi="Times New Roman;Times;serif"/>
          <w:sz w:val="24"/>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OAKTREE FUND ADMINISTRATION, LLC</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Oaktree Capital Management, L.P.</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 Managing Member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Ting He​ ​​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Ting He</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Senior Vice President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Jessica Dombroff​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Jessica Dombroff</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Vice President</w:t>
      </w:r>
    </w:p>
    <w:p>
      <w:pPr>
        <w:pStyle w:val="TextBody"/>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Amendment to Revenue Interest Financing Agreement]</w:t>
      </w:r>
    </w:p>
    <w:p>
      <w:pPr>
        <w:pStyle w:val="HorizontalLine"/>
        <w:rPr/>
      </w:pPr>
      <w:r>
        <w:rPr/>
      </w:r>
    </w:p>
    <w:p>
      <w:pPr>
        <w:pStyle w:val="TextBody"/>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b/>
          <w:sz w:val="24"/>
        </w:rPr>
        <w:t>PURCHASER</w:t>
      </w:r>
      <w:r>
        <w:rPr>
          <w:rFonts w:ascii="Times New Roman;Times;serif" w:hAnsi="Times New Roman;Times;serif"/>
          <w:sz w:val="24"/>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OAKTREE TCDRS STRATEGIC CREDIT,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LLC</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Oaktree Capital Management, L.P.</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 Manager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Ting He​ ​​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Ting He</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Senior Vice President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Jessica Dombroff​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Jessica Dombroff</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Vice President</w:t>
      </w:r>
    </w:p>
    <w:p>
      <w:pPr>
        <w:pStyle w:val="TextBody"/>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Amendment to Revenue Interest Financing Agreement]</w:t>
      </w:r>
    </w:p>
    <w:p>
      <w:pPr>
        <w:pStyle w:val="HorizontalLine"/>
        <w:rPr/>
      </w:pPr>
      <w:r>
        <w:rPr/>
      </w:r>
    </w:p>
    <w:p>
      <w:pPr>
        <w:pStyle w:val="TextBody"/>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b/>
          <w:sz w:val="24"/>
        </w:rPr>
        <w:t>PURCHASER</w:t>
      </w:r>
      <w:r>
        <w:rPr>
          <w:rFonts w:ascii="Times New Roman;Times;serif" w:hAnsi="Times New Roman;Times;serif"/>
          <w:sz w:val="24"/>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OAKTREE – FORREST MULTI-STRATEGY,</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LLC</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Oaktree Capital Management, L.P.</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 Manager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Ting He​ ​​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Ting He</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Senior Vice President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Jessica Dombroff​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Jessica Dombroff</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Vice President</w:t>
      </w:r>
    </w:p>
    <w:p>
      <w:pPr>
        <w:pStyle w:val="TextBody"/>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Amendment to Revenue Interest Financing Agreement]</w:t>
      </w:r>
    </w:p>
    <w:p>
      <w:pPr>
        <w:pStyle w:val="HorizontalLine"/>
        <w:rPr/>
      </w:pPr>
      <w:r>
        <w:rPr/>
      </w:r>
    </w:p>
    <w:p>
      <w:pPr>
        <w:pStyle w:val="TextBody"/>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b/>
          <w:sz w:val="24"/>
        </w:rPr>
        <w:t>PURCHASER</w:t>
      </w:r>
      <w:r>
        <w:rPr>
          <w:rFonts w:ascii="Times New Roman;Times;serif" w:hAnsi="Times New Roman;Times;serif"/>
          <w:sz w:val="24"/>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OAKTREE – TBMR STRATEGIC CREDIT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FUND C, LLC</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Oaktree Capital Management, L.P.</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 Manager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Ting He​ ​​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Ting He</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Senior Vice President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Jessica Dombroff​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Jessica Dombroff</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Vice President</w:t>
      </w:r>
    </w:p>
    <w:p>
      <w:pPr>
        <w:pStyle w:val="TextBody"/>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Amendment to Revenue Interest Financing Agreement]</w:t>
      </w:r>
    </w:p>
    <w:p>
      <w:pPr>
        <w:pStyle w:val="HorizontalLine"/>
        <w:rPr/>
      </w:pPr>
      <w:r>
        <w:rPr/>
      </w:r>
    </w:p>
    <w:p>
      <w:pPr>
        <w:pStyle w:val="TextBody"/>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b/>
          <w:sz w:val="24"/>
        </w:rPr>
        <w:t>PURCHASER</w:t>
      </w:r>
      <w:r>
        <w:rPr>
          <w:rFonts w:ascii="Times New Roman;Times;serif" w:hAnsi="Times New Roman;Times;serif"/>
          <w:sz w:val="24"/>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OAKTREE – TBMR STRATEGIC CREDIT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FUND F, LLC</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Oaktree Capital Management, L.P.</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 Manager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Ting He​ ​​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Ting He</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Senior Vice President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Jessica Dombroff​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Jessica Dombroff</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Vice President</w:t>
      </w:r>
    </w:p>
    <w:p>
      <w:pPr>
        <w:pStyle w:val="TextBody"/>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Amendment to Revenue Interest Financing Agreement]</w:t>
      </w:r>
    </w:p>
    <w:p>
      <w:pPr>
        <w:pStyle w:val="HorizontalLine"/>
        <w:rPr/>
      </w:pPr>
      <w:r>
        <w:rPr/>
      </w:r>
    </w:p>
    <w:p>
      <w:pPr>
        <w:pStyle w:val="TextBody"/>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b/>
          <w:sz w:val="24"/>
        </w:rPr>
        <w:t>PURCHASER</w:t>
      </w:r>
      <w:r>
        <w:rPr>
          <w:rFonts w:ascii="Times New Roman;Times;serif" w:hAnsi="Times New Roman;Times;serif"/>
          <w:sz w:val="24"/>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OAKTREE – TBMR STRATEGIC CREDIT FUND G, LLC</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Oaktree Capital Management, L.P.</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 Manager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Ting He​ ​​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Ting He</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Senior Vice President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Jessica Dombroff​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Jessica Dombroff</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Vice President</w:t>
      </w:r>
    </w:p>
    <w:p>
      <w:pPr>
        <w:pStyle w:val="TextBody"/>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Amendment to Revenue Interest Financing Agreement]</w:t>
      </w:r>
    </w:p>
    <w:p>
      <w:pPr>
        <w:pStyle w:val="HorizontalLine"/>
        <w:rPr/>
      </w:pPr>
      <w:r>
        <w:rPr/>
      </w:r>
    </w:p>
    <w:p>
      <w:pPr>
        <w:pStyle w:val="TextBody"/>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b/>
          <w:sz w:val="24"/>
        </w:rPr>
        <w:t>PURCHASER</w:t>
      </w:r>
      <w:r>
        <w:rPr>
          <w:rFonts w:ascii="Times New Roman;Times;serif" w:hAnsi="Times New Roman;Times;serif"/>
          <w:sz w:val="24"/>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OAKTREE – TSE 16 STRATEGIC CREDIT, LLC</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Oaktree Capital Management, L.P.</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 Manager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Ting He​ ​​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Ting He</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Senior Vice President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Jessica Dombroff​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Jessica Dombroff</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Vice President</w:t>
      </w:r>
    </w:p>
    <w:p>
      <w:pPr>
        <w:pStyle w:val="TextBody"/>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Amendment to Revenue Interest Financing Agreement]</w:t>
      </w:r>
    </w:p>
    <w:p>
      <w:pPr>
        <w:pStyle w:val="HorizontalLine"/>
        <w:rPr/>
      </w:pPr>
      <w:r>
        <w:rPr/>
      </w:r>
    </w:p>
    <w:p>
      <w:pPr>
        <w:pStyle w:val="TextBody"/>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b/>
          <w:sz w:val="24"/>
        </w:rPr>
        <w:t>PURCHASER</w:t>
      </w:r>
      <w:r>
        <w:rPr>
          <w:rFonts w:ascii="Times New Roman;Times;serif" w:hAnsi="Times New Roman;Times;serif"/>
          <w:sz w:val="24"/>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INPRS STRATEGIC CREDIT HOLDINGS,</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LLC</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Oaktree Capital Management, L.P.</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 Manager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Ting He​ ​​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Ting He</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Senior Vice President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Jessica Dombroff​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Jessica Dombroff</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Vice President</w:t>
      </w:r>
    </w:p>
    <w:p>
      <w:pPr>
        <w:pStyle w:val="TextBody"/>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Amendment to Revenue Interest Financing Agreement]</w:t>
      </w:r>
    </w:p>
    <w:p>
      <w:pPr>
        <w:pStyle w:val="HorizontalLine"/>
        <w:rPr/>
      </w:pPr>
      <w:r>
        <w:rPr/>
      </w:r>
    </w:p>
    <w:p>
      <w:pPr>
        <w:pStyle w:val="TextBody"/>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b/>
          <w:sz w:val="24"/>
        </w:rPr>
        <w:t>PURCHASER</w:t>
      </w:r>
      <w:r>
        <w:rPr>
          <w:rFonts w:ascii="Times New Roman;Times;serif" w:hAnsi="Times New Roman;Times;serif"/>
          <w:sz w:val="24"/>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OAKTREE STRATEGIC INCOME II, INC.</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Oaktree Fund Advisors, LLC</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 Investment Advisor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Ting He​ ​​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Ting He</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Senior Vice President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Jessica Dombroff​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Jessica Dombroff</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Vice President</w:t>
      </w:r>
    </w:p>
    <w:p>
      <w:pPr>
        <w:pStyle w:val="TextBody"/>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Amendment to Revenue Interest Financing Agreement]</w:t>
      </w:r>
    </w:p>
    <w:p>
      <w:pPr>
        <w:pStyle w:val="HorizontalLine"/>
        <w:rPr/>
      </w:pPr>
      <w:r>
        <w:rPr/>
      </w:r>
    </w:p>
    <w:p>
      <w:pPr>
        <w:pStyle w:val="TextBody"/>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b/>
          <w:sz w:val="24"/>
        </w:rPr>
        <w:t>PURCHASER</w:t>
      </w:r>
      <w:r>
        <w:rPr>
          <w:rFonts w:ascii="Times New Roman;Times;serif" w:hAnsi="Times New Roman;Times;serif"/>
          <w:sz w:val="24"/>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OAKTREE SPECIALTY LENDING</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CORPORATION</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Oaktree Capital Management, L.P.</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 Investment Adviser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Ting He​ ​​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Ting He</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Senior Vice President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Jessica Dombroff​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Jessica Dombroff</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Vice President</w:t>
      </w:r>
    </w:p>
    <w:p>
      <w:pPr>
        <w:pStyle w:val="TextBody"/>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Amendment to Revenue Interest Financing Agreement]</w:t>
      </w:r>
    </w:p>
    <w:p>
      <w:pPr>
        <w:pStyle w:val="HorizontalLine"/>
        <w:rPr/>
      </w:pPr>
      <w:r>
        <w:rPr/>
      </w:r>
    </w:p>
    <w:p>
      <w:pPr>
        <w:pStyle w:val="TextBody"/>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b/>
          <w:sz w:val="24"/>
        </w:rPr>
        <w:t>PURCHASER</w:t>
      </w:r>
      <w:r>
        <w:rPr>
          <w:rFonts w:ascii="Times New Roman;Times;serif" w:hAnsi="Times New Roman;Times;serif"/>
          <w:sz w:val="24"/>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OAKTREE STRATEGIC CREDIT FUND</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Oaktree Fund Advisors, LLC</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 Investment Advisor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Ting He​ ​​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Ting He</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Senior Vice President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Jessica Dombroff​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Jessica Dombroff</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Vice President</w:t>
      </w:r>
    </w:p>
    <w:p>
      <w:pPr>
        <w:pStyle w:val="TextBody"/>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Amendment to Revenue Interest Financing Agreement]</w:t>
      </w:r>
    </w:p>
    <w:p>
      <w:pPr>
        <w:pStyle w:val="HorizontalLine"/>
        <w:rPr/>
      </w:pPr>
      <w:r>
        <w:rPr/>
      </w:r>
    </w:p>
    <w:p>
      <w:pPr>
        <w:pStyle w:val="TextBody"/>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b/>
          <w:sz w:val="24"/>
        </w:rPr>
        <w:t>PURCHASER</w:t>
      </w:r>
      <w:r>
        <w:rPr>
          <w:rFonts w:ascii="Times New Roman;Times;serif" w:hAnsi="Times New Roman;Times;serif"/>
          <w:sz w:val="24"/>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OAKTREE GCP FUND DELAWARE</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HOLDINGS, L.P.</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Oaktree Global Credit Plus Fund GP, L.P.</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 General Partner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By:Oaktree Global Credit Plus Fund GP Ltd.</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Its:General Partner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By:Oaktree Capital Management, L.P.</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Its:Director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Ting He​ ​​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Ting He</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Senior Vice President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Jessica Dombroff​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Jessica Dombroff</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Vice President</w:t>
      </w:r>
    </w:p>
    <w:p>
      <w:pPr>
        <w:pStyle w:val="TextBody"/>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Amendment to Revenue Interest Financing Agreement]</w:t>
      </w:r>
    </w:p>
    <w:p>
      <w:pPr>
        <w:pStyle w:val="HorizontalLine"/>
        <w:rPr/>
      </w:pPr>
      <w:r>
        <w:rPr/>
      </w:r>
    </w:p>
    <w:p>
      <w:pPr>
        <w:pStyle w:val="TextBody"/>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b/>
          <w:sz w:val="24"/>
        </w:rPr>
        <w:t>PURCHASER</w:t>
      </w:r>
      <w:r>
        <w:rPr>
          <w:rFonts w:ascii="Times New Roman;Times;serif" w:hAnsi="Times New Roman;Times;serif"/>
          <w:sz w:val="24"/>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OAKTREE DIVIERSIFIED INCOME FUND</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INC.</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Oaktree Fund Advisors, LLC</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 Investment Advisor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Ting He​ ​​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Ting He</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Senior Vice President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Jessica Dombroff​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Jessica Dombroff</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Vice President</w:t>
      </w:r>
    </w:p>
    <w:p>
      <w:pPr>
        <w:pStyle w:val="TextBody"/>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Amendment to Revenue Interest Financing Agreement]</w:t>
      </w:r>
    </w:p>
    <w:p>
      <w:pPr>
        <w:pStyle w:val="HorizontalLine"/>
        <w:rPr/>
      </w:pPr>
      <w:r>
        <w:rPr/>
      </w:r>
    </w:p>
    <w:p>
      <w:pPr>
        <w:pStyle w:val="TextBody"/>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b/>
          <w:sz w:val="24"/>
        </w:rPr>
        <w:t>PURCHASER</w:t>
      </w:r>
      <w:r>
        <w:rPr>
          <w:rFonts w:ascii="Times New Roman;Times;serif" w:hAnsi="Times New Roman;Times;serif"/>
          <w:sz w:val="24"/>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OAKTREE AZ STRATEGIC LENDING</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FUND, L.P.</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Oaktree AZ Strategic Lending Fund GP, L.P.</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 General Partner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Oaktree Fund GP IIA, LLC</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Its:General Partner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By:Oaktree Fund GP II, L.P.</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Its:Managing Member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Ting He​ ​​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Ting He</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Authorized Signatory</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Jessica Dombroff​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Jessica Dombroff</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Authorized Signatory</w:t>
      </w:r>
    </w:p>
    <w:p>
      <w:pPr>
        <w:pStyle w:val="TextBody"/>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Amendment to Revenue Interest Financing Agreement]</w:t>
      </w:r>
    </w:p>
    <w:p>
      <w:pPr>
        <w:pStyle w:val="HorizontalLine"/>
        <w:rPr/>
      </w:pPr>
      <w:r>
        <w:rPr/>
      </w:r>
    </w:p>
    <w:p>
      <w:pPr>
        <w:pStyle w:val="TextBody"/>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b/>
          <w:sz w:val="24"/>
        </w:rPr>
        <w:t>PURCHASER</w:t>
      </w:r>
      <w:r>
        <w:rPr>
          <w:rFonts w:ascii="Times New Roman;Times;serif" w:hAnsi="Times New Roman;Times;serif"/>
          <w:sz w:val="24"/>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OAKTREE LOAN ACQUISION FUND,</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L.P.</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Oaktree Fund GP IIA, LLC</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 General Partner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By:Oaktree Fund GP II, L.P.</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Its:Managing member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Ting He​ ​​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Ting He</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Senior Authorized Signatory</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Jessica Dombroff​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Jessica Dombroff</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Authorized Signatory</w:t>
      </w:r>
    </w:p>
    <w:p>
      <w:pPr>
        <w:pStyle w:val="TextBody"/>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Amendment to Revenue Interest Financing Agreement]</w:t>
      </w:r>
    </w:p>
    <w:p>
      <w:pPr>
        <w:pStyle w:val="HorizontalLine"/>
        <w:rPr/>
      </w:pPr>
      <w:r>
        <w:rPr/>
      </w:r>
    </w:p>
    <w:p>
      <w:pPr>
        <w:pStyle w:val="TextBody"/>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b/>
          <w:sz w:val="24"/>
        </w:rPr>
        <w:t>PURCHASER</w:t>
      </w:r>
      <w:r>
        <w:rPr>
          <w:rFonts w:ascii="Times New Roman;Times;serif" w:hAnsi="Times New Roman;Times;serif"/>
          <w:sz w:val="24"/>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OAKTREE LSL FUND DELAWARE</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HOLDINGS EURRC, L.P.</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Oaktree Life Sciences Lending Fund GP, L.P.</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 General Partner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By:Oaktree Life Sciences Lending Fund GP Ltd.</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Its:General Partner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Oaktree Capital Management, L.P.</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Its:Director</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Ting He​ ​​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Ting He</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Senior Vice President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Jessica Dombroff​ ​​ ​​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Jessica Dombroff</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Vice President</w:t>
      </w:r>
    </w:p>
    <w:p>
      <w:pPr>
        <w:pStyle w:val="TextBody"/>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Amendment to Revenue Interest Financing Agreement]</w:t>
      </w:r>
    </w:p>
    <w:p>
      <w:pPr>
        <w:pStyle w:val="HorizontalLine"/>
        <w:rPr/>
      </w:pPr>
      <w:r>
        <w:rPr/>
      </w:r>
    </w:p>
    <w:p>
      <w:pPr>
        <w:pStyle w:val="TextBody"/>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b/>
          <w:sz w:val="24"/>
        </w:rPr>
        <w:t>PURCHASER</w:t>
      </w:r>
      <w:r>
        <w:rPr>
          <w:rFonts w:ascii="Times New Roman;Times;serif" w:hAnsi="Times New Roman;Times;serif"/>
          <w:sz w:val="24"/>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b/>
          <w:sz w:val="24"/>
        </w:rPr>
      </w:pPr>
      <w:r>
        <w:rPr>
          <w:rFonts w:ascii="Times New Roman;Times;serif" w:hAnsi="Times New Roman;Times;serif"/>
          <w:b/>
          <w:sz w:val="24"/>
        </w:rPr>
        <w:t>Q BOOST HOLDING LLC</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pPr>
      <w:r>
        <w:rPr/>
        <w:t>​</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Ahmed Nasser Al-Abdulghani​ ​</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Name: Ahmed Nasser Al-Abdulghani</w:t>
      </w:r>
    </w:p>
    <w:p>
      <w:pPr>
        <w:pStyle w:val="TextBody"/>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Title: Director</w:t>
      </w:r>
    </w:p>
    <w:p>
      <w:pPr>
        <w:pStyle w:val="TextBody"/>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Amendment to Revenue Interest Financing Agreement]</w:t>
      </w:r>
    </w:p>
    <w:p>
      <w:pPr>
        <w:pStyle w:val="HorizontalLine"/>
        <w:rPr/>
      </w:pPr>
      <w:r>
        <w:rPr/>
      </w:r>
      <w:r>
        <w:br w:type="page"/>
      </w:r>
    </w:p>
    <w:p>
      <w:pPr>
        <w:pStyle w:val="TextBody"/>
        <w:spacing w:before="0" w:after="0"/>
        <w:ind w:left="0" w:right="0" w:hanging="0"/>
        <w:jc w:val="right"/>
        <w:rPr>
          <w:rFonts w:ascii="Times New Roman;Times;serif" w:hAnsi="Times New Roman;Times;serif"/>
          <w:b/>
          <w:sz w:val="24"/>
        </w:rPr>
      </w:pPr>
      <w:bookmarkStart w:id="802" w:name="btai-20230331xex10d2.htm"/>
      <w:bookmarkStart w:id="803" w:name="ksbtai20230331xex10d2"/>
      <w:bookmarkEnd w:id="802"/>
      <w:bookmarkEnd w:id="803"/>
      <w:r>
        <w:rPr>
          <w:rFonts w:ascii="Times New Roman;Times;serif" w:hAnsi="Times New Roman;Times;serif"/>
          <w:b/>
          <w:sz w:val="24"/>
        </w:rPr>
        <w:t>Exhibit 10.2</w:t>
      </w:r>
    </w:p>
    <w:p>
      <w:pPr>
        <w:pStyle w:val="TextBody"/>
        <w:spacing w:before="240" w:after="240"/>
        <w:ind w:left="0" w:right="0" w:hanging="0"/>
        <w:jc w:val="center"/>
        <w:rPr>
          <w:rFonts w:ascii="Times New Roman;Times;serif" w:hAnsi="Times New Roman;Times;serif"/>
          <w:b/>
          <w:sz w:val="20"/>
        </w:rPr>
      </w:pPr>
      <w:r>
        <w:rPr>
          <w:rFonts w:ascii="Times New Roman;Times;serif" w:hAnsi="Times New Roman;Times;serif"/>
          <w:b/>
          <w:sz w:val="20"/>
        </w:rPr>
        <w:t>AMENDED &amp; RESTATED EXECUTIVE EMPLOYMENT AGREEMENT</w:t>
      </w:r>
    </w:p>
    <w:p>
      <w:pPr>
        <w:pStyle w:val="TextBody"/>
        <w:spacing w:before="240" w:after="240"/>
        <w:ind w:left="0" w:right="0" w:firstLine="719"/>
        <w:rPr>
          <w:rFonts w:ascii="Times New Roman;Times;serif" w:hAnsi="Times New Roman;Times;serif"/>
          <w:sz w:val="20"/>
        </w:rPr>
      </w:pPr>
      <w:r>
        <w:rPr>
          <w:rFonts w:ascii="Times New Roman;Times;serif" w:hAnsi="Times New Roman;Times;serif"/>
          <w:sz w:val="20"/>
        </w:rPr>
        <w:t>This Amended &amp; Restated Executive Agreement (the “</w:t>
      </w:r>
      <w:r>
        <w:rPr>
          <w:rFonts w:ascii="Times New Roman;Times;serif" w:hAnsi="Times New Roman;Times;serif"/>
          <w:sz w:val="20"/>
          <w:u w:val="single"/>
        </w:rPr>
        <w:t>Agreement</w:t>
      </w:r>
      <w:r>
        <w:rPr>
          <w:rFonts w:ascii="Times New Roman;Times;serif" w:hAnsi="Times New Roman;Times;serif"/>
          <w:sz w:val="20"/>
        </w:rPr>
        <w:t>”) is made and entered into effective as of July 1, 2022 (the “</w:t>
      </w:r>
      <w:r>
        <w:rPr>
          <w:rFonts w:ascii="Times New Roman;Times;serif" w:hAnsi="Times New Roman;Times;serif"/>
          <w:sz w:val="20"/>
          <w:u w:val="single"/>
        </w:rPr>
        <w:t>Effective Date</w:t>
      </w:r>
      <w:r>
        <w:rPr>
          <w:rFonts w:ascii="Times New Roman;Times;serif" w:hAnsi="Times New Roman;Times;serif"/>
          <w:sz w:val="20"/>
        </w:rPr>
        <w:t>”), by and between Vincent O’Neill, M.D. (the “</w:t>
      </w:r>
      <w:r>
        <w:rPr>
          <w:rFonts w:ascii="Times New Roman;Times;serif" w:hAnsi="Times New Roman;Times;serif"/>
          <w:sz w:val="20"/>
          <w:u w:val="single"/>
        </w:rPr>
        <w:t>Executive</w:t>
      </w:r>
      <w:r>
        <w:rPr>
          <w:rFonts w:ascii="Times New Roman;Times;serif" w:hAnsi="Times New Roman;Times;serif"/>
          <w:sz w:val="20"/>
        </w:rPr>
        <w:t>”) and BioXcel Therapeutics, Inc., a Delaware corporation (the “</w:t>
      </w:r>
      <w:r>
        <w:rPr>
          <w:rFonts w:ascii="Times New Roman;Times;serif" w:hAnsi="Times New Roman;Times;serif"/>
          <w:sz w:val="20"/>
          <w:u w:val="single"/>
        </w:rPr>
        <w:t>Company</w:t>
      </w:r>
      <w:r>
        <w:rPr>
          <w:rFonts w:ascii="Times New Roman;Times;serif" w:hAnsi="Times New Roman;Times;serif"/>
          <w:sz w:val="20"/>
        </w:rPr>
        <w:t>”).</w:t>
      </w:r>
    </w:p>
    <w:p>
      <w:pPr>
        <w:pStyle w:val="TextBody"/>
        <w:spacing w:before="24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RECITALS</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WHEREAS, Executive serves as the Company’s Senior Vice President and Chief Medical Officer pursuant to that certain Executive Employment Agreement by and between Executive and the Company, dated as of June 1, 2018 (the “</w:t>
      </w:r>
      <w:r>
        <w:rPr>
          <w:rFonts w:ascii="Times New Roman;Times;serif" w:hAnsi="Times New Roman;Times;serif"/>
          <w:sz w:val="20"/>
          <w:u w:val="single"/>
        </w:rPr>
        <w:t>Prior Agreement</w:t>
      </w:r>
      <w:r>
        <w:rPr>
          <w:rFonts w:ascii="Times New Roman;Times;serif" w:hAnsi="Times New Roman;Times;serif"/>
          <w:sz w:val="20"/>
        </w:rPr>
        <w:t>”);</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 xml:space="preserve">WHEREAS, the Company wishes to continue to secure the services of Executive upon the terms and conditions hereinafter set forth, and Executive wishes to render such services to the Company upon the terms and conditions hereinafter set forth; </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WHEREAS, the Company and Executive intend that effective as of the Effective Date, this Agreement will supersede the Prior Agreement in all respects; and</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NOW, THEREFORE, in consideration of the foregoing and the mutual covenants herein contained and for other good and valuable consideration, the receipt and adequacy of which are hereby acknowledged, the parties hereto, intending to be legally bound, agree as follows:</w:t>
      </w:r>
    </w:p>
    <w:p>
      <w:pPr>
        <w:pStyle w:val="TextBody"/>
        <w:spacing w:before="24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AGREEMENT</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 xml:space="preserve">1. </w:t>
      </w:r>
      <w:r>
        <w:rPr>
          <w:rFonts w:ascii="Times New Roman;Times;serif" w:hAnsi="Times New Roman;Times;serif"/>
          <w:sz w:val="20"/>
          <w:u w:val="single"/>
        </w:rPr>
        <w:t>Definition of Terms</w:t>
      </w:r>
      <w:r>
        <w:rPr>
          <w:rFonts w:ascii="Times New Roman;Times;serif" w:hAnsi="Times New Roman;Times;serif"/>
          <w:sz w:val="20"/>
        </w:rPr>
        <w:t>. The following terms referred to in this Agreement shall have the following meanings:</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Cause</w:t>
      </w:r>
      <w:r>
        <w:rPr>
          <w:rFonts w:ascii="Times New Roman;Times;serif" w:hAnsi="Times New Roman;Times;serif"/>
          <w:sz w:val="20"/>
        </w:rPr>
        <w:t xml:space="preserve">” shall mean any of the following: (i) a material breach or material default (including, without limitation, any material dereliction of duty) by Executive of this Agreement or any agreement between Executive and the Company, or a repeated failure by Executive to follow the direction of the Company; (ii) Executive’s gross negligence, willful misfeasance or breach of fiduciary duty to the Company or its affiliates; (iii) the commission by Executive of an act or omission involving fraud, embezzlement, misappropriation or dishonesty in connection with Executive’s duties to the Company or its affiliates or that is otherwise likely to be materially injurious to the business or reputation of the Company or its affiliates; or (iv) Executive’s conviction of, indictment for, or pleading guilty or </w:t>
      </w:r>
      <w:r>
        <w:rPr>
          <w:rFonts w:ascii="Times New Roman;Times;serif" w:hAnsi="Times New Roman;Times;serif"/>
          <w:i/>
          <w:sz w:val="20"/>
        </w:rPr>
        <w:t>nolo contendere</w:t>
      </w:r>
      <w:r>
        <w:rPr>
          <w:rFonts w:ascii="Times New Roman;Times;serif" w:hAnsi="Times New Roman;Times;serif"/>
          <w:sz w:val="20"/>
        </w:rPr>
        <w:t xml:space="preserve"> to, any felony or other crime involving fraud or moral turpitude. For purposes of this subsection, no act or failure to act on Executive’s part shall be considered “willful” unless done, or omitted to be done, by Executive not in good faith and without reasonable belief that his action or omission was in the best interest of the Company. Any determination of whether Cause exists shall be made by the Company in its sole and absolute discretion. Provided, however, that before a termination for Cause pursuant to Section 1(a)(iii) or (iv) is effective, Executive will be given written notice of the particular circumstances constituting the basis for the termination for Cause and thirty (30) calendar days to cure those particular circumstances (the “</w:t>
      </w:r>
      <w:r>
        <w:rPr>
          <w:rFonts w:ascii="Times New Roman;Times;serif" w:hAnsi="Times New Roman;Times;serif"/>
          <w:sz w:val="20"/>
          <w:u w:val="single"/>
        </w:rPr>
        <w:t>Executive’s Cure Period</w:t>
      </w:r>
      <w:r>
        <w:rPr>
          <w:rFonts w:ascii="Times New Roman;Times;serif" w:hAnsi="Times New Roman;Times;serif"/>
          <w:sz w:val="20"/>
        </w:rPr>
        <w:t>”). Any determination as to whether Executive successfully cured the circumstances at issue shall be made by the Company in its sole and absolute discretion. Failing such cure, Executive’s termination for Cause pursuant to Section 1(a)(iii) or (iv) shall be effective on the day immediately following the expiration of Executive’s Cure Period.</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Change of Control</w:t>
      </w:r>
      <w:r>
        <w:rPr>
          <w:rFonts w:ascii="Times New Roman;Times;serif" w:hAnsi="Times New Roman;Times;serif"/>
          <w:sz w:val="20"/>
        </w:rPr>
        <w:t>” shall mean the occurrence of any of the following events:</w:t>
      </w:r>
    </w:p>
    <w:p>
      <w:pPr>
        <w:pStyle w:val="TextBody"/>
        <w:spacing w:before="240" w:after="240"/>
        <w:ind w:left="0" w:right="0" w:firstLine="2160"/>
        <w:rPr>
          <w:rFonts w:ascii="Times New Roman;Times;serif" w:hAnsi="Times New Roman;Times;serif"/>
          <w:sz w:val="20"/>
        </w:rPr>
      </w:pPr>
      <w:r>
        <w:rPr>
          <w:rFonts w:ascii="Times New Roman;Times;serif" w:hAnsi="Times New Roman;Times;serif"/>
          <w:sz w:val="20"/>
        </w:rPr>
        <w:t>(i) the date on which any “person” (as such term is used in Sections 13(d) and 14(d) of the Securities Exchange Act of 1934, as amended (the “</w:t>
      </w:r>
      <w:r>
        <w:rPr>
          <w:rFonts w:ascii="Times New Roman;Times;serif" w:hAnsi="Times New Roman;Times;serif"/>
          <w:sz w:val="20"/>
          <w:u w:val="single"/>
        </w:rPr>
        <w:t>Exchange Act</w:t>
      </w:r>
      <w:r>
        <w:rPr>
          <w:rFonts w:ascii="Times New Roman;Times;serif" w:hAnsi="Times New Roman;Times;serif"/>
          <w:sz w:val="20"/>
        </w:rPr>
        <w:t>”)) obtains “beneficial ownership” (as defined in Rule 13d-3 of the Exchange Act) or a pecuniary interest in fifty percent (50%) or more of the combined voting power of the Company’s then outstanding securities (“</w:t>
      </w:r>
      <w:r>
        <w:rPr>
          <w:rFonts w:ascii="Times New Roman;Times;serif" w:hAnsi="Times New Roman;Times;serif"/>
          <w:sz w:val="20"/>
          <w:u w:val="single"/>
        </w:rPr>
        <w:t>Voting Stock</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US-DOCS\133198543.2</w:t>
      </w:r>
    </w:p>
    <w:p>
      <w:pPr>
        <w:pStyle w:val="HorizontalLine"/>
        <w:rPr/>
      </w:pPr>
      <w:r>
        <w:rPr/>
      </w:r>
    </w:p>
    <w:p>
      <w:pPr>
        <w:pStyle w:val="TextBody"/>
        <w:spacing w:before="0" w:after="0"/>
        <w:ind w:left="0" w:right="0" w:hanging="0"/>
        <w:jc w:val="right"/>
        <w:rPr>
          <w:rFonts w:ascii="Times New Roman;Times;serif" w:hAnsi="Times New Roman;Times;serif"/>
          <w:b/>
          <w:sz w:val="24"/>
        </w:rPr>
      </w:pPr>
      <w:r>
        <w:rPr>
          <w:rFonts w:ascii="Times New Roman;Times;serif" w:hAnsi="Times New Roman;Times;serif"/>
          <w:b/>
          <w:sz w:val="24"/>
        </w:rPr>
        <w:t>Exhibit 10.2</w:t>
      </w:r>
    </w:p>
    <w:p>
      <w:pPr>
        <w:pStyle w:val="TextBody"/>
        <w:spacing w:before="0" w:after="240"/>
        <w:ind w:left="0" w:right="0" w:firstLine="2160"/>
        <w:rPr>
          <w:rFonts w:ascii="Times New Roman;Times;serif" w:hAnsi="Times New Roman;Times;serif"/>
          <w:sz w:val="20"/>
        </w:rPr>
      </w:pPr>
      <w:r>
        <w:rPr>
          <w:rFonts w:ascii="Times New Roman;Times;serif" w:hAnsi="Times New Roman;Times;serif"/>
          <w:sz w:val="20"/>
        </w:rPr>
        <w:t>(ii) the consummation of a merger, consolidation, reorganization, or similar transaction involving the Company, other than a transaction: (1) in which substantially all of the holders of the Voting Stock immediately prior to such transaction hold or receive directly or indirectly fifty percent (50%) or more of the voting stock of the resulting entity or a parent company thereof, in substantially the same proportions as their ownership of the Company immediately prior to the transaction; or (2) in which the holders of the Company’s capital stock immediately before such transaction will, immediately after such transaction, hold as a group on a fully diluted basis the ability to elect at least a majority of the authorized directors of the surviving entity (or a parent company); or</w:t>
      </w:r>
    </w:p>
    <w:p>
      <w:pPr>
        <w:pStyle w:val="TextBody"/>
        <w:spacing w:before="240" w:after="240"/>
        <w:ind w:left="0" w:right="0" w:firstLine="2160"/>
        <w:rPr>
          <w:rFonts w:ascii="Times New Roman;Times;serif" w:hAnsi="Times New Roman;Times;serif"/>
          <w:sz w:val="20"/>
        </w:rPr>
      </w:pPr>
      <w:r>
        <w:rPr>
          <w:rFonts w:ascii="Times New Roman;Times;serif" w:hAnsi="Times New Roman;Times;serif"/>
          <w:sz w:val="20"/>
        </w:rPr>
        <w:t>(iii) there is consummated a sale, lease, license or disposition of all or substantially all of the consolidated assets of the Company and its subsidiaries, other than a sale, lease, license or disposition of all or substantially all of the consolidated assets of the Company and its subsidiaries to an entity, fifty percent (50%) or more of the combined voting power of the voting securities of which are owned by stockholders of the Company in substantially the same proportions as their ownership of the Company immediately prior to such sale, lease, license or disposition.</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Disability</w:t>
      </w:r>
      <w:r>
        <w:rPr>
          <w:rFonts w:ascii="Times New Roman;Times;serif" w:hAnsi="Times New Roman;Times;serif"/>
          <w:sz w:val="20"/>
        </w:rPr>
        <w:t>” means a physical or mental disability, which prevents Executive from performing Executive’s duties under this Agreement for a period of at least 120 consecutive days in any twelve month period or 150 non consecutive days in any twelve month period.</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Good Reason</w:t>
      </w:r>
      <w:r>
        <w:rPr>
          <w:rFonts w:ascii="Times New Roman;Times;serif" w:hAnsi="Times New Roman;Times;serif"/>
          <w:sz w:val="20"/>
        </w:rPr>
        <w:t>” shall mean without Executive’s express written consent any of the following: (i) a significant reduction of Executive’s duties, position or responsibilities relative to Executive’s duties, position or responsibilities in effect immediately prior to such reduction, or the removal of Executive from such position, duties or responsibilities; or (ii) any action or inaction that constitutes a material breach by the Company or any successor to the Company of its obligations to Executive under this Agreement, including but not-limited to the commencement of a voluntary or involuntary bankruptcy proceeding. Provided, however, that before a termination for Good Reason pursuant to Section 1(d)(i) or (ii) is effective, Executive will provide the Company with written notice of the particular circumstances constituting the basis for his termination with Good Reason and thirty (30) calendar days to cure these particular circumstances (the “</w:t>
      </w:r>
      <w:r>
        <w:rPr>
          <w:rFonts w:ascii="Times New Roman;Times;serif" w:hAnsi="Times New Roman;Times;serif"/>
          <w:sz w:val="20"/>
          <w:u w:val="single"/>
        </w:rPr>
        <w:t>Company’s Cure Period</w:t>
      </w:r>
      <w:r>
        <w:rPr>
          <w:rFonts w:ascii="Times New Roman;Times;serif" w:hAnsi="Times New Roman;Times;serif"/>
          <w:sz w:val="20"/>
        </w:rPr>
        <w:t>”). Failing such cure, Executive’s termination of employment for Good Reason shall be effective on the day immediately following the expiration of the Company’s Cure Period.</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 xml:space="preserve">2. </w:t>
      </w:r>
      <w:r>
        <w:rPr>
          <w:rFonts w:ascii="Times New Roman;Times;serif" w:hAnsi="Times New Roman;Times;serif"/>
          <w:sz w:val="20"/>
          <w:u w:val="single"/>
        </w:rPr>
        <w:t>Duties and Scope of Position</w:t>
      </w:r>
      <w:r>
        <w:rPr>
          <w:rFonts w:ascii="Times New Roman;Times;serif" w:hAnsi="Times New Roman;Times;serif"/>
          <w:sz w:val="20"/>
        </w:rPr>
        <w:t>. During the Employment Term (as defined below), Executive will serve as Chief Research and Development Officer of OnkosXcel Therapeutics, LLC, a subsidiary of the Company (“</w:t>
      </w:r>
      <w:r>
        <w:rPr>
          <w:rFonts w:ascii="Times New Roman;Times;serif" w:hAnsi="Times New Roman;Times;serif"/>
          <w:sz w:val="20"/>
          <w:u w:val="single"/>
        </w:rPr>
        <w:t>OnkosXcel</w:t>
      </w:r>
      <w:r>
        <w:rPr>
          <w:rFonts w:ascii="Times New Roman;Times;serif" w:hAnsi="Times New Roman;Times;serif"/>
          <w:sz w:val="20"/>
        </w:rPr>
        <w:t>”), reporting to the Chief Executive Officer of the Company or OnkosXcel, as applicable (in either case, the “</w:t>
      </w:r>
      <w:r>
        <w:rPr>
          <w:rFonts w:ascii="Times New Roman;Times;serif" w:hAnsi="Times New Roman;Times;serif"/>
          <w:sz w:val="20"/>
          <w:u w:val="single"/>
        </w:rPr>
        <w:t>Chief Executive Officer</w:t>
      </w:r>
      <w:r>
        <w:rPr>
          <w:rFonts w:ascii="Times New Roman;Times;serif" w:hAnsi="Times New Roman;Times;serif"/>
          <w:sz w:val="20"/>
        </w:rPr>
        <w:t xml:space="preserve">”), and assuming and discharging such responsibilities as are commensurate with Executive’s position. Executive acknowledges and agrees that effective as of the Effective Date, Executive shall no longer serve as Senior Vice President and Chief Medical Officer of the Company and that Executive no longer serving in such role, nor any of the changes to Executive’s other terms and conditions of employment as provided for under this Agreement shall constitute Good Reason. During the Employment Term, Executive will provide services in a manner that will faithfully and diligently further the business of the Company and OnkosXcel and will devote all of Executive’s business time, attention and energy thereto. Executive’s primary place of work shall be the Company’s principal place of business in Connecticut provided, however the Company acknowledges and agrees that Executive may work at his home office in Austin, Texas or such other location(s) as agreed upon in writing by the Chief Executive Officer. Executive may not serve as a director on any entity’s board of directors without prior written consent of the Company, which consent may be withheld by the Company in its sole and absolute discretion. </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 xml:space="preserve">3. </w:t>
      </w:r>
      <w:r>
        <w:rPr>
          <w:rFonts w:ascii="Times New Roman;Times;serif" w:hAnsi="Times New Roman;Times;serif"/>
          <w:sz w:val="20"/>
          <w:u w:val="single"/>
        </w:rPr>
        <w:t>Employment Term</w:t>
      </w:r>
      <w:r>
        <w:rPr>
          <w:rFonts w:ascii="Times New Roman;Times;serif" w:hAnsi="Times New Roman;Times;serif"/>
          <w:sz w:val="20"/>
        </w:rPr>
        <w:t>. The term of Executive’s employment under this Agreement shall commence as of the Effective Date and shall continue for a period of two (2) years, unless earlier terminated in accordance with Section 9 hereof. The term of Executive’s employment shall be automatically renewed for successive one (1) year periods until Executive or the Company delivers to the other party a written notice of their intent not to renew the “Employment Term,” such written notice to be delivered at least ninety (90) days prior to the expiration of the then-effective “Employment Term” as that term is defined below. The period commencing as of the Effective Date and ending two (2) years from the Effective Date or such later date to which the term of Executive’s employment under this Agreement shall have been extended is referred to herein as the “Employment Term”.</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US-DOCS\133198543.2</w:t>
      </w:r>
    </w:p>
    <w:p>
      <w:pPr>
        <w:pStyle w:val="HorizontalLine"/>
        <w:rPr/>
      </w:pPr>
      <w:r>
        <w:rPr/>
      </w:r>
    </w:p>
    <w:p>
      <w:pPr>
        <w:pStyle w:val="TextBody"/>
        <w:spacing w:before="0" w:after="0"/>
        <w:ind w:left="0" w:right="0" w:hanging="0"/>
        <w:jc w:val="right"/>
        <w:rPr>
          <w:rFonts w:ascii="Times New Roman;Times;serif" w:hAnsi="Times New Roman;Times;serif"/>
          <w:b/>
          <w:sz w:val="24"/>
        </w:rPr>
      </w:pPr>
      <w:r>
        <w:rPr>
          <w:rFonts w:ascii="Times New Roman;Times;serif" w:hAnsi="Times New Roman;Times;serif"/>
          <w:b/>
          <w:sz w:val="24"/>
        </w:rPr>
        <w:t>Exhibit 10.2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4. </w:t>
      </w:r>
      <w:r>
        <w:rPr>
          <w:rFonts w:ascii="Times New Roman;Times;serif" w:hAnsi="Times New Roman;Times;serif"/>
          <w:sz w:val="20"/>
          <w:u w:val="single"/>
        </w:rPr>
        <w:t>Base Compensation</w:t>
      </w:r>
      <w:r>
        <w:rPr>
          <w:rFonts w:ascii="Times New Roman;Times;serif" w:hAnsi="Times New Roman;Times;serif"/>
          <w:sz w:val="20"/>
        </w:rPr>
        <w:t>. During the Employment Term, the Company shall pay to Executive a base compensation (the “</w:t>
      </w:r>
      <w:r>
        <w:rPr>
          <w:rFonts w:ascii="Times New Roman;Times;serif" w:hAnsi="Times New Roman;Times;serif"/>
          <w:sz w:val="20"/>
          <w:u w:val="single"/>
        </w:rPr>
        <w:t>Base Compensation</w:t>
      </w:r>
      <w:r>
        <w:rPr>
          <w:rFonts w:ascii="Times New Roman;Times;serif" w:hAnsi="Times New Roman;Times;serif"/>
          <w:sz w:val="20"/>
        </w:rPr>
        <w:t>”) of $425,000 per year, increasing to $450,000 per year upon the consummation of a sale by OnkosXcel to an unaffiliated third party of equity securities of OnkosXcel resulting in aggregate gross proceeds of not less than $20 million. The Base Compensation shall be prorated for any partial year, payable in accordance with the Company’s regular payroll practices and shall be subject to all applicable tax withholdings and deductions. The Company shall review Executive’s performance from time to time for purposes of, among other things, determining the appropriateness of increasing or decreasing his Base Compensation hereunder. For purposes of the Agreement, the term “</w:t>
      </w:r>
      <w:r>
        <w:rPr>
          <w:rFonts w:ascii="Times New Roman;Times;serif" w:hAnsi="Times New Roman;Times;serif"/>
          <w:sz w:val="20"/>
          <w:u w:val="single"/>
        </w:rPr>
        <w:t>Base Compensation</w:t>
      </w:r>
      <w:r>
        <w:rPr>
          <w:rFonts w:ascii="Times New Roman;Times;serif" w:hAnsi="Times New Roman;Times;serif"/>
          <w:sz w:val="20"/>
        </w:rPr>
        <w:t>” as of any point in time shall refer to the Base Compensation as adjusted pursuant to this Section 4.</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 xml:space="preserve">5. </w:t>
      </w:r>
      <w:r>
        <w:rPr>
          <w:rFonts w:ascii="Times New Roman;Times;serif" w:hAnsi="Times New Roman;Times;serif"/>
          <w:sz w:val="20"/>
          <w:u w:val="single"/>
        </w:rPr>
        <w:t>Target Bonus</w:t>
      </w:r>
      <w:r>
        <w:rPr>
          <w:rFonts w:ascii="Times New Roman;Times;serif" w:hAnsi="Times New Roman;Times;serif"/>
          <w:sz w:val="20"/>
        </w:rPr>
        <w:t>. The Executive may be eligible to receive an annual bonus (the “</w:t>
      </w:r>
      <w:r>
        <w:rPr>
          <w:rFonts w:ascii="Times New Roman;Times;serif" w:hAnsi="Times New Roman;Times;serif"/>
          <w:sz w:val="20"/>
          <w:u w:val="single"/>
        </w:rPr>
        <w:t>Bonus</w:t>
      </w:r>
      <w:r>
        <w:rPr>
          <w:rFonts w:ascii="Times New Roman;Times;serif" w:hAnsi="Times New Roman;Times;serif"/>
          <w:sz w:val="20"/>
        </w:rPr>
        <w:t>”) of up to 35% of Base Compensation. The actual amount of such Bonus, if any, will be determined by the Company in its sole and absolute discretion based upon, among other things, the achievement of performance milestones for each fiscal year (in each case, the “</w:t>
      </w:r>
      <w:r>
        <w:rPr>
          <w:rFonts w:ascii="Times New Roman;Times;serif" w:hAnsi="Times New Roman;Times;serif"/>
          <w:sz w:val="20"/>
          <w:u w:val="single"/>
        </w:rPr>
        <w:t>Target Year</w:t>
      </w:r>
      <w:r>
        <w:rPr>
          <w:rFonts w:ascii="Times New Roman;Times;serif" w:hAnsi="Times New Roman;Times;serif"/>
          <w:sz w:val="20"/>
        </w:rPr>
        <w:t>”). The performance milestones referenced in this Section 5 for each Target Year shall be mutually agreed upon by Executive and either the Company’s Board of Directors or its compensation committee (the “</w:t>
      </w:r>
      <w:r>
        <w:rPr>
          <w:rFonts w:ascii="Times New Roman;Times;serif" w:hAnsi="Times New Roman;Times;serif"/>
          <w:sz w:val="20"/>
          <w:u w:val="single"/>
        </w:rPr>
        <w:t>Board</w:t>
      </w:r>
      <w:r>
        <w:rPr>
          <w:rFonts w:ascii="Times New Roman;Times;serif" w:hAnsi="Times New Roman;Times;serif"/>
          <w:sz w:val="20"/>
        </w:rPr>
        <w:t>”). Such performance milestones shall be established by the last day of the first month of the Target Year. If Executive and the Board are unable to mutually agree upon such performance milestones, then the Company shall determine the performance milestones in its sole and absolute discretion. The Bonus, if any, shall be paid by the end of the third month of the fiscal year immediately following the Target Year. Executive must be continuously employed by the Company through the end of the Target Year for which the Bonus is calculated in order to receive such payment. Except in the case of termination by the Company without Cause or by the Executive for Good Reason, Executive must be employed by the Company on the Bonus payment date in order to be eligible for any such payment. For purposes of clarity, upon a termination for Cause or Executive’s termination without Good Reason, Executive will not be eligible to earn and receive any Bonus.</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 xml:space="preserve">6. </w:t>
      </w:r>
      <w:r>
        <w:rPr>
          <w:rFonts w:ascii="Times New Roman;Times;serif" w:hAnsi="Times New Roman;Times;serif"/>
          <w:sz w:val="20"/>
          <w:u w:val="single"/>
        </w:rPr>
        <w:t>Benefits; Vacation Days</w:t>
      </w:r>
      <w:r>
        <w:rPr>
          <w:rFonts w:ascii="Times New Roman;Times;serif" w:hAnsi="Times New Roman;Times;serif"/>
          <w:sz w:val="20"/>
        </w:rPr>
        <w:t>. (a) During the Employment Term, Executive shall be entitled to participate in all employee benefit plans and programs that the Company decides, in its sole and absolute discretion, to make available to the Company’s senior level executives as a group or to its employees generally, as such plans or programs may be in effect from time to time.</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(b) During the Employment Term, Employee shall be entitled to fifteen (15) vacation days per year, as well as holidays, sick days and personal days in accordance with the Company’s policies, as such policies may be amended from time to time. Any unused vacation, holiday, sick or personal days earned in one calendar year may not be used in any subsequent calendar year. Upon the termination of the Executive’s employment with the Company, no cash shall be paid in lieu of accrued but unused vacation, holiday, sick or personal days.</w:t>
      </w:r>
    </w:p>
    <w:p>
      <w:pPr>
        <w:pStyle w:val="TextBody"/>
        <w:pBdr/>
        <w:spacing w:before="240" w:after="240"/>
        <w:ind w:left="720" w:right="0" w:hanging="720"/>
        <w:rPr>
          <w:rFonts w:ascii="Times New Roman;Times;serif" w:hAnsi="Times New Roman;Times;serif"/>
          <w:sz w:val="6"/>
        </w:rPr>
      </w:pPr>
      <w:r>
        <w:rPr>
          <w:rFonts w:ascii="Times New Roman;Times;serif" w:hAnsi="Times New Roman;Times;serif"/>
          <w:sz w:val="20"/>
        </w:rPr>
        <w:t>7.</w:t>
      </w:r>
      <w:r>
        <w:rPr>
          <w:rFonts w:ascii="Times New Roman;Times;serif" w:hAnsi="Times New Roman;Times;serif"/>
          <w:sz w:val="6"/>
        </w:rPr>
        <w:t xml:space="preserve"> </w:t>
      </w:r>
      <w:r>
        <w:rPr>
          <w:rFonts w:ascii="Times New Roman;Times;serif" w:hAnsi="Times New Roman;Times;serif"/>
          <w:sz w:val="20"/>
          <w:u w:val="single"/>
        </w:rPr>
        <w:t>Termination</w:t>
      </w:r>
      <w:r>
        <w:rPr>
          <w:rFonts w:ascii="Times New Roman;Times;serif" w:hAnsi="Times New Roman;Times;serif"/>
          <w:sz w:val="20"/>
        </w:rPr>
        <w:t>.</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Termination by the Company</w:t>
      </w:r>
      <w:r>
        <w:rPr>
          <w:rFonts w:ascii="Times New Roman;Times;serif" w:hAnsi="Times New Roman;Times;serif"/>
          <w:sz w:val="20"/>
        </w:rPr>
        <w:t>. The Company may terminate Executive’s employment immediately for Cause. Provided, however, that if the Company seeks to terminate Executive’s employment for Cause as defined in Section 1(a)(iii) or (iv), then Executive’s termination shall not be effective until the day immediately following the expiration of the Executive’s Cure Period. Except as otherwise set forth in Section 9(c) below, the Company must provide Executive with thirty (30) days advance written notice of its decision to terminate Executive’s employment without Cause.</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Termination by Executive</w:t>
      </w:r>
      <w:r>
        <w:rPr>
          <w:rFonts w:ascii="Times New Roman;Times;serif" w:hAnsi="Times New Roman;Times;serif"/>
          <w:sz w:val="20"/>
        </w:rPr>
        <w:t>. Executive may terminate his employment for Good Reason, provided that, such termination for Good Reason shall not be effective until the day immediately following the expiration of the Company’s Cure Period. Executive must provide the Company with ninety (90) days advance written notice of his decision to terminate his employment without Good Reason. Following its receipt of Executive’s advance written notice of Executive’s decision to terminate his employment without Good Reason, the Company may, in its sole and absolute discretion, decide to render Executive’s termination without Good Reason effective at any time prior to the expiration of the ninety (90) day notice period set forth in this Section 9(b).</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Termination for Death or Disability</w:t>
      </w:r>
      <w:r>
        <w:rPr>
          <w:rFonts w:ascii="Times New Roman;Times;serif" w:hAnsi="Times New Roman;Times;serif"/>
          <w:sz w:val="20"/>
        </w:rPr>
        <w:t>. Executive’s employment shall terminate automatically upon his death. The Company must provide Executive with ten (10) days advance written notice of its decision to terminate Executive’s employment as a result of Executive’s Disability.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US-DOCS\133198543.2</w:t>
      </w:r>
    </w:p>
    <w:p>
      <w:pPr>
        <w:pStyle w:val="HorizontalLine"/>
        <w:rPr/>
      </w:pPr>
      <w:r>
        <w:rPr/>
      </w:r>
    </w:p>
    <w:p>
      <w:pPr>
        <w:pStyle w:val="TextBody"/>
        <w:spacing w:before="0" w:after="0"/>
        <w:ind w:left="0" w:right="0" w:hanging="0"/>
        <w:jc w:val="right"/>
        <w:rPr>
          <w:rFonts w:ascii="Times New Roman;Times;serif" w:hAnsi="Times New Roman;Times;serif"/>
          <w:b/>
          <w:sz w:val="24"/>
        </w:rPr>
      </w:pPr>
      <w:r>
        <w:rPr>
          <w:rFonts w:ascii="Times New Roman;Times;serif" w:hAnsi="Times New Roman;Times;serif"/>
          <w:b/>
          <w:sz w:val="24"/>
        </w:rPr>
        <w:t>Exhibit 10.2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8. </w:t>
      </w:r>
      <w:r>
        <w:rPr>
          <w:rFonts w:ascii="Times New Roman;Times;serif" w:hAnsi="Times New Roman;Times;serif"/>
          <w:sz w:val="20"/>
          <w:u w:val="single"/>
        </w:rPr>
        <w:t>Payments upon Termination</w:t>
      </w:r>
      <w:r>
        <w:rPr>
          <w:rFonts w:ascii="Times New Roman;Times;serif" w:hAnsi="Times New Roman;Times;serif"/>
          <w:sz w:val="20"/>
        </w:rPr>
        <w:t>.</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Termination by the Company for Cause, Death or Disability or by Executive Without Good Reason</w:t>
      </w:r>
      <w:r>
        <w:rPr>
          <w:rFonts w:ascii="Times New Roman;Times;serif" w:hAnsi="Times New Roman;Times;serif"/>
          <w:sz w:val="20"/>
        </w:rPr>
        <w:t>. In the event that Executive’s employment hereunder is terminated: (i) by the Company for Cause; (ii) as a result of Executive’s death or Disability; (iii) by Executive without Good Reason; or (iv) as a result of either the Company or Executive providing the other with notice of its intent not to renew the Employment Term pursuant to Section 3, then the Company shall pay to Executive (or in the case of death, Executive’s estate) any portion of Executive’s unpaid Base Compensation then due for periods prior to the effective date of Executive’s termination. In addition, the Company shall reimburse Executive for all expenses reasonably and necessarily incurred by Executive in connection with the business of the Company prior to the effective date of termination, provided that Executive (or Executive’s estate) submit proper expense reports to the Company no later than fourteen (14) days after the effective date of Executive’s termination.</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Termination by the Company Without Cause or by Executive With Good Reason</w:t>
      </w:r>
      <w:r>
        <w:rPr>
          <w:rFonts w:ascii="Times New Roman;Times;serif" w:hAnsi="Times New Roman;Times;serif"/>
          <w:sz w:val="20"/>
        </w:rPr>
        <w:t>. In the event that Executive’s employment hereunder is terminated by the Company without Cause or by Executive with Good Reason, then the Company shall provide Executive with the same payments and benefits set forth in Section 8(a). Further, provided Executive timely executes a general release of all claims against the Company in a form acceptable to the Company (a “</w:t>
      </w:r>
      <w:r>
        <w:rPr>
          <w:rFonts w:ascii="Times New Roman;Times;serif" w:hAnsi="Times New Roman;Times;serif"/>
          <w:sz w:val="20"/>
          <w:u w:val="single"/>
        </w:rPr>
        <w:t>Release</w:t>
      </w:r>
      <w:r>
        <w:rPr>
          <w:rFonts w:ascii="Times New Roman;Times;serif" w:hAnsi="Times New Roman;Times;serif"/>
          <w:sz w:val="20"/>
        </w:rPr>
        <w:t xml:space="preserve">”) and the Release becomes effective within 60 days following the date of Executive’s termination, then Executive shall also receive: (i) a </w:t>
      </w:r>
      <w:r>
        <w:rPr>
          <w:rFonts w:ascii="Times New Roman;Times;serif" w:hAnsi="Times New Roman;Times;serif"/>
          <w:i/>
          <w:sz w:val="20"/>
        </w:rPr>
        <w:t>pro rata</w:t>
      </w:r>
      <w:r>
        <w:rPr>
          <w:rFonts w:ascii="Times New Roman;Times;serif" w:hAnsi="Times New Roman;Times;serif"/>
          <w:sz w:val="20"/>
        </w:rPr>
        <w:t xml:space="preserve"> Bonus for the Target Year in which Executive’s termination became effective, payable on the same date that bonuses are payable to other executives of the Company in the year following such Target Year; (ii) continued payment of Executive’s Base Salary during the six (6) month period immediately following Executive’s termination on the Company’s regularly scheduled payroll dates; provided, however, that if the 60 day period for the Release to become effective begins in one calendar year and ends in a second calendar year, the first installment of the payments made under (ii) hereof shall not be paid until the second calendar year and shall include all amounts that would have been paid prior to such date if such delay had not applied.</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Termination Prior to a Change of Control</w:t>
      </w:r>
      <w:r>
        <w:rPr>
          <w:rFonts w:ascii="Times New Roman;Times;serif" w:hAnsi="Times New Roman;Times;serif"/>
          <w:sz w:val="20"/>
        </w:rPr>
        <w:t>. In the event that the Company terminates Executive’s employment without Cause or Executive terminates his employment with Good Reason and a Change of Control is consummated no more than six (6) months following the effective date of Executive’s termination, then, in addition to the payments and benefits set forth in Section 8(b), Executive shall also receive a lump sum payment equal to six (6) months of Executive’s Base Salary. In order to receive the payment set forth in this Section 8(c): (i) the Change of Control must have been Pending on the effective date of Executive’s termination; and (ii) Executive must execute the Release. The payment shall be made on the first regularly scheduled payroll date following the later of (x) the Change of Control, and (y) the effective date of the Release; provided, however, that if the 60 day period for the Release to become effective begins in one calendar year and ends in a second calendar year, the payment shall not be paid until the second calendar year.</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Termination Subsequent to a Change of Control</w:t>
      </w:r>
      <w:r>
        <w:rPr>
          <w:rFonts w:ascii="Times New Roman;Times;serif" w:hAnsi="Times New Roman;Times;serif"/>
          <w:sz w:val="20"/>
        </w:rPr>
        <w:t>. In the event that the Company terminates Executive’s employment without Cause or Executive terminates his employment with Good Reason and a Change of Control is consummated no more than twelve (12) months prior to the effective date of Executive’s termination, then, in addition to the payments and benefits set forth in Section 8(b), Executive shall also receive a lump sum payment equal to six (6) months of Executive’s Base Salary. In order to receive the payment set forth in this Section 8(d), Executive must execute the Release. The payment shall be made on the first regularly scheduled payroll date following the effective date of the Release; provided, however, that if the 60 day period for the Release to become effective begins in one calendar year and ends in a second calendar year, the payment shall not be paid until the second calendar year.</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Definition of “Pending.”</w:t>
      </w:r>
      <w:r>
        <w:rPr>
          <w:rFonts w:ascii="Times New Roman;Times;serif" w:hAnsi="Times New Roman;Times;serif"/>
          <w:sz w:val="20"/>
        </w:rPr>
        <w:t xml:space="preserve"> For purposes of Section 8(c), a Change of Control transaction shall be deemed to be “</w:t>
      </w:r>
      <w:r>
        <w:rPr>
          <w:rFonts w:ascii="Times New Roman;Times;serif" w:hAnsi="Times New Roman;Times;serif"/>
          <w:sz w:val="20"/>
          <w:u w:val="single"/>
        </w:rPr>
        <w:t>Pending</w:t>
      </w:r>
      <w:r>
        <w:rPr>
          <w:rFonts w:ascii="Times New Roman;Times;serif" w:hAnsi="Times New Roman;Times;serif"/>
          <w:sz w:val="20"/>
        </w:rPr>
        <w:t>” each time any of the following circumstances exist: (A) the Company and a third party have entered into a confidentiality agreement that has been signed by a duly-authorized officer of the Company and that is related to a potential Change of Control transaction; or (B) the Company has received a written expression of interest from a third party, including a binding or non-binding term sheet or letter of intent, related to a potential Change of Control transaction.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US-DOCS\133198543.2</w:t>
      </w:r>
    </w:p>
    <w:p>
      <w:pPr>
        <w:pStyle w:val="HorizontalLine"/>
        <w:rPr/>
      </w:pPr>
      <w:r>
        <w:rPr/>
      </w:r>
    </w:p>
    <w:p>
      <w:pPr>
        <w:pStyle w:val="TextBody"/>
        <w:spacing w:before="0" w:after="0"/>
        <w:ind w:left="0" w:right="0" w:hanging="0"/>
        <w:jc w:val="right"/>
        <w:rPr>
          <w:rFonts w:ascii="Times New Roman;Times;serif" w:hAnsi="Times New Roman;Times;serif"/>
          <w:b/>
          <w:sz w:val="24"/>
        </w:rPr>
      </w:pPr>
      <w:r>
        <w:rPr>
          <w:rFonts w:ascii="Times New Roman;Times;serif" w:hAnsi="Times New Roman;Times;serif"/>
          <w:b/>
          <w:sz w:val="24"/>
        </w:rPr>
        <w:t>Exhibit 10.2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9. </w:t>
      </w:r>
      <w:r>
        <w:rPr>
          <w:rFonts w:ascii="Times New Roman;Times;serif" w:hAnsi="Times New Roman;Times;serif"/>
          <w:sz w:val="20"/>
          <w:u w:val="single"/>
        </w:rPr>
        <w:t>Directors &amp; Officers Liability Insurance</w:t>
      </w:r>
      <w:r>
        <w:rPr>
          <w:rFonts w:ascii="Times New Roman;Times;serif" w:hAnsi="Times New Roman;Times;serif"/>
          <w:sz w:val="20"/>
        </w:rPr>
        <w:t>. The Company further agrees to maintain a directors and officers liability insurance policy covering Executive in an amount and on terms no less favorable to him than the coverage the Company provides other senior executives and directors.</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 xml:space="preserve">10. </w:t>
      </w:r>
      <w:r>
        <w:rPr>
          <w:rFonts w:ascii="Times New Roman;Times;serif" w:hAnsi="Times New Roman;Times;serif"/>
          <w:sz w:val="20"/>
          <w:u w:val="single"/>
        </w:rPr>
        <w:t>Successors and Assigns</w:t>
      </w:r>
      <w:r>
        <w:rPr>
          <w:rFonts w:ascii="Times New Roman;Times;serif" w:hAnsi="Times New Roman;Times;serif"/>
          <w:sz w:val="20"/>
        </w:rPr>
        <w:t>. This Agreement shall be binding upon and inure to the benefit of the heirs and representatives of Executive and the assigns and successors of the Company, but neither this Agreement nor any rights or obligations hereunder shall be assignable or otherwise subject to hypothecation by Executive (except by will or by operation of the laws of intestate succession or by Executive notifying the Company that cash payment be made to an affiliated investment partnership in which Executive is a control person) or by Company, except that Company may assign this Agreement to OnkosXcel or to any successor (whether by merger, purchase or otherwise) to all or substantially all of the stock, assets or businesses of Company or OnkosXcel, and the Company shall require any successor (whether direct or indirect, by purchase, merger, consolidation or otherwise) to all or substantially all of the business or assets of the Company or OnkosXcel expressly to assume and agree to perform this Agreement to the same extent that the Company or OnkosXcel, as applicable, would be required to perform it if no succession had taken place.</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 xml:space="preserve">11. </w:t>
      </w:r>
      <w:r>
        <w:rPr>
          <w:rFonts w:ascii="Times New Roman;Times;serif" w:hAnsi="Times New Roman;Times;serif"/>
          <w:sz w:val="20"/>
          <w:u w:val="single"/>
        </w:rPr>
        <w:t>Notices</w:t>
      </w:r>
      <w:r>
        <w:rPr>
          <w:rFonts w:ascii="Times New Roman;Times;serif" w:hAnsi="Times New Roman;Times;serif"/>
          <w:sz w:val="20"/>
        </w:rPr>
        <w:t>. Notices and all other communications contemplated by this Agreement shall be in writing and shall be deemed to have been duly given when personally delivered (if to the Company, addressed to its Secretary at the Company’s principal place of business on a non- holiday weekday between the hours of 9 a.m. and 5 p.m.; if to Executive, via personal service to his last known residence) or three business days following the date it is mailed by U.S. registered or certified mail, return receipt requested and postage prepaid.</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 xml:space="preserve">12. </w:t>
      </w:r>
      <w:r>
        <w:rPr>
          <w:rFonts w:ascii="Times New Roman;Times;serif" w:hAnsi="Times New Roman;Times;serif"/>
          <w:sz w:val="20"/>
          <w:u w:val="single"/>
        </w:rPr>
        <w:t>Confidential Information.</w:t>
      </w:r>
      <w:r>
        <w:rPr>
          <w:rFonts w:ascii="Times New Roman;Times;serif" w:hAnsi="Times New Roman;Times;serif"/>
          <w:sz w:val="20"/>
        </w:rPr>
        <w:t xml:space="preserve"> Executive recognizes and acknowledges that by reason of Executive’s employment by and service to the Company and OnkosXcel before, during and, if applicable, after the Employment Term, Executive will have access to certain confidential and proprietary information relating to the Company’s and OnkosXcel’s business, which may include, but is not limited to, trade secrets, trade “know-how,” product development techniques and plans, formulas, customer lists and addresses, financing services, funding programs, cost and pricing information, marketing and sales techniques, strategy and programs, computer programs and software and financial information (collectively referred to herein as “</w:t>
      </w:r>
      <w:r>
        <w:rPr>
          <w:rFonts w:ascii="Times New Roman;Times;serif" w:hAnsi="Times New Roman;Times;serif"/>
          <w:sz w:val="20"/>
          <w:u w:val="single"/>
        </w:rPr>
        <w:t>Confidential Information</w:t>
      </w:r>
      <w:r>
        <w:rPr>
          <w:rFonts w:ascii="Times New Roman;Times;serif" w:hAnsi="Times New Roman;Times;serif"/>
          <w:sz w:val="20"/>
        </w:rPr>
        <w:t>”). Executive acknowledges that such Confidential Information is a valuable and unique asset of the Company and OnkosXcel and Executive covenants that he will not, unless expressly authorized in writing by the Company or OnkosXcel, at any time during the course of Executive’s employment use any Confidential Information or divulge or disclose any Confidential Information to any person, firm or corporation except in connection with the performance of Executive’s duties for and on behalf of the Company and OnkosXcel and in a manner consistent with the Company’s and OnkosXcel’s policies regarding Confidential Information. Executive also covenants that at any time after the termination of such employment, directly or indirectly, he will not use any Confidential Information or divulge or disclose any Confidential Information to any person, firm or corporation, unless such information is in the public domain through no fault of Executive or except when required to do so by a court of law, by any governmental agency having supervisory authority over the business of the Company or OnkosXcel or by any administrative or legislative body (including a committee thereof) with apparent jurisdiction to order Executive to divulge, disclose or make accessible such information. All written Confidential Information (including, without limitation, in any computer or other electronic format) which comes into Executive’s possession during the course of Executive’s employment shall remain the property of the Company or OnkosXcel, as applicable. Unless expressly authorized in writing by the Company, Executive shall not remove any written Confidential Information from the Company’s or OnkosXcel’s premises, except in connection with the performance of Executive’s duties for and on behalf of the Company and OnkosXcel and in a manner consistent with the Company’s and OnkosXcel’s policies regarding Confidential Information. Upon termination of Executive’s employment, the Executive agrees to immediately return to the Company and OnkosXcel all written Confidential Information (including, without limitation, in any computer or other electronic format) in Executive’s possession.</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 xml:space="preserve">13. </w:t>
      </w:r>
      <w:r>
        <w:rPr>
          <w:rFonts w:ascii="Times New Roman;Times;serif" w:hAnsi="Times New Roman;Times;serif"/>
          <w:sz w:val="20"/>
          <w:u w:val="single"/>
        </w:rPr>
        <w:t>Non-Competition; Non-Solicitation</w:t>
      </w:r>
      <w:r>
        <w:rPr>
          <w:rFonts w:ascii="Times New Roman;Times;serif" w:hAnsi="Times New Roman;Times;serif"/>
          <w:sz w:val="20"/>
        </w:rPr>
        <w:t>.</w:t>
      </w:r>
    </w:p>
    <w:p>
      <w:pPr>
        <w:pStyle w:val="TextBody"/>
        <w:spacing w:before="240" w:after="0"/>
        <w:ind w:left="0" w:right="0" w:firstLine="1440"/>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Non-Compete</w:t>
      </w:r>
      <w:r>
        <w:rPr>
          <w:rFonts w:ascii="Times New Roman;Times;serif" w:hAnsi="Times New Roman;Times;serif"/>
          <w:sz w:val="20"/>
        </w:rPr>
        <w:t xml:space="preserve">. Executive hereby covenants and agrees that during the Employment Term and for a period of one (1) year following the termination of Executive’s employment, regardless of the reason for such termination, Executive will not, without the prior written consent of the Company, directly or indirectly, on his own behalf or in the service or on behalf of others, whether or not for compensation, engage in any business activity, or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US-DOCS\133198543.2</w:t>
      </w:r>
    </w:p>
    <w:p>
      <w:pPr>
        <w:pStyle w:val="HorizontalLine"/>
        <w:rPr/>
      </w:pPr>
      <w:r>
        <w:rPr/>
      </w:r>
    </w:p>
    <w:p>
      <w:pPr>
        <w:pStyle w:val="TextBody"/>
        <w:spacing w:before="0" w:after="0"/>
        <w:ind w:left="0" w:right="0" w:hanging="0"/>
        <w:jc w:val="right"/>
        <w:rPr>
          <w:rFonts w:ascii="Times New Roman;Times;serif" w:hAnsi="Times New Roman;Times;serif"/>
          <w:b/>
          <w:sz w:val="24"/>
        </w:rPr>
      </w:pPr>
      <w:r>
        <w:rPr>
          <w:rFonts w:ascii="Times New Roman;Times;serif" w:hAnsi="Times New Roman;Times;serif"/>
          <w:b/>
          <w:sz w:val="24"/>
        </w:rPr>
        <w:t>Exhibit 10.2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have any interest in any person, firm, corporation or business, through a subsidiary or parent entity or other entity (whether as a shareholder, agent, joint venturer, security holder, trustee, partner, Executive, creditor lending credit or money for the purpose of establishing or operating any such business, partner or otherwise) with any Competing Business in the Covered Area. For the purpose of this Section 13(a), “</w:t>
      </w:r>
      <w:r>
        <w:rPr>
          <w:rFonts w:ascii="Times New Roman;Times;serif" w:hAnsi="Times New Roman;Times;serif"/>
          <w:sz w:val="20"/>
          <w:u w:val="single"/>
        </w:rPr>
        <w:t>Competing Business</w:t>
      </w:r>
      <w:r>
        <w:rPr>
          <w:rFonts w:ascii="Times New Roman;Times;serif" w:hAnsi="Times New Roman;Times;serif"/>
          <w:sz w:val="20"/>
        </w:rPr>
        <w:t>” means any business competing with any products and/or services of the Company or its affiliates generated by an artificial intelligence platform that exist or are in the process of being formed or acquired as of the effective date of Executive’s termination provided, however, that the Executive’s academic research and teaching activities shall in no event be deemed a violation of this provision. For the purpose of this Section 13(a), “</w:t>
      </w:r>
      <w:r>
        <w:rPr>
          <w:rFonts w:ascii="Times New Roman;Times;serif" w:hAnsi="Times New Roman;Times;serif"/>
          <w:sz w:val="20"/>
          <w:u w:val="single"/>
        </w:rPr>
        <w:t>Covered Area</w:t>
      </w:r>
      <w:r>
        <w:rPr>
          <w:rFonts w:ascii="Times New Roman;Times;serif" w:hAnsi="Times New Roman;Times;serif"/>
          <w:sz w:val="20"/>
        </w:rPr>
        <w:t>” means all geographical areas of the United States and other foreign jurisdictions where the Company has offices and/or sells its products directly or indirectly through distributors and/or other sales agents. Notwithstanding the foregoing, Executive may own shares of companies whose securities are publicly traded, so long as ownership of such securities do not constitute more than five percent (5%) of the outstanding securities of any such company.</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Non-Solicitation</w:t>
      </w:r>
      <w:r>
        <w:rPr>
          <w:rFonts w:ascii="Times New Roman;Times;serif" w:hAnsi="Times New Roman;Times;serif"/>
          <w:sz w:val="20"/>
        </w:rPr>
        <w:t>. Executive further agrees that during the Employment Term and for a period of one (1) year following the termination of Executive’s employment, regardless of the reason for such termination, Executive will not divert any business of the Company and/or its affiliates or any customers or suppliers of the Company and/or the Company’s and/or its affiliates’ business to any other person, entity or competitor, or induce or attempt to induce, directly or indirectly, any person to leave his or her employment with the Company and/or its affiliates; provided, however, that the foregoing provisions shall not apply to a general advertisement or solicitation program that is not specifically targeted at such employees.</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(c) Executive acknowledges and agrees that his obligations provided herein are necessary and reasonable in order to protect the Company and its affiliates and their respective business and the Executive expressly agrees that monetary damages would be inadequate to compensate the Company and/or its affiliates for any breach by the Executive of his covenants and agreements set forth herein. Accordingly, Executive agrees and acknowledges that any such violation or threatened violation of Section 12 or 13 will cause irreparable injury to the Company and that, in addition to any other remedies that may be available, in law, in equity or otherwise, the Company and its affiliates shall be entitled to obtain injunctive relief against the threatened breach or the continuation of any such breach by the Executive of Section 12 or 13 without the necessity of proving actual damages. If, at the time of enforcement of Sections 12 or 13, a court shall hold that the duration, scope or area restrictions stated therein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therein to cover the maximum period, scope and area permitted by law.</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 xml:space="preserve">14. </w:t>
      </w:r>
      <w:r>
        <w:rPr>
          <w:rFonts w:ascii="Times New Roman;Times;serif" w:hAnsi="Times New Roman;Times;serif"/>
          <w:sz w:val="20"/>
          <w:u w:val="single"/>
        </w:rPr>
        <w:t>Representations of the Executive</w:t>
      </w:r>
      <w:r>
        <w:rPr>
          <w:rFonts w:ascii="Times New Roman;Times;serif" w:hAnsi="Times New Roman;Times;serif"/>
          <w:sz w:val="20"/>
        </w:rPr>
        <w:t>. Executive represents and warrants to the Company that the Executive’s acceptance of employment with the Company and the performance of his duties hereunder will not conflict with or result in a violation of, a breach of, or a default under any contract, agreement or understanding to which he is a party or is otherwise bound and the Executive’s acceptance of employment with the Company and the performance of his duties hereunder will not violate any non-solicitation, non-competition or other similar covenant or agreement of a prior employer.</w:t>
      </w:r>
    </w:p>
    <w:p>
      <w:pPr>
        <w:pStyle w:val="TextBody"/>
        <w:pBdr/>
        <w:spacing w:before="240" w:after="240"/>
        <w:ind w:left="720" w:right="0" w:hanging="720"/>
        <w:rPr>
          <w:rFonts w:ascii="Times New Roman;Times;serif" w:hAnsi="Times New Roman;Times;serif"/>
          <w:sz w:val="6"/>
        </w:rPr>
      </w:pPr>
      <w:r>
        <w:rPr>
          <w:rFonts w:ascii="Times New Roman;Times;serif" w:hAnsi="Times New Roman;Times;serif"/>
          <w:sz w:val="20"/>
        </w:rPr>
        <w:t>15.</w:t>
      </w:r>
      <w:r>
        <w:rPr>
          <w:rFonts w:ascii="Times New Roman;Times;serif" w:hAnsi="Times New Roman;Times;serif"/>
          <w:sz w:val="6"/>
        </w:rPr>
        <w:t xml:space="preserve"> </w:t>
      </w:r>
      <w:r>
        <w:rPr>
          <w:rFonts w:ascii="Times New Roman;Times;serif" w:hAnsi="Times New Roman;Times;serif"/>
          <w:sz w:val="20"/>
          <w:u w:val="single"/>
        </w:rPr>
        <w:t>Miscellaneous Provisions</w:t>
      </w:r>
      <w:r>
        <w:rPr>
          <w:rFonts w:ascii="Times New Roman;Times;serif" w:hAnsi="Times New Roman;Times;serif"/>
          <w:sz w:val="20"/>
        </w:rPr>
        <w:t>.</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Modifications; No Waiver</w:t>
      </w:r>
      <w:r>
        <w:rPr>
          <w:rFonts w:ascii="Times New Roman;Times;serif" w:hAnsi="Times New Roman;Times;serif"/>
          <w:sz w:val="20"/>
        </w:rPr>
        <w:t>. No provision of this Agreement may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Entire Agreement</w:t>
      </w:r>
      <w:r>
        <w:rPr>
          <w:rFonts w:ascii="Times New Roman;Times;serif" w:hAnsi="Times New Roman;Times;serif"/>
          <w:sz w:val="20"/>
        </w:rPr>
        <w:t>. This Agreement supersedes all prior agreements and understandings between the parties, oral or written, including the Prior Agreement. No modification, termination or attempted waiver shall be valid unless in writing, signed by the party against whom such modification, termination or waiver is sought to be enforced.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US-DOCS\133198543.2</w:t>
      </w:r>
    </w:p>
    <w:p>
      <w:pPr>
        <w:pStyle w:val="HorizontalLine"/>
        <w:rPr/>
      </w:pPr>
      <w:r>
        <w:rPr/>
      </w:r>
    </w:p>
    <w:p>
      <w:pPr>
        <w:pStyle w:val="TextBody"/>
        <w:spacing w:before="0" w:after="0"/>
        <w:ind w:left="0" w:right="0" w:hanging="0"/>
        <w:jc w:val="right"/>
        <w:rPr>
          <w:rFonts w:ascii="Times New Roman;Times;serif" w:hAnsi="Times New Roman;Times;serif"/>
          <w:b/>
          <w:sz w:val="24"/>
        </w:rPr>
      </w:pPr>
      <w:r>
        <w:rPr>
          <w:rFonts w:ascii="Times New Roman;Times;serif" w:hAnsi="Times New Roman;Times;serif"/>
          <w:b/>
          <w:sz w:val="24"/>
        </w:rPr>
        <w:t>Exhibit 10.2</w:t>
      </w:r>
    </w:p>
    <w:p>
      <w:pPr>
        <w:pStyle w:val="TextBody"/>
        <w:spacing w:before="0" w:after="240"/>
        <w:ind w:left="0" w:right="0" w:firstLine="1440"/>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Choice of Law</w:t>
      </w:r>
      <w:r>
        <w:rPr>
          <w:rFonts w:ascii="Times New Roman;Times;serif" w:hAnsi="Times New Roman;Times;serif"/>
          <w:sz w:val="20"/>
        </w:rPr>
        <w:t>. The validity, interpretation, construction and performance of this Agreement shall be governed by the internal substantive laws, but not the conflicts of law rules, of the State of Connecticut.</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Severability</w:t>
      </w:r>
      <w:r>
        <w:rPr>
          <w:rFonts w:ascii="Times New Roman;Times;serif" w:hAnsi="Times New Roman;Times;serif"/>
          <w:sz w:val="20"/>
        </w:rPr>
        <w:t>. The invalidity or unenforceability of any provision or provisions of this Agreement shall not affect the validity or enforceability of any other provision hereof, which shall remain in full force and effect.</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Counterparts</w:t>
      </w:r>
      <w:r>
        <w:rPr>
          <w:rFonts w:ascii="Times New Roman;Times;serif" w:hAnsi="Times New Roman;Times;serif"/>
          <w:sz w:val="20"/>
        </w:rPr>
        <w:t>. This Agreement may be executed in separate counterparts, any one of which need not contain signatures of more than one party, and may be delivered by facsimile or other electronic means, but all of which shall be deemed originals and taken together will constitute one and the same Agreement.</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Headings</w:t>
      </w:r>
      <w:r>
        <w:rPr>
          <w:rFonts w:ascii="Times New Roman;Times;serif" w:hAnsi="Times New Roman;Times;serif"/>
          <w:sz w:val="20"/>
        </w:rPr>
        <w:t>. The headings of the Sections hereof are inserted for convenience only and shall not be deemed to constitute a part hereof nor to affect the meaning thereof.</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Construction of Agreement</w:t>
      </w:r>
      <w:r>
        <w:rPr>
          <w:rFonts w:ascii="Times New Roman;Times;serif" w:hAnsi="Times New Roman;Times;serif"/>
          <w:sz w:val="20"/>
        </w:rPr>
        <w:t>. In the event of a conflict between the text of the Agreement and any summary, description or other information regarding the Agreement, the text of the Agreement shall control.</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Withholding</w:t>
      </w:r>
      <w:r>
        <w:rPr>
          <w:rFonts w:ascii="Times New Roman;Times;serif" w:hAnsi="Times New Roman;Times;serif"/>
          <w:sz w:val="20"/>
        </w:rPr>
        <w:t>. The Company shall be entitled to withhold from any amounts to be paid or benefits provided to Executive hereunder any federal, state, local or foreign withholding, FICA and FUTA contributions or other taxes, charges or deductions which it is from time to time required to withhold.</w:t>
      </w:r>
    </w:p>
    <w:p>
      <w:pPr>
        <w:pStyle w:val="TextBody"/>
        <w:spacing w:before="240" w:after="240"/>
        <w:ind w:left="0" w:right="0" w:firstLine="1440"/>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Section 409A</w:t>
      </w:r>
      <w:r>
        <w:rPr>
          <w:rFonts w:ascii="Times New Roman;Times;serif" w:hAnsi="Times New Roman;Times;serif"/>
          <w:sz w:val="20"/>
        </w:rPr>
        <w:t>.</w:t>
      </w:r>
    </w:p>
    <w:p>
      <w:pPr>
        <w:pStyle w:val="TextBody"/>
        <w:spacing w:before="240" w:after="240"/>
        <w:ind w:left="0" w:right="0" w:firstLine="2880"/>
        <w:rPr>
          <w:rFonts w:ascii="Times New Roman;Times;serif" w:hAnsi="Times New Roman;Times;serif"/>
          <w:sz w:val="20"/>
        </w:rPr>
      </w:pPr>
      <w:r>
        <w:rPr>
          <w:rFonts w:ascii="Times New Roman;Times;serif" w:hAnsi="Times New Roman;Times;serif"/>
          <w:sz w:val="20"/>
        </w:rPr>
        <w:t>(i) The parties agree that this Agreement shall be interpreted to comply with or be exempt from Section 409A of the Code and the regulations and guidance promulgated thereunder (collectively “</w:t>
      </w:r>
      <w:r>
        <w:rPr>
          <w:rFonts w:ascii="Times New Roman;Times;serif" w:hAnsi="Times New Roman;Times;serif"/>
          <w:sz w:val="20"/>
          <w:u w:val="single"/>
        </w:rPr>
        <w:t>Section 409A</w:t>
      </w:r>
      <w:r>
        <w:rPr>
          <w:rFonts w:ascii="Times New Roman;Times;serif" w:hAnsi="Times New Roman;Times;serif"/>
          <w:sz w:val="20"/>
        </w:rPr>
        <w:t>”), and all provisions of this Agreement shall be construed in a manner consistent with the requirements for avoiding taxes or penalties under Section 409A. In no event whatsoever will the Company be liable for any additional tax, interest or penalties that may be imposed on Executive under Section 409A or any damages for failing to comply with Section 409A.</w:t>
      </w:r>
    </w:p>
    <w:p>
      <w:pPr>
        <w:pStyle w:val="TextBody"/>
        <w:spacing w:before="240" w:after="240"/>
        <w:ind w:left="0" w:right="0" w:firstLine="2880"/>
        <w:rPr>
          <w:rFonts w:ascii="Times New Roman;Times;serif" w:hAnsi="Times New Roman;Times;serif"/>
          <w:sz w:val="20"/>
        </w:rPr>
      </w:pPr>
      <w:r>
        <w:rPr>
          <w:rFonts w:ascii="Times New Roman;Times;serif" w:hAnsi="Times New Roman;Times;serif"/>
          <w:sz w:val="20"/>
        </w:rPr>
        <w:t>(ii) A termination of employment shall not be deemed to have occurred for purposes of any provision of this Agreement providing for the payment of any amounts or benefits considered “nonqualified deferred compensation” under Section 409A upon or following a termination of employment unless and until such termination is also a “separation from service” within the meaning of Section 409A and, for purposes of any such provision of this Agreement, references to a “</w:t>
      </w:r>
      <w:r>
        <w:rPr>
          <w:rFonts w:ascii="Times New Roman;Times;serif" w:hAnsi="Times New Roman;Times;serif"/>
          <w:sz w:val="20"/>
          <w:u w:val="single"/>
        </w:rPr>
        <w:t>termination</w:t>
      </w:r>
      <w:r>
        <w:rPr>
          <w:rFonts w:ascii="Times New Roman;Times;serif" w:hAnsi="Times New Roman;Times;serif"/>
          <w:sz w:val="20"/>
        </w:rPr>
        <w:t>,” “</w:t>
      </w:r>
      <w:r>
        <w:rPr>
          <w:rFonts w:ascii="Times New Roman;Times;serif" w:hAnsi="Times New Roman;Times;serif"/>
          <w:sz w:val="20"/>
          <w:u w:val="single"/>
        </w:rPr>
        <w:t>termination of employment</w:t>
      </w:r>
      <w:r>
        <w:rPr>
          <w:rFonts w:ascii="Times New Roman;Times;serif" w:hAnsi="Times New Roman;Times;serif"/>
          <w:sz w:val="20"/>
        </w:rPr>
        <w:t>” or like terms shall mean “</w:t>
      </w:r>
      <w:r>
        <w:rPr>
          <w:rFonts w:ascii="Times New Roman;Times;serif" w:hAnsi="Times New Roman;Times;serif"/>
          <w:sz w:val="20"/>
          <w:u w:val="single"/>
        </w:rPr>
        <w:t>separation from service</w:t>
      </w:r>
      <w:r>
        <w:rPr>
          <w:rFonts w:ascii="Times New Roman;Times;serif" w:hAnsi="Times New Roman;Times;serif"/>
          <w:sz w:val="20"/>
        </w:rPr>
        <w:t>.” If Executive is deemed on the date of termination to be a “specified employee” within the meaning of that term under Section 409A(a)(2)(B), then with regard to any payment or the provision of any benefit that is considered nonqualified deferred compensation under Section 409A payable on account of a “</w:t>
      </w:r>
      <w:r>
        <w:rPr>
          <w:rFonts w:ascii="Times New Roman;Times;serif" w:hAnsi="Times New Roman;Times;serif"/>
          <w:sz w:val="20"/>
          <w:u w:val="single"/>
        </w:rPr>
        <w:t>separation from service</w:t>
      </w:r>
      <w:r>
        <w:rPr>
          <w:rFonts w:ascii="Times New Roman;Times;serif" w:hAnsi="Times New Roman;Times;serif"/>
          <w:sz w:val="20"/>
        </w:rPr>
        <w:t>,” such payment or benefit shall be made or provided at the date which is the earlier of (i) the expiration of the six (6)-month period measured from the date of such “separation from service” of Executive, and (ii) the date of Executive’s death (the “</w:t>
      </w:r>
      <w:r>
        <w:rPr>
          <w:rFonts w:ascii="Times New Roman;Times;serif" w:hAnsi="Times New Roman;Times;serif"/>
          <w:sz w:val="20"/>
          <w:u w:val="single"/>
        </w:rPr>
        <w:t>Delay Period</w:t>
      </w:r>
      <w:r>
        <w:rPr>
          <w:rFonts w:ascii="Times New Roman;Times;serif" w:hAnsi="Times New Roman;Times;serif"/>
          <w:sz w:val="20"/>
        </w:rPr>
        <w:t>”). Upon the expiration of the Delay Period, all payments and benefits delayed pursuant to this Section 16(i)(ii) (whether they would have otherwise been payable in a single sum or in installments in the absence of such delay) shall be paid or reimbursed on the first business day following the expiration of the Delay Period to Executive in a lump sum and any remaining payments and benefits due under this Agreement shall be paid or provided in accordance with the normal payment dates specified for them herein.</w:t>
      </w:r>
    </w:p>
    <w:p>
      <w:pPr>
        <w:pStyle w:val="TextBody"/>
        <w:spacing w:before="240" w:after="0"/>
        <w:ind w:left="0" w:right="0" w:firstLine="2880"/>
        <w:rPr>
          <w:rFonts w:ascii="Times New Roman;Times;serif" w:hAnsi="Times New Roman;Times;serif"/>
          <w:sz w:val="20"/>
        </w:rPr>
      </w:pPr>
      <w:r>
        <w:rPr>
          <w:rFonts w:ascii="Times New Roman;Times;serif" w:hAnsi="Times New Roman;Times;serif"/>
          <w:sz w:val="20"/>
        </w:rPr>
        <w:t xml:space="preserve">(iii) With regard to any provision herein that provides for reimbursement of costs and expenses or in-kind benefits, except as permitted by Section 409A, (x) the right to reimbursement or in-kind benefits shall not be subject to liquidation or exchange for another benefit, (y) the amount of expenses eligible for reimbursement, or in-kind benefits, provided during any taxable year shall not affect the expenses eligible for reimbursement, or in-kind benefits, to be provided in any other taxable year, provided, that, this clause (y) shall not be violated with regard to expenses reimbursed under any arrangement covered by Code Section 105(b) solely because such expenses are subject to a limit related to the period the arrangement is in effect and (z) such payments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US-DOCS\133198543.2</w:t>
      </w:r>
    </w:p>
    <w:p>
      <w:pPr>
        <w:pStyle w:val="HorizontalLine"/>
        <w:rPr/>
      </w:pPr>
      <w:r>
        <w:rPr/>
      </w:r>
    </w:p>
    <w:p>
      <w:pPr>
        <w:pStyle w:val="TextBody"/>
        <w:spacing w:before="0" w:after="0"/>
        <w:ind w:left="0" w:right="0" w:hanging="0"/>
        <w:jc w:val="right"/>
        <w:rPr>
          <w:rFonts w:ascii="Times New Roman;Times;serif" w:hAnsi="Times New Roman;Times;serif"/>
          <w:b/>
          <w:sz w:val="24"/>
        </w:rPr>
      </w:pPr>
      <w:r>
        <w:rPr>
          <w:rFonts w:ascii="Times New Roman;Times;serif" w:hAnsi="Times New Roman;Times;serif"/>
          <w:b/>
          <w:sz w:val="24"/>
        </w:rPr>
        <w:t>Exhibit 10.2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shall be made on or before the last day of Executive’s taxable year following the taxable year in which the expense occurred.</w:t>
      </w:r>
    </w:p>
    <w:p>
      <w:pPr>
        <w:pStyle w:val="TextBody"/>
        <w:spacing w:before="240" w:after="240"/>
        <w:ind w:left="0" w:right="0" w:firstLine="2880"/>
        <w:rPr>
          <w:rFonts w:ascii="Times New Roman;Times;serif" w:hAnsi="Times New Roman;Times;serif"/>
          <w:sz w:val="20"/>
        </w:rPr>
      </w:pPr>
      <w:r>
        <w:rPr>
          <w:rFonts w:ascii="Times New Roman;Times;serif" w:hAnsi="Times New Roman;Times;serif"/>
          <w:sz w:val="20"/>
        </w:rPr>
        <w:t>(iv) 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pStyle w:val="TextBody"/>
        <w:spacing w:before="240" w:after="240"/>
        <w:ind w:left="0" w:right="0" w:firstLine="2160"/>
        <w:rPr>
          <w:rFonts w:ascii="Times New Roman;Times;serif" w:hAnsi="Times New Roman;Times;serif"/>
          <w:sz w:val="20"/>
        </w:rPr>
      </w:pPr>
      <w:r>
        <w:rPr>
          <w:rFonts w:ascii="Times New Roman;Times;serif" w:hAnsi="Times New Roman;Times;serif"/>
          <w:sz w:val="20"/>
        </w:rPr>
        <w:t xml:space="preserve">(j) </w:t>
      </w:r>
      <w:r>
        <w:rPr>
          <w:rFonts w:ascii="Times New Roman;Times;serif" w:hAnsi="Times New Roman;Times;serif"/>
          <w:sz w:val="20"/>
          <w:u w:val="single"/>
        </w:rPr>
        <w:t>Tax Payments</w:t>
      </w:r>
      <w:r>
        <w:rPr>
          <w:rFonts w:ascii="Times New Roman;Times;serif" w:hAnsi="Times New Roman;Times;serif"/>
          <w:sz w:val="20"/>
        </w:rPr>
        <w:t>. To the extent that the Executive’s permanent residence is outside of Connecticut and to the extent that the Executive becomes subject to Connecticut state taxes because of the performance of his duties, the Company shall gross-up the Executive for tax purposes so that he is in the same position as if he were not subject to such taxes. Any such gross-up payment shall be paid annually, no later than March 15 of the year following the year to which such payment relates.</w:t>
      </w:r>
    </w:p>
    <w:p>
      <w:pPr>
        <w:pStyle w:val="TextBody"/>
        <w:spacing w:before="240" w:after="240"/>
        <w:ind w:left="0" w:right="0" w:hanging="0"/>
        <w:jc w:val="center"/>
        <w:rPr>
          <w:rFonts w:ascii="Times New Roman;Times;serif" w:hAnsi="Times New Roman;Times;serif"/>
          <w:i/>
          <w:sz w:val="20"/>
        </w:rPr>
      </w:pPr>
      <w:r>
        <w:rPr>
          <w:rFonts w:ascii="Times New Roman;Times;serif" w:hAnsi="Times New Roman;Times;serif"/>
          <w:i/>
          <w:sz w:val="20"/>
        </w:rPr>
        <w:t>[signature page follows]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US-DOCS\133198543.2</w:t>
      </w:r>
    </w:p>
    <w:p>
      <w:pPr>
        <w:pStyle w:val="HorizontalLine"/>
        <w:rPr/>
      </w:pPr>
      <w:r>
        <w:rPr/>
      </w:r>
    </w:p>
    <w:p>
      <w:pPr>
        <w:pStyle w:val="TextBody"/>
        <w:spacing w:before="0" w:after="0"/>
        <w:ind w:left="0" w:right="0" w:hanging="0"/>
        <w:jc w:val="right"/>
        <w:rPr>
          <w:rFonts w:ascii="Times New Roman;Times;serif" w:hAnsi="Times New Roman;Times;serif"/>
          <w:b/>
          <w:sz w:val="24"/>
        </w:rPr>
      </w:pPr>
      <w:r>
        <w:rPr>
          <w:rFonts w:ascii="Times New Roman;Times;serif" w:hAnsi="Times New Roman;Times;serif"/>
          <w:b/>
          <w:sz w:val="24"/>
        </w:rPr>
        <w:t>Exhibit 10.2</w:t>
      </w:r>
    </w:p>
    <w:p>
      <w:pPr>
        <w:pStyle w:val="TextBody"/>
        <w:spacing w:before="0" w:after="240"/>
        <w:ind w:left="0" w:right="0" w:hanging="0"/>
        <w:jc w:val="center"/>
        <w:rPr/>
      </w:pPr>
      <w:r>
        <w:rPr/>
        <w:t>​</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IN WITNESS WHEREOF. the undersigned, intending to be legally bound, have executed this Agreement effective as of the date first written above.</w:t>
      </w:r>
    </w:p>
    <w:p>
      <w:pPr>
        <w:pStyle w:val="TextBody"/>
        <w:spacing w:before="240" w:after="240"/>
        <w:ind w:left="0" w:right="0" w:firstLine="4680"/>
        <w:rPr>
          <w:rFonts w:ascii="Times New Roman;Times;serif" w:hAnsi="Times New Roman;Times;serif"/>
          <w:sz w:val="20"/>
        </w:rPr>
      </w:pPr>
      <w:r>
        <w:rPr>
          <w:rFonts w:ascii="Times New Roman;Times;serif" w:hAnsi="Times New Roman;Times;serif"/>
          <w:sz w:val="20"/>
        </w:rPr>
        <w:t>BIOXCEL THERAPEUTICS, INC.</w:t>
      </w:r>
    </w:p>
    <w:p>
      <w:pPr>
        <w:pStyle w:val="TextBody"/>
        <w:spacing w:before="240" w:after="240"/>
        <w:ind w:left="0" w:right="0" w:firstLine="4680"/>
        <w:rPr/>
      </w:pPr>
      <w:r>
        <w:rPr/>
        <w:t>​</w:t>
      </w:r>
    </w:p>
    <w:p>
      <w:pPr>
        <w:pStyle w:val="TextBody"/>
        <w:spacing w:before="0" w:after="0"/>
        <w:ind w:left="0" w:right="0" w:firstLine="4680"/>
        <w:rPr>
          <w:rFonts w:ascii="Times New Roman;Times;serif" w:hAnsi="Times New Roman;Times;serif"/>
          <w:sz w:val="20"/>
        </w:rPr>
      </w:pPr>
      <w:r>
        <w:rPr>
          <w:rFonts w:ascii="Times New Roman;Times;serif" w:hAnsi="Times New Roman;Times;serif"/>
          <w:sz w:val="20"/>
        </w:rPr>
        <w:t>__________________________________</w:t>
      </w:r>
    </w:p>
    <w:p>
      <w:pPr>
        <w:pStyle w:val="TextBody"/>
        <w:spacing w:before="0" w:after="0"/>
        <w:ind w:left="0" w:right="0" w:firstLine="4680"/>
        <w:rPr>
          <w:rFonts w:ascii="Times New Roman;Times;serif" w:hAnsi="Times New Roman;Times;serif"/>
          <w:sz w:val="20"/>
        </w:rPr>
      </w:pPr>
      <w:r>
        <w:rPr>
          <w:rFonts w:ascii="Times New Roman;Times;serif" w:hAnsi="Times New Roman;Times;serif"/>
          <w:sz w:val="20"/>
        </w:rPr>
        <w:t>Name: Vimal Mehta, Ph.D.</w:t>
      </w:r>
    </w:p>
    <w:p>
      <w:pPr>
        <w:pStyle w:val="TextBody"/>
        <w:spacing w:before="0" w:after="240"/>
        <w:ind w:left="0" w:right="0" w:firstLine="4680"/>
        <w:rPr>
          <w:rFonts w:ascii="Times New Roman;Times;serif" w:hAnsi="Times New Roman;Times;serif"/>
          <w:sz w:val="20"/>
        </w:rPr>
      </w:pPr>
      <w:r>
        <w:rPr>
          <w:rFonts w:ascii="Times New Roman;Times;serif" w:hAnsi="Times New Roman;Times;serif"/>
          <w:sz w:val="20"/>
        </w:rPr>
        <w:t>Title: Chief Executive Officer</w:t>
      </w:r>
    </w:p>
    <w:p>
      <w:pPr>
        <w:pStyle w:val="TextBody"/>
        <w:spacing w:before="240" w:after="240"/>
        <w:ind w:left="0" w:right="0" w:firstLine="4680"/>
        <w:rPr/>
      </w:pPr>
      <w:r>
        <w:rPr/>
        <w:t>​</w:t>
      </w:r>
    </w:p>
    <w:p>
      <w:pPr>
        <w:pStyle w:val="TextBody"/>
        <w:spacing w:before="240" w:after="240"/>
        <w:ind w:left="0" w:right="0" w:firstLine="4680"/>
        <w:rPr>
          <w:rFonts w:ascii="Times New Roman;Times;serif" w:hAnsi="Times New Roman;Times;serif"/>
          <w:sz w:val="20"/>
        </w:rPr>
      </w:pPr>
      <w:r>
        <w:rPr>
          <w:rFonts w:ascii="Times New Roman;Times;serif" w:hAnsi="Times New Roman;Times;serif"/>
          <w:sz w:val="20"/>
        </w:rPr>
        <w:t>VINCENT O’NEILL, M.D.</w:t>
      </w:r>
    </w:p>
    <w:p>
      <w:pPr>
        <w:pStyle w:val="TextBody"/>
        <w:spacing w:before="240" w:after="240"/>
        <w:ind w:left="0" w:right="0" w:firstLine="4680"/>
        <w:rPr/>
      </w:pPr>
      <w:r>
        <w:rPr/>
        <w:t>​</w:t>
      </w:r>
    </w:p>
    <w:p>
      <w:pPr>
        <w:pStyle w:val="TextBody"/>
        <w:spacing w:before="240" w:after="240"/>
        <w:ind w:left="0" w:right="0" w:firstLine="4680"/>
        <w:rPr>
          <w:rFonts w:ascii="Times New Roman;Times;serif" w:hAnsi="Times New Roman;Times;serif"/>
          <w:sz w:val="20"/>
        </w:rPr>
      </w:pPr>
      <w:r>
        <w:rPr>
          <w:rFonts w:ascii="Times New Roman;Times;serif" w:hAnsi="Times New Roman;Times;serif"/>
          <w:sz w:val="20"/>
        </w:rPr>
        <w:t>__________________________________</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US-DOCS\133198543.2</w:t>
      </w:r>
    </w:p>
    <w:p>
      <w:pPr>
        <w:pStyle w:val="HorizontalLine"/>
        <w:rPr/>
      </w:pPr>
      <w:r>
        <w:rPr/>
      </w:r>
      <w:r>
        <w:br w:type="page"/>
      </w:r>
    </w:p>
    <w:p>
      <w:pPr>
        <w:pStyle w:val="TextBody"/>
        <w:spacing w:before="0" w:after="0"/>
        <w:ind w:left="0" w:right="0" w:hanging="0"/>
        <w:jc w:val="right"/>
        <w:rPr>
          <w:rFonts w:ascii="Times New Roman;Times;serif" w:hAnsi="Times New Roman;Times;serif"/>
          <w:b/>
          <w:sz w:val="24"/>
        </w:rPr>
      </w:pPr>
      <w:bookmarkStart w:id="804" w:name="btai-20230331xex10d3.htm"/>
      <w:bookmarkStart w:id="805" w:name="ksbtai20230331xex10d3"/>
      <w:bookmarkEnd w:id="804"/>
      <w:bookmarkEnd w:id="805"/>
      <w:r>
        <w:rPr>
          <w:rFonts w:ascii="Times New Roman;Times;serif" w:hAnsi="Times New Roman;Times;serif"/>
          <w:b/>
          <w:sz w:val="24"/>
        </w:rPr>
        <w:t>Exhibit 10.3</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b/>
          <w:sz w:val="22"/>
        </w:rPr>
        <w:t xml:space="preserve">ONKOSXCEL THERAPEUTICS, LLC AND ONKOSXCEL EMPLOYEE HOLDINGS, LLC </w:t>
      </w:r>
      <w:r>
        <w:rPr>
          <w:rFonts w:ascii="Times New Roman;Times;serif" w:hAnsi="Times New Roman;Times;serif"/>
          <w:b/>
          <w:caps/>
          <w:sz w:val="22"/>
        </w:rPr>
        <w:t>MANAGEMENT Incentive Plan</w:t>
      </w:r>
    </w:p>
    <w:p>
      <w:pPr>
        <w:pStyle w:val="TextBody"/>
        <w:spacing w:before="280" w:after="240"/>
        <w:ind w:left="0" w:right="0" w:hanging="0"/>
        <w:jc w:val="center"/>
        <w:rPr>
          <w:rFonts w:ascii="Times New Roman;Times;serif" w:hAnsi="Times New Roman;Times;serif"/>
          <w:b/>
          <w:sz w:val="22"/>
        </w:rPr>
      </w:pPr>
      <w:r>
        <w:rPr>
          <w:rFonts w:ascii="Times New Roman;Times;serif" w:hAnsi="Times New Roman;Times;serif"/>
          <w:b/>
          <w:sz w:val="22"/>
        </w:rPr>
        <w:t>RESTRICTED STOCK UNIT AWARD AGREEMENT</w:t>
      </w:r>
    </w:p>
    <w:p>
      <w:pPr>
        <w:pStyle w:val="TextBody"/>
        <w:spacing w:before="240" w:after="240"/>
        <w:ind w:left="0" w:right="0" w:hanging="0"/>
        <w:jc w:val="center"/>
        <w:rPr>
          <w:rFonts w:ascii="Times New Roman;Times;serif" w:hAnsi="Times New Roman;Times;serif"/>
          <w:b/>
          <w:sz w:val="22"/>
        </w:rPr>
      </w:pPr>
      <w:r>
        <w:rPr>
          <w:rFonts w:ascii="Times New Roman;Times;serif" w:hAnsi="Times New Roman;Times;serif"/>
          <w:b/>
          <w:sz w:val="22"/>
        </w:rPr>
        <w:t>GRANT NOTICE</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Unless otherwise defined herein, the terms defined in the OnkosXcel Therapeutics, LLC and OnkosXcel Employee Holdings, LLC Management Incentive Plan (the “</w:t>
      </w:r>
      <w:r>
        <w:rPr>
          <w:rFonts w:ascii="Times New Roman;Times;serif" w:hAnsi="Times New Roman;Times;serif"/>
          <w:b/>
          <w:i/>
          <w:sz w:val="22"/>
        </w:rPr>
        <w:t>Plan</w:t>
      </w:r>
      <w:r>
        <w:rPr>
          <w:rFonts w:ascii="Times New Roman;Times;serif" w:hAnsi="Times New Roman;Times;serif"/>
          <w:sz w:val="22"/>
        </w:rPr>
        <w:t>”) shall have the same defined meanings in this Restricted Stock Unit Award Agreement, which includes the terms in this Grant Notice (the “</w:t>
      </w:r>
      <w:r>
        <w:rPr>
          <w:rFonts w:ascii="Times New Roman;Times;serif" w:hAnsi="Times New Roman;Times;serif"/>
          <w:b/>
          <w:i/>
          <w:sz w:val="22"/>
        </w:rPr>
        <w:t>Grant Notice</w:t>
      </w:r>
      <w:r>
        <w:rPr>
          <w:rFonts w:ascii="Times New Roman;Times;serif" w:hAnsi="Times New Roman;Times;serif"/>
          <w:sz w:val="22"/>
        </w:rPr>
        <w:t xml:space="preserve">”) and </w:t>
      </w:r>
      <w:r>
        <w:rPr>
          <w:rFonts w:ascii="Times New Roman;Times;serif" w:hAnsi="Times New Roman;Times;serif"/>
          <w:sz w:val="22"/>
          <w:u w:val="single"/>
        </w:rPr>
        <w:t>Appendix A</w:t>
      </w:r>
      <w:r>
        <w:rPr>
          <w:rFonts w:ascii="Times New Roman;Times;serif" w:hAnsi="Times New Roman;Times;serif"/>
          <w:sz w:val="22"/>
        </w:rPr>
        <w:t xml:space="preserve"> attached hereto (collectively, the “</w:t>
      </w:r>
      <w:r>
        <w:rPr>
          <w:rFonts w:ascii="Times New Roman;Times;serif" w:hAnsi="Times New Roman;Times;serif"/>
          <w:b/>
          <w:i/>
          <w:sz w:val="22"/>
        </w:rPr>
        <w:t>Agreement</w:t>
      </w:r>
      <w:r>
        <w:rPr>
          <w:rFonts w:ascii="Times New Roman;Times;serif" w:hAnsi="Times New Roman;Times;serif"/>
          <w:sz w:val="22"/>
        </w:rPr>
        <w: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You have been granted an award of restricted stock units (the “</w:t>
      </w:r>
      <w:r>
        <w:rPr>
          <w:rFonts w:ascii="Times New Roman;Times;serif" w:hAnsi="Times New Roman;Times;serif"/>
          <w:b/>
          <w:i/>
          <w:sz w:val="22"/>
        </w:rPr>
        <w:t>Restricted Stock Units</w:t>
      </w:r>
      <w:r>
        <w:rPr>
          <w:rFonts w:ascii="Times New Roman;Times;serif" w:hAnsi="Times New Roman;Times;serif"/>
          <w:sz w:val="22"/>
        </w:rPr>
        <w:t>” or “</w:t>
      </w:r>
      <w:r>
        <w:rPr>
          <w:rFonts w:ascii="Times New Roman;Times;serif" w:hAnsi="Times New Roman;Times;serif"/>
          <w:b/>
          <w:i/>
          <w:sz w:val="22"/>
        </w:rPr>
        <w:t>RSUs</w:t>
      </w:r>
      <w:r>
        <w:rPr>
          <w:rFonts w:ascii="Times New Roman;Times;serif" w:hAnsi="Times New Roman;Times;serif"/>
          <w:sz w:val="22"/>
        </w:rPr>
        <w:t>”) in OnkosXcel Therapeutics, LLC (the “</w:t>
      </w:r>
      <w:r>
        <w:rPr>
          <w:rFonts w:ascii="Times New Roman;Times;serif" w:hAnsi="Times New Roman;Times;serif"/>
          <w:b/>
          <w:i/>
          <w:sz w:val="22"/>
        </w:rPr>
        <w:t>Company</w:t>
      </w:r>
      <w:r>
        <w:rPr>
          <w:rFonts w:ascii="Times New Roman;Times;serif" w:hAnsi="Times New Roman;Times;serif"/>
          <w:sz w:val="22"/>
        </w:rPr>
        <w:t>”), subject to the terms and conditions of the Plan and this Agreement, as follows:</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sz w:val="22"/>
        </w:rPr>
      </w:pPr>
      <w:r>
        <w:rPr>
          <w:rFonts w:ascii="Times New Roman;Times;serif" w:hAnsi="Times New Roman;Times;serif"/>
          <w:sz w:val="22"/>
        </w:rPr>
        <w:t>Name of Participant:[______]</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sz w:val="22"/>
        </w:rPr>
      </w:pPr>
      <w:r>
        <w:rPr>
          <w:rFonts w:ascii="Times New Roman;Times;serif" w:hAnsi="Times New Roman;Times;serif"/>
          <w:sz w:val="22"/>
        </w:rPr>
        <w:t>Total Number of Restricted Stock Units [______]</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Granted: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Grant Date:[____]</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Vesting Commencement Date:[_____]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Expiration Date: [Insert 10</w:t>
      </w:r>
      <w:r>
        <w:rPr>
          <w:rFonts w:ascii="Times New Roman;Times;serif" w:hAnsi="Times New Roman;Times;serif"/>
          <w:sz w:val="17"/>
        </w:rPr>
        <w:t>th</w:t>
      </w:r>
      <w:r>
        <w:rPr>
          <w:rFonts w:ascii="Times New Roman;Times;serif" w:hAnsi="Times New Roman;Times;serif"/>
          <w:sz w:val="22"/>
        </w:rPr>
        <w:t xml:space="preserve"> anniversary of Grant Date]</w:t>
      </w:r>
    </w:p>
    <w:p>
      <w:pPr>
        <w:pStyle w:val="TextBody"/>
        <w:spacing w:before="0" w:after="0"/>
        <w:ind w:left="0" w:right="0" w:hanging="0"/>
        <w:jc w:val="both"/>
        <w:rPr/>
      </w:pPr>
      <w:r>
        <w:rPr/>
        <w:t>​</w:t>
      </w:r>
    </w:p>
    <w:tbl>
      <w:tblPr>
        <w:tblW w:w="5642" w:type="dxa"/>
        <w:jc w:val="left"/>
        <w:tblInd w:w="0" w:type="dxa"/>
        <w:tblCellMar>
          <w:top w:w="0" w:type="dxa"/>
          <w:left w:w="0" w:type="dxa"/>
          <w:bottom w:w="0" w:type="dxa"/>
          <w:right w:w="0" w:type="dxa"/>
        </w:tblCellMar>
      </w:tblPr>
      <w:tblGrid>
        <w:gridCol w:w="901"/>
        <w:gridCol w:w="4741"/>
      </w:tblGrid>
      <w:tr>
        <w:trPr/>
        <w:tc>
          <w:tcPr>
            <w:tcW w:w="901" w:type="dxa"/>
            <w:tcBorders/>
            <w:shd w:fill="auto" w:val="clear"/>
            <w:vAlign w:val="center"/>
          </w:tcPr>
          <w:p>
            <w:pPr>
              <w:pStyle w:val="TableContents"/>
              <w:spacing w:before="0" w:after="240"/>
              <w:ind w:left="0" w:right="0" w:hanging="0"/>
              <w:jc w:val="both"/>
              <w:rPr>
                <w:rFonts w:ascii="Times New Roman;Times;serif" w:hAnsi="Times New Roman;Times;serif"/>
                <w:sz w:val="22"/>
              </w:rPr>
            </w:pPr>
            <w:r>
              <w:rPr>
                <w:rFonts w:ascii="Times New Roman;Times;serif" w:hAnsi="Times New Roman;Times;serif"/>
                <w:sz w:val="22"/>
              </w:rPr>
              <w:t>Vesting:</w:t>
            </w:r>
          </w:p>
        </w:tc>
        <w:tc>
          <w:tcPr>
            <w:tcW w:w="4741" w:type="dxa"/>
            <w:tcBorders/>
            <w:shd w:fill="auto" w:val="clear"/>
            <w:vAlign w:val="center"/>
          </w:tcPr>
          <w:p>
            <w:pPr>
              <w:pStyle w:val="TableContents"/>
              <w:spacing w:before="0" w:after="240"/>
              <w:ind w:left="0" w:right="0" w:hanging="0"/>
              <w:jc w:val="both"/>
              <w:rPr>
                <w:rFonts w:ascii="Times New Roman;Times;serif" w:hAnsi="Times New Roman;Times;serif"/>
                <w:sz w:val="22"/>
              </w:rPr>
            </w:pPr>
            <w:r>
              <w:rPr>
                <w:rFonts w:ascii="Times New Roman;Times;serif" w:hAnsi="Times New Roman;Times;serif"/>
                <w:sz w:val="22"/>
              </w:rPr>
              <w:t>[To be specified in individual award agreements]</w:t>
            </w:r>
          </w:p>
        </w:tc>
      </w:tr>
    </w:tbl>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Your signature below indicates your agreement and understanding that the Restricted Stock Units are subject to all of the terms and conditions contained in the Agreement (including this Grant Notice and </w:t>
      </w:r>
      <w:r>
        <w:rPr>
          <w:rFonts w:ascii="Times New Roman;Times;serif" w:hAnsi="Times New Roman;Times;serif"/>
          <w:sz w:val="22"/>
          <w:u w:val="single"/>
        </w:rPr>
        <w:t>Appendix A</w:t>
      </w:r>
      <w:r>
        <w:rPr>
          <w:rFonts w:ascii="Times New Roman;Times;serif" w:hAnsi="Times New Roman;Times;serif"/>
          <w:sz w:val="22"/>
        </w:rPr>
        <w:t xml:space="preserve"> to the Agreement) and the Plan.  </w:t>
      </w:r>
      <w:r>
        <w:rPr>
          <w:rFonts w:ascii="Times New Roman;Times;serif" w:hAnsi="Times New Roman;Times;serif"/>
          <w:b/>
          <w:sz w:val="22"/>
        </w:rPr>
        <w:t>ACCORDINGLY, PLEASE BE SURE TO READ ALL OF APPENDIX A, WHICH CONTAINS THE SPECIFIC TERMS AND CONDITIONS OF THIS AWARD OF RESTRICTED STOCK UNITS.</w:t>
      </w:r>
    </w:p>
    <w:tbl>
      <w:tblPr>
        <w:tblW w:w="5732" w:type="dxa"/>
        <w:jc w:val="left"/>
        <w:tblInd w:w="0" w:type="dxa"/>
        <w:tblCellMar>
          <w:top w:w="0" w:type="dxa"/>
          <w:left w:w="0" w:type="dxa"/>
          <w:bottom w:w="0" w:type="dxa"/>
          <w:right w:w="0" w:type="dxa"/>
        </w:tblCellMar>
      </w:tblPr>
      <w:tblGrid>
        <w:gridCol w:w="4006"/>
        <w:gridCol w:w="1726"/>
      </w:tblGrid>
      <w:tr>
        <w:trPr/>
        <w:tc>
          <w:tcPr>
            <w:tcW w:w="4006" w:type="dxa"/>
            <w:tcBorders/>
            <w:shd w:fill="auto" w:val="clear"/>
            <w:vAlign w:val="center"/>
          </w:tcPr>
          <w:p>
            <w:pPr>
              <w:pStyle w:val="TableContents"/>
              <w:spacing w:before="0" w:after="0"/>
              <w:ind w:left="0" w:right="0" w:hanging="0"/>
              <w:rPr>
                <w:rFonts w:ascii="Times New Roman;Times;serif" w:hAnsi="Times New Roman;Times;serif"/>
                <w:b/>
                <w:sz w:val="22"/>
              </w:rPr>
            </w:pPr>
            <w:r>
              <w:rPr>
                <w:rFonts w:ascii="Times New Roman;Times;serif" w:hAnsi="Times New Roman;Times;serif"/>
                <w:b/>
                <w:sz w:val="22"/>
              </w:rPr>
              <w:t>ONKOSXCEL THERAPEUTICS, LLC</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pBdr/>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By: </w:t>
            </w:r>
            <w:r>
              <w:rPr>
                <w:rFonts w:ascii="Times New Roman;Times;serif" w:hAnsi="Times New Roman;Times;serif"/>
                <w:sz w:val="22"/>
                <w:u w:val="single"/>
              </w:rPr>
              <w:t>​ ​</w:t>
            </w:r>
            <w:r>
              <w:rPr>
                <w:rFonts w:ascii="Times New Roman;Times;serif" w:hAnsi="Times New Roman;Times;serif"/>
                <w:sz w:val="22"/>
              </w:rPr>
              <w:br/>
              <w:t xml:space="preserve">Name: </w:t>
              <w:br/>
              <w:t xml:space="preserve">Title: </w:t>
            </w:r>
          </w:p>
          <w:p>
            <w:pPr>
              <w:pStyle w:val="TableContents"/>
              <w:pBdr/>
              <w:spacing w:before="0" w:after="0"/>
              <w:ind w:left="0" w:right="0" w:hanging="360"/>
              <w:rPr/>
            </w:pPr>
            <w:r>
              <w:rPr/>
              <w:t>​</w:t>
            </w:r>
          </w:p>
          <w:p>
            <w:pPr>
              <w:pStyle w:val="TableContents"/>
              <w:spacing w:before="0" w:after="0"/>
              <w:ind w:left="0" w:right="0" w:hanging="0"/>
              <w:rPr/>
            </w:pPr>
            <w:r>
              <w:rPr/>
              <w:t>​</w:t>
            </w:r>
          </w:p>
          <w:p>
            <w:pPr>
              <w:pStyle w:val="TableContents"/>
              <w:spacing w:before="0" w:after="0"/>
              <w:ind w:left="0" w:right="0" w:hanging="0"/>
              <w:rPr/>
            </w:pPr>
            <w:r>
              <w:rPr/>
              <w:t>​</w:t>
            </w:r>
          </w:p>
        </w:tc>
        <w:tc>
          <w:tcPr>
            <w:tcW w:w="1726" w:type="dxa"/>
            <w:tcBorders/>
            <w:shd w:fill="auto" w:val="clear"/>
            <w:vAlign w:val="center"/>
          </w:tcPr>
          <w:p>
            <w:pPr>
              <w:pStyle w:val="TableContents"/>
              <w:spacing w:before="0" w:after="0"/>
              <w:ind w:left="0" w:right="0" w:hanging="0"/>
              <w:rPr>
                <w:rFonts w:ascii="Times New Roman;Times;serif" w:hAnsi="Times New Roman;Times;serif"/>
                <w:b/>
                <w:sz w:val="22"/>
              </w:rPr>
            </w:pPr>
            <w:r>
              <w:rPr>
                <w:rFonts w:ascii="Times New Roman;Times;serif" w:hAnsi="Times New Roman;Times;serif"/>
                <w:b/>
                <w:sz w:val="22"/>
              </w:rPr>
              <w:t>PARTICIPANT</w:t>
            </w:r>
          </w:p>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jc w:val="both"/>
              <w:rPr/>
            </w:pPr>
            <w:r>
              <w:rPr>
                <w:u w:val="single"/>
              </w:rPr>
              <w:t>​ ​</w:t>
            </w:r>
            <w:r>
              <w:rPr/>
              <w:t>​</w:t>
            </w:r>
          </w:p>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[______]</w:t>
            </w:r>
          </w:p>
        </w:tc>
      </w:tr>
    </w:tbl>
    <w:p>
      <w:pPr>
        <w:pStyle w:val="TextBody"/>
        <w:spacing w:before="240" w:after="240"/>
        <w:ind w:left="0" w:right="0" w:hanging="0"/>
        <w:jc w:val="center"/>
        <w:rPr>
          <w:caps/>
        </w:rPr>
      </w:pPr>
      <w:r>
        <w:rPr>
          <w:caps/>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US-DOCS\141424032.1</w:t>
      </w:r>
    </w:p>
    <w:p>
      <w:pPr>
        <w:pStyle w:val="HorizontalLine"/>
        <w:rPr/>
      </w:pPr>
      <w:r>
        <w:rPr/>
      </w:r>
    </w:p>
    <w:p>
      <w:pPr>
        <w:pStyle w:val="TextBody"/>
        <w:spacing w:before="0" w:after="0"/>
        <w:ind w:left="0" w:right="0" w:hanging="0"/>
        <w:rPr/>
      </w:pPr>
      <w:r>
        <w:rPr/>
        <w:t>​</w:t>
      </w:r>
    </w:p>
    <w:p>
      <w:pPr>
        <w:pStyle w:val="TextBody"/>
        <w:spacing w:before="240" w:after="240"/>
        <w:ind w:left="0" w:right="0" w:hanging="0"/>
        <w:jc w:val="center"/>
        <w:rPr>
          <w:rFonts w:ascii="Times New Roman;Times;serif" w:hAnsi="Times New Roman;Times;serif"/>
          <w:b/>
          <w:caps/>
          <w:sz w:val="22"/>
        </w:rPr>
      </w:pPr>
      <w:r>
        <w:rPr>
          <w:rFonts w:ascii="Times New Roman;Times;serif" w:hAnsi="Times New Roman;Times;serif"/>
          <w:b/>
          <w:caps/>
          <w:sz w:val="22"/>
        </w:rPr>
        <w:t>aPPENDIX A TO restricted stock UNIT AWARD AGREEMENT</w:t>
      </w:r>
    </w:p>
    <w:p>
      <w:pPr>
        <w:pStyle w:val="TextBody"/>
        <w:spacing w:before="0" w:after="240"/>
        <w:ind w:left="0" w:right="0" w:hanging="0"/>
        <w:rPr>
          <w:rFonts w:ascii="Times New Roman Bold" w:hAnsi="Times New Roman Bold"/>
          <w:b/>
          <w:i/>
          <w:sz w:val="24"/>
        </w:rPr>
      </w:pPr>
      <w:r>
        <w:rPr>
          <w:rFonts w:ascii="Times New Roman;Times;serif" w:hAnsi="Times New Roman;Times;serif"/>
          <w:b w:val="false"/>
          <w:i w:val="false"/>
          <w:caps/>
          <w:sz w:val="22"/>
        </w:rPr>
        <w:t>1.</w:t>
      </w:r>
      <w:r>
        <w:rPr>
          <w:rFonts w:ascii="Times New Roman Bold" w:hAnsi="Times New Roman Bold"/>
          <w:b/>
          <w:i/>
          <w:sz w:val="22"/>
        </w:rPr>
        <w:t>Award of Restricted Stock Units</w:t>
      </w:r>
    </w:p>
    <w:p>
      <w:pPr>
        <w:pStyle w:val="TextBody"/>
        <w:spacing w:before="0" w:after="240"/>
        <w:ind w:left="115" w:right="0" w:hanging="0"/>
        <w:jc w:val="both"/>
        <w:rPr>
          <w:rFonts w:ascii="Times New Roman;Times;serif" w:hAnsi="Times New Roman;Times;serif"/>
          <w:sz w:val="24"/>
        </w:rPr>
      </w:pPr>
      <w:r>
        <w:rPr>
          <w:rFonts w:ascii="Times New Roman;Times;serif" w:hAnsi="Times New Roman;Times;serif"/>
          <w:sz w:val="22"/>
        </w:rPr>
        <w:t>(a)</w:t>
      </w:r>
      <w:bookmarkStart w:id="806" w:name="_Ref313535764"/>
      <w:bookmarkEnd w:id="806"/>
      <w:r>
        <w:rPr>
          <w:rFonts w:ascii="Times New Roman;Times;serif" w:hAnsi="Times New Roman;Times;serif"/>
          <w:i/>
          <w:sz w:val="22"/>
        </w:rPr>
        <w:t>Award of Restricted Stock Units</w:t>
      </w:r>
      <w:r>
        <w:rPr>
          <w:rFonts w:ascii="Times New Roman;Times;serif" w:hAnsi="Times New Roman;Times;serif"/>
          <w:sz w:val="22"/>
        </w:rPr>
        <w:t>.  The Company hereby awards and grants to the Participant the Restricted Stock Units set forth in the Grant Notice to which this Appendix A is attached, upon the terms and conditions set forth in the Plan and this Agreement (including the Grant Notice and this Appendix A).  Each Restricted Stock Unit represents the right to receive one Holdings Unit or, at the option of the Company, an amount of cash, in either case, as set forth in this Agreement.  Participant will have no right to the distribution of any Holdings Units or payment of any cash until the time (if ever) the RSUs have vested. For purposes of this Agreement, “Holdings Units” shall also include</w:t>
      </w:r>
      <w:r>
        <w:rPr>
          <w:rFonts w:ascii="Times New Roman;Times;serif" w:hAnsi="Times New Roman;Times;serif"/>
          <w:sz w:val="24"/>
        </w:rPr>
        <w:t xml:space="preserve"> </w:t>
      </w:r>
      <w:r>
        <w:rPr>
          <w:rFonts w:ascii="Times New Roman;Times;serif" w:hAnsi="Times New Roman;Times;serif"/>
          <w:sz w:val="22"/>
        </w:rPr>
        <w:t>any securities into which such Holdings Units may be converted or exchanged.</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i/>
          <w:sz w:val="22"/>
        </w:rPr>
        <w:t>Distribution Equivalents</w:t>
      </w:r>
      <w:r>
        <w:rPr>
          <w:rFonts w:ascii="Times New Roman;Times;serif" w:hAnsi="Times New Roman;Times;serif"/>
          <w:sz w:val="22"/>
        </w:rPr>
        <w:t>.  The Company hereby grants to the Participant, with respect to each Restricted Stock Unit, a right to receive the equivalent value of cash distributions (other than tax distributions) or dividends paid on a single Holdings Unit, if any, after the Grant Date and prior to the date the applicable Restricted Stock Unit is settled, forfeited or otherwise expires (each a “</w:t>
      </w:r>
      <w:r>
        <w:rPr>
          <w:rFonts w:ascii="Times New Roman;Times;serif" w:hAnsi="Times New Roman;Times;serif"/>
          <w:b/>
          <w:i/>
          <w:sz w:val="22"/>
        </w:rPr>
        <w:t>Distribution Equivalent</w:t>
      </w:r>
      <w:r>
        <w:rPr>
          <w:rFonts w:ascii="Times New Roman;Times;serif" w:hAnsi="Times New Roman;Times;serif"/>
          <w:sz w:val="24"/>
        </w:rPr>
        <w:t>”</w:t>
      </w:r>
      <w:r>
        <w:rPr>
          <w:rFonts w:ascii="Times New Roman;Times;serif" w:hAnsi="Times New Roman;Times;serif"/>
          <w:sz w:val="22"/>
        </w:rPr>
        <w:t>).  The Company will establish a separate Distribution Equivalent bookkeeping account (a “</w:t>
      </w:r>
      <w:r>
        <w:rPr>
          <w:rFonts w:ascii="Times New Roman;Times;serif" w:hAnsi="Times New Roman;Times;serif"/>
          <w:b/>
          <w:i/>
          <w:sz w:val="22"/>
        </w:rPr>
        <w:t>Distribution Equivalent Account</w:t>
      </w:r>
      <w:r>
        <w:rPr>
          <w:rFonts w:ascii="Times New Roman;Times;serif" w:hAnsi="Times New Roman;Times;serif"/>
          <w:sz w:val="24"/>
        </w:rPr>
        <w:t>”</w:t>
      </w:r>
      <w:r>
        <w:rPr>
          <w:rFonts w:ascii="Times New Roman;Times;serif" w:hAnsi="Times New Roman;Times;serif"/>
          <w:sz w:val="22"/>
        </w:rPr>
        <w:t xml:space="preserve">) for each Distribution Equivalent and credit the Distribution Equivalent Account (without interest) on the applicable payment date with the amount of any such cash paid. </w:t>
      </w:r>
      <w:bookmarkStart w:id="807" w:name="_Hlk129177270"/>
      <w:bookmarkEnd w:id="807"/>
      <w:r>
        <w:rPr>
          <w:rFonts w:ascii="Times New Roman;Times;serif" w:hAnsi="Times New Roman;Times;serif"/>
          <w:sz w:val="22"/>
        </w:rPr>
        <w:t>For the avoidance of doubt, nothing in this Agreement or the Plan obligates the Company to pay any cash distributions or dividends on a Holdings Unit.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i/>
          <w:sz w:val="22"/>
        </w:rPr>
        <w:t>Unsecured Promise</w:t>
      </w:r>
      <w:r>
        <w:rPr>
          <w:rFonts w:ascii="Times New Roman;Times;serif" w:hAnsi="Times New Roman;Times;serif"/>
          <w:sz w:val="22"/>
        </w:rPr>
        <w:t>.  The RSUs and Distribution Equivalents will at all times prior to settlement represent an unsecured Company obligation payable only from the Company’s general assets.</w:t>
      </w:r>
    </w:p>
    <w:p>
      <w:pPr>
        <w:pStyle w:val="TextBody"/>
        <w:spacing w:before="0" w:after="240"/>
        <w:ind w:left="0" w:right="0" w:hanging="0"/>
        <w:rPr>
          <w:rFonts w:ascii="Times New Roman Bold" w:hAnsi="Times New Roman Bold"/>
          <w:b/>
          <w:i/>
          <w:sz w:val="24"/>
        </w:rPr>
      </w:pPr>
      <w:r>
        <w:rPr>
          <w:rFonts w:ascii="Times New Roman;Times;serif" w:hAnsi="Times New Roman;Times;serif"/>
          <w:b w:val="false"/>
          <w:i w:val="false"/>
          <w:caps/>
          <w:sz w:val="22"/>
        </w:rPr>
        <w:t>2.</w:t>
      </w:r>
      <w:r>
        <w:rPr>
          <w:rFonts w:ascii="Times New Roman Bold" w:hAnsi="Times New Roman Bold"/>
          <w:b/>
          <w:i/>
          <w:sz w:val="22"/>
        </w:rPr>
        <w:t>Vesting Schedule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(a)</w:t>
      </w:r>
      <w:bookmarkStart w:id="808" w:name="_Ref313537118"/>
      <w:bookmarkEnd w:id="808"/>
      <w:r>
        <w:rPr>
          <w:rFonts w:ascii="Times New Roman;Times;serif" w:hAnsi="Times New Roman;Times;serif"/>
          <w:i/>
          <w:sz w:val="22"/>
        </w:rPr>
        <w:t>Vesting of Restricted Stock Units</w:t>
      </w:r>
      <w:r>
        <w:rPr>
          <w:rFonts w:ascii="Times New Roman;Times;serif" w:hAnsi="Times New Roman;Times;serif"/>
          <w:sz w:val="22"/>
        </w:rPr>
        <w:t>.</w:t>
      </w:r>
      <w:r>
        <w:rPr>
          <w:rFonts w:ascii="Times New Roman;Times;serif" w:hAnsi="Times New Roman;Times;serif"/>
          <w:sz w:val="24"/>
        </w:rPr>
        <w:t xml:space="preserve">  </w:t>
      </w:r>
      <w:r>
        <w:rPr>
          <w:rFonts w:ascii="Times New Roman;Times;serif" w:hAnsi="Times New Roman;Times;serif"/>
          <w:sz w:val="22"/>
        </w:rPr>
        <w:t>Subject to Section 2(a)(i) [and (ii)] below, the RSUs will vest according to the vesting schedule in the Grant Notice except that any fraction of an RSU that would otherwise be vested will be accumulated and will vest only when a whole RSU has accumulated.  </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(i)In the event of Participant’s Termination of Employment for any reason, all RSUs for which the Vesting Date (as defined in the Grant Notice) has not yet occurred will immediately and automatically be cancelled and forfeited, except as otherwise determined by the Administrator or provided in a binding written agreement between Participant and the Company.  Distribution Equivalents (including any Distribution Equivalent Account balance) will vest or be forfeited, as applicable, upon the vesting or forfeiture of the RSU with respect to which the Distribution Equivalent (including the Distribution Equivalent Account) relates.</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(ii)[Upon the occurrence of a Change in Control, the Service-Based Requirement (as defined in the Grant Notice) will be satisfied as to 100% of the then-unvested RSUs.]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i/>
          <w:sz w:val="22"/>
        </w:rPr>
        <w:t>Discretionary Vesting</w:t>
      </w:r>
      <w:r>
        <w:rPr>
          <w:rFonts w:ascii="Times New Roman;Times;serif" w:hAnsi="Times New Roman;Times;serif"/>
          <w:sz w:val="22"/>
        </w:rPr>
        <w:t>.  The Administrator in its discretion may accelerate the vesting of any portion of the Restricted Stock Units that does not otherwise vest pursuant to Section 2(a).  </w:t>
      </w:r>
    </w:p>
    <w:p>
      <w:pPr>
        <w:pStyle w:val="TextBody"/>
        <w:spacing w:before="0" w:after="240"/>
        <w:ind w:left="0" w:right="0" w:hanging="0"/>
        <w:rPr>
          <w:rFonts w:ascii="Times New Roman Bold" w:hAnsi="Times New Roman Bold"/>
          <w:b/>
          <w:i/>
          <w:sz w:val="24"/>
        </w:rPr>
      </w:pPr>
      <w:r>
        <w:rPr>
          <w:rFonts w:ascii="Times New Roman;Times;serif" w:hAnsi="Times New Roman;Times;serif"/>
          <w:b w:val="false"/>
          <w:i w:val="false"/>
          <w:caps/>
          <w:sz w:val="22"/>
        </w:rPr>
        <w:t>3.</w:t>
      </w:r>
      <w:r>
        <w:rPr>
          <w:rFonts w:ascii="Times New Roman Bold" w:hAnsi="Times New Roman Bold"/>
          <w:b/>
          <w:i/>
          <w:sz w:val="22"/>
        </w:rPr>
        <w:t>Settlement of Restricted Stock Units</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(a)On or within sixty (60) days following each Vesting Date, the RSUs and Distribution Equivalents (including any Distribution Equivalent Account balance) that vest on the applicable Vesting Date will be paid in Holdings Units or cash at the Company’s option.  Notwithstanding the foregoing, the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US-DOCS\141424032.1</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Company may delay any payment under this Agreement that the Company reasonably determines would violate Applicable Laws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r>
        <w:rPr>
          <w:rFonts w:ascii="Times New Roman;Times;serif" w:hAnsi="Times New Roman;Times;serif"/>
          <w:sz w:val="24"/>
        </w:rPr>
        <w:t xml:space="preserve"> </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(b)If an RSU is paid in cash, the amount of cash paid with respect to the RSU will equal the Fair Market Value of a Holdings Unit on the day immediately preceding the payment date.  If a Distribution Equivalent is paid in Holdings Units, the number of Holdings Units paid with respect to the Distribution Equivalent will equal the quotient, rounded down to the nearest whole Holdings Unit, of the Distribution Equivalent Account balance divided by the Fair Market Value of a Holdings Unit on the day immediately preceding the payment date.</w:t>
      </w:r>
    </w:p>
    <w:p>
      <w:pPr>
        <w:pStyle w:val="TextBody"/>
        <w:spacing w:before="0" w:after="240"/>
        <w:ind w:left="0" w:right="0" w:hanging="0"/>
        <w:rPr>
          <w:rFonts w:ascii="Times New Roman Bold" w:hAnsi="Times New Roman Bold"/>
          <w:b/>
          <w:i/>
          <w:sz w:val="24"/>
        </w:rPr>
      </w:pPr>
      <w:r>
        <w:rPr>
          <w:rFonts w:ascii="Times New Roman;Times;serif" w:hAnsi="Times New Roman;Times;serif"/>
          <w:b w:val="false"/>
          <w:i w:val="false"/>
          <w:caps/>
          <w:sz w:val="22"/>
        </w:rPr>
        <w:t>4.</w:t>
      </w:r>
      <w:r>
        <w:rPr>
          <w:rFonts w:ascii="Times New Roman Bold" w:hAnsi="Times New Roman Bold"/>
          <w:b/>
          <w:i/>
          <w:sz w:val="22"/>
        </w:rPr>
        <w:t>Taxation and Tax Withholding.</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i/>
          <w:sz w:val="22"/>
        </w:rPr>
        <w:t>Tax Consequences</w:t>
      </w:r>
      <w:r>
        <w:rPr>
          <w:rFonts w:ascii="Times New Roman;Times;serif" w:hAnsi="Times New Roman;Times;serif"/>
          <w:sz w:val="22"/>
        </w:rPr>
        <w:t xml:space="preserve">.  The Company and its Affiliates have encouraged the Participant to review the tax consequences of the Awards granted under this Agreement with the Participant’s own personal tax or financial advisor.  The Participant understands that he or she, and not the Company or any of its Affiliates, will be responsible for the Participant’s own tax liability that may arise as a result of the transactions contemplated by this Agreement or the Restricted Stock Units or Distribution Equivalents.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i/>
          <w:sz w:val="22"/>
        </w:rPr>
        <w:t>Tax Withholding.</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(i)The Company has the right and option, but not the obligation, to treat Participant’s failure to provide timely payment in accordance with the Plan of any withholding tax arising in connection with the RSUs or Distribution Equivalents as Participant’s election to satisfy all or any portion of the withholding tax by requesting the Company retain Holdings Units otherwise issuable under the Award.</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(ii)Participant acknowledges that Participant is ultimately liable and responsible for all taxes owed in connection with the RSUs and the Distribution Equivalents, regardless of any action the Company or any of its Affiliates takes with respect to any tax withholding obligations that arise in connection with the RSUs or Distribution Equivalents.  Neither the Company nor any Affiliate makes any representation or undertaking regarding the treatment of any tax withholding in connection with the awarding, vesting or payment of the RSUs or the Distribution Equivalents or the subsequent disposition of Holdings Units.  The Company and its Affiliates do not commit and are under no obligation to structure the RSUs or Distribution Equivalents to reduce or eliminate Participant’s tax liability.</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i/>
          <w:sz w:val="22"/>
        </w:rPr>
        <w:t>Code Section 409A</w:t>
      </w:r>
      <w:r>
        <w:rPr>
          <w:rFonts w:ascii="Times New Roman;Times;serif" w:hAnsi="Times New Roman;Times;serif"/>
          <w:sz w:val="22"/>
        </w:rPr>
        <w:t>. The RSUs are not intended to constitute “nonqualified deferred compensation” within the meaning of Section 409A of the Code (together with all related Department of Treasury guidance, “</w:t>
      </w:r>
      <w:r>
        <w:rPr>
          <w:rFonts w:ascii="Times New Roman;Times;serif" w:hAnsi="Times New Roman;Times;serif"/>
          <w:b/>
          <w:i/>
          <w:sz w:val="22"/>
        </w:rPr>
        <w:t>Section 409A</w:t>
      </w:r>
      <w:r>
        <w:rPr>
          <w:rFonts w:ascii="Times New Roman;Times;serif" w:hAnsi="Times New Roman;Times;serif"/>
          <w:sz w:val="24"/>
        </w:rPr>
        <w:t>”</w:t>
      </w:r>
      <w:r>
        <w:rPr>
          <w:rFonts w:ascii="Times New Roman;Times;serif" w:hAnsi="Times New Roman;Times;serif"/>
          <w:sz w:val="22"/>
        </w:rPr>
        <w:t>).  However, notwithstanding any other provision of the Plan, this Agreement or the Grant Notice to the contrary, if the Administrator determines that the RSUs or any amounts payable under this Agreement may be subject to Section 409A, the Administrator may adopt such amendments to the Plan, this Agreement or the Grant Notice or adopt other policies or procedures (including amendments, policies and procedures with retroactive effective), or take any other action that the Administrator determines to be necessary or appropriate to either (i) exempt the amounts payable under this Agreement from Section 409A and/or preserve the intended tax treatment of such amounts, or (ii) comply with the requirements of Section 409A; provided, however, that nothing in this Section 4(c) shall create any obligation on the part of the Company to adopt any such amendment or take any other action.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US-DOCS\141424032.1</w:t>
      </w:r>
    </w:p>
    <w:p>
      <w:pPr>
        <w:pStyle w:val="HorizontalLine"/>
        <w:rPr/>
      </w:pPr>
      <w:r>
        <w:rPr/>
      </w:r>
    </w:p>
    <w:p>
      <w:pPr>
        <w:pStyle w:val="TextBody"/>
        <w:spacing w:before="0" w:after="0"/>
        <w:ind w:left="0" w:right="0" w:hanging="0"/>
        <w:rPr/>
      </w:pPr>
      <w:r>
        <w:rPr/>
        <w:t>​</w:t>
      </w:r>
    </w:p>
    <w:p>
      <w:pPr>
        <w:pStyle w:val="TextBody"/>
        <w:spacing w:before="0" w:after="240"/>
        <w:ind w:left="0" w:right="0" w:hanging="0"/>
        <w:rPr>
          <w:rFonts w:ascii="Times New Roman Bold" w:hAnsi="Times New Roman Bold"/>
          <w:b/>
          <w:i/>
          <w:sz w:val="24"/>
        </w:rPr>
      </w:pPr>
      <w:r>
        <w:rPr>
          <w:rFonts w:ascii="Times New Roman;Times;serif" w:hAnsi="Times New Roman;Times;serif"/>
          <w:b w:val="false"/>
          <w:i w:val="false"/>
          <w:caps/>
          <w:sz w:val="22"/>
        </w:rPr>
        <w:t>5.</w:t>
      </w:r>
      <w:r>
        <w:rPr>
          <w:rFonts w:ascii="Times New Roman;Times;serif" w:hAnsi="Times New Roman;Times;serif"/>
          <w:b/>
          <w:i/>
          <w:sz w:val="22"/>
        </w:rPr>
        <w:t>Other Provisions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i/>
          <w:sz w:val="22"/>
        </w:rPr>
        <w:t>Rights as a Member</w:t>
      </w:r>
      <w:r>
        <w:rPr>
          <w:rFonts w:ascii="Times New Roman;Times;serif" w:hAnsi="Times New Roman;Times;serif"/>
          <w:sz w:val="22"/>
        </w:rPr>
        <w:t xml:space="preserve">.  Neither Participant nor any person claiming under or through Participant will have any of the rights or privileges of a Member (or stockholder) of the Company in respect of any Holdings Units deliverable hereunder unless and until such Holdings Units will have been issued and recorded on the records of the Company or its transfer agents or registrars.  Except as otherwise provided herein, after such issuance and recordation, Participant will have all the rights of a Member (or stockholder) of the Company with respect to such Holdings Units, including, without limitation, the right to receipt of distributions (or dividends) on such Holdings Units. The issuance of Holdings Units under this Agreement to Participant shall be subject to Participant’s execution of any agreements or instruments as the Administrator shall deem necessary or advisable, in its reasonable discretion.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i/>
          <w:sz w:val="22"/>
        </w:rPr>
        <w:t>Market Standoff Period</w:t>
      </w:r>
      <w:r>
        <w:rPr>
          <w:rFonts w:ascii="Times New Roman;Times;serif" w:hAnsi="Times New Roman;Times;serif"/>
          <w:sz w:val="22"/>
        </w:rPr>
        <w:t>.  The Company may, at the request of any underwriter representative or the Board or the Administrator, in connection with registering any securities of the Company or any successor or survivor corporation, or a parent or subsidiary thereof, under the Securities Act (including a registration statement relating to (i) the Company’s initial public offering or (ii) a merger of the Company with, or the acquisition of the Company (or securities thereof) by, a publicly traded special purpose acquisition company (“</w:t>
      </w:r>
      <w:r>
        <w:rPr>
          <w:rFonts w:ascii="Times New Roman;Times;serif" w:hAnsi="Times New Roman;Times;serif"/>
          <w:b/>
          <w:i/>
          <w:sz w:val="22"/>
        </w:rPr>
        <w:t>SPAC</w:t>
      </w:r>
      <w:r>
        <w:rPr>
          <w:rFonts w:ascii="Times New Roman;Times;serif" w:hAnsi="Times New Roman;Times;serif"/>
          <w:sz w:val="24"/>
        </w:rPr>
        <w:t>”</w:t>
      </w:r>
      <w:r>
        <w:rPr>
          <w:rFonts w:ascii="Times New Roman;Times;serif" w:hAnsi="Times New Roman;Times;serif"/>
          <w:sz w:val="22"/>
        </w:rPr>
        <w:t>), or any entity that, immediately prior to such transaction, is a subsidiary of a SPAC, following which the securities of the Company or its parent entity are listed on a national securities exchange (a “</w:t>
      </w:r>
      <w:r>
        <w:rPr>
          <w:rFonts w:ascii="Times New Roman;Times;serif" w:hAnsi="Times New Roman;Times;serif"/>
          <w:b/>
          <w:i/>
          <w:sz w:val="22"/>
        </w:rPr>
        <w:t>SPAC Transaction</w:t>
      </w:r>
      <w:r>
        <w:rPr>
          <w:rFonts w:ascii="Times New Roman;Times;serif" w:hAnsi="Times New Roman;Times;serif"/>
          <w:sz w:val="24"/>
        </w:rPr>
        <w:t>”</w:t>
      </w:r>
      <w:r>
        <w:rPr>
          <w:rFonts w:ascii="Times New Roman;Times;serif" w:hAnsi="Times New Roman;Times;serif"/>
          <w:sz w:val="22"/>
        </w:rPr>
        <w:t>)), prohibit the Participant from, directly or indirectly, selling or otherwise transferring or disposing any Units, shares of common stock, or other such securities during a period of up to one hundred eighty (180) days following the effective date of the applicable registration statement filed under the Securities Act, or such longer period as determined by the underwriter representative, the Board or the Administrator (the “</w:t>
      </w:r>
      <w:r>
        <w:rPr>
          <w:rFonts w:ascii="Times New Roman;Times;serif" w:hAnsi="Times New Roman;Times;serif"/>
          <w:b/>
          <w:i/>
          <w:sz w:val="22"/>
        </w:rPr>
        <w:t>Market Standoff Period</w:t>
      </w:r>
      <w:r>
        <w:rPr>
          <w:rFonts w:ascii="Times New Roman;Times;serif" w:hAnsi="Times New Roman;Times;serif"/>
          <w:sz w:val="24"/>
        </w:rPr>
        <w:t>”</w:t>
      </w:r>
      <w:r>
        <w:rPr>
          <w:rFonts w:ascii="Times New Roman;Times;serif" w:hAnsi="Times New Roman;Times;serif"/>
          <w:sz w:val="22"/>
        </w:rPr>
        <w:t>).  The Company may impose stop-transfer instructions with respect to securities subject to the foregoing restrictions until the end of such Market Standoff Period.</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i/>
          <w:sz w:val="22"/>
        </w:rPr>
        <w:t>Participant Representation; Not a Contract of Service</w:t>
      </w:r>
      <w:r>
        <w:rPr>
          <w:rFonts w:ascii="Times New Roman;Times;serif" w:hAnsi="Times New Roman;Times;serif"/>
          <w:sz w:val="22"/>
        </w:rPr>
        <w:t>.  The Participant hereby represents that the Participant’s execution of this Agreement and participation in the Plan is voluntary and that the Participant has in no way been induced to enter into this Agreement in exchange for or as a requirement of the expectation of service with the Company or any of its Affiliates.  Nothing in this Agreement or in the Plan shall confer upon the Participant any right to continue as a Service Provider or shall interfere with or restrict in any way the rights of the Company or its Affiliates, which are hereby expressly reserved, to discharge the Participant at any time for any reason whatsoever, with or without Cause except pursuant to an employment or consulting agreement executed by and between the Company or one of its Affiliates and the Participant and approved by the Board.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(d)</w:t>
      </w:r>
      <w:r>
        <w:rPr>
          <w:rFonts w:ascii="Times New Roman;Times;serif" w:hAnsi="Times New Roman;Times;serif"/>
          <w:i/>
          <w:sz w:val="22"/>
        </w:rPr>
        <w:t>Award Subject to Plan</w:t>
      </w:r>
      <w:r>
        <w:rPr>
          <w:rFonts w:ascii="Times New Roman;Times;serif" w:hAnsi="Times New Roman;Times;serif"/>
          <w:sz w:val="22"/>
        </w:rPr>
        <w:t xml:space="preserve">.  The Restricted Stock Units and Distribution Equivalents granted hereunder are “Other Awards” (as defined in the Plan) under the Plan. The Participant acknowledges that the Restricted Stock Units and Distribution Equivalents are subject to the terms of the Plan; provided, that, notwithstanding anything in the Plan to the contrary, the Restricted Stock Units and Distribution Equivalents represent a direct interest in a Holdings Unit and references to “Upstairs Awards” and “Downstairs Awards” in the Plan shall not apply to the Restricted Stock Units and Distribution Equivalents.  In the event of a conflict between the terms of this Agreement and the terms of the Plan, the terms of the Plan will control.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(e)</w:t>
      </w:r>
      <w:r>
        <w:rPr>
          <w:rFonts w:ascii="Times New Roman;Times;serif" w:hAnsi="Times New Roman;Times;serif"/>
          <w:i/>
          <w:sz w:val="22"/>
        </w:rPr>
        <w:t>Construction</w:t>
      </w:r>
      <w:r>
        <w:rPr>
          <w:rFonts w:ascii="Times New Roman;Times;serif" w:hAnsi="Times New Roman;Times;serif"/>
          <w:sz w:val="22"/>
        </w:rPr>
        <w:t xml:space="preserve">.  This Agreement shall be administered, interpreted and enforced under the laws of the State of Delaware, disregarding choice-of-law principles of the law of any state that would require the application of the laws of a jurisdiction other than such state.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US-DOCS\141424032.1</w:t>
      </w:r>
    </w:p>
    <w:p>
      <w:pPr>
        <w:pStyle w:val="HorizontalLine"/>
        <w:rPr/>
      </w:pPr>
      <w:r>
        <w:rPr/>
      </w:r>
    </w:p>
    <w:p>
      <w:pPr>
        <w:pStyle w:val="TextBody"/>
        <w:spacing w:before="0" w:after="0"/>
        <w:ind w:left="0" w:right="0" w:hanging="0"/>
        <w:rPr/>
      </w:pPr>
      <w:r>
        <w:rPr/>
        <w:t>​</w:t>
      </w:r>
    </w:p>
    <w:p>
      <w:pPr>
        <w:pStyle w:val="TextBody"/>
        <w:spacing w:before="0" w:after="240"/>
        <w:ind w:left="0" w:right="0" w:hanging="0"/>
        <w:rPr>
          <w:rFonts w:ascii="Times New Roman Bold" w:hAnsi="Times New Roman Bold"/>
          <w:b/>
          <w:i/>
          <w:sz w:val="24"/>
        </w:rPr>
      </w:pPr>
      <w:r>
        <w:rPr>
          <w:rFonts w:ascii="Times New Roman;Times;serif" w:hAnsi="Times New Roman;Times;serif"/>
          <w:b w:val="false"/>
          <w:i w:val="false"/>
          <w:caps/>
          <w:sz w:val="22"/>
        </w:rPr>
        <w:t>6.</w:t>
      </w:r>
      <w:r>
        <w:rPr>
          <w:rFonts w:ascii="Times New Roman Bold" w:hAnsi="Times New Roman Bold"/>
          <w:b/>
          <w:i/>
          <w:sz w:val="22"/>
        </w:rPr>
        <w:t>Non-Solicitation.</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(a)During the period commencing on the Grant Date and ending on the six (6) month anniversary of the Participant’s Termination of Employment, the Participant shall not persuade or encourage or attempt to persuade or encourage any business customers, business partners or business affiliates of the Company or its Affiliates to cease doing business with the Company or any of its Affiliates or to engage in any Competitive Activity on its own or with any Competitor of the Company or its Affiliates.</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(b)During the period commencing on the Grant Date and ending on the six (6) month anniversary of the Participant’s Termination of Employment, the Participant shall not, except on behalf of the Company and its subsidiaries, directly or indirectly, solicit, recruit or hire any (x) current employee or (y) employee whose employment with the Company or its Affiliates was or is terminated coincident with, or within six (6) months prior to or after, the date of the Participant’s Termination of Employment, in each case for the purpose of being employed by, or otherwise provide services to, the Participant or any business, individual, partnership, firm, corporation or other entity on whose behalf the Participant is acting as an agent, representative, employee or otherwise. For purposes of this Agreement, “help wanted” advertisements, postings on internet job sites, and searches by employment search companies which are not specifically targeting employees of the Company or any of its subsidiaries (and in each case the Participant’s dealing with such employees as a result thereof) shall not result in a violation of this obligation.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i/>
          <w:sz w:val="22"/>
        </w:rPr>
        <w:t>Injunctive Relief</w:t>
      </w:r>
      <w:r>
        <w:rPr>
          <w:rFonts w:ascii="Times New Roman;Times;serif" w:hAnsi="Times New Roman;Times;serif"/>
          <w:sz w:val="22"/>
        </w:rPr>
        <w:t>. The Participant understands and agrees that the Company will suffer irreparable harm if the Participant breaches any provision of this Section 6, that remedy at law alone will be an inadequate remedy for any such breach and that monetary damages are inadequate to compensate the Company for any breach of this Section. Accordingly, the Participant agrees that the Company shall, in addition to any other remedies available to the Company at law or in equity, be entitled to enforce the specific performance of this Section 6 by the Participant and to both temporary and permanent injunctive relief without bond and without liability should such relief be denied, modified or violated. The Participant also recognizes that the territorial, time and scope limitations set forth in this Section 6 are reasonable and are properly required for the protection of the Company and in the event that any such territorial, time or scope limitation is deemed to be unreasonable by a court of competent jurisdiction, the Company and the Participant agree, and the Participant submits, to the reduction of any or all of said territorial, time or scope limitations to such an area, period or scope as said court shall deem reasonable under the circumstances.</w:t>
      </w:r>
    </w:p>
    <w:p>
      <w:pPr>
        <w:pStyle w:val="TextBody"/>
        <w:spacing w:before="0" w:after="240"/>
        <w:ind w:left="0" w:right="0" w:hanging="0"/>
        <w:rPr>
          <w:rFonts w:ascii="Times New Roman Bold" w:hAnsi="Times New Roman Bold"/>
          <w:b/>
          <w:i/>
          <w:sz w:val="24"/>
        </w:rPr>
      </w:pPr>
      <w:r>
        <w:rPr>
          <w:rFonts w:ascii="Times New Roman;Times;serif" w:hAnsi="Times New Roman;Times;serif"/>
          <w:b w:val="false"/>
          <w:i w:val="false"/>
          <w:caps/>
          <w:sz w:val="22"/>
        </w:rPr>
        <w:t>7.</w:t>
      </w:r>
      <w:r>
        <w:rPr>
          <w:rFonts w:ascii="Times New Roman Bold" w:hAnsi="Times New Roman Bold"/>
          <w:b/>
          <w:i/>
          <w:sz w:val="22"/>
        </w:rPr>
        <w:t>Definitions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Whenever the following terms are used in this Agreement (including the Grant Notice), they shall have the meaning specified below unless the context clearly indicates to the contrary.  Capitalized terms used in this Agreement and not defined below shall have the meaning given such terms in the Plan.  The singular pronoun shall include the plural, where the context so indicates.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sz w:val="24"/>
        </w:rPr>
        <w:t>“</w:t>
      </w:r>
      <w:r>
        <w:rPr>
          <w:rFonts w:ascii="Times New Roman;Times;serif" w:hAnsi="Times New Roman;Times;serif"/>
          <w:b/>
          <w:i/>
          <w:sz w:val="22"/>
        </w:rPr>
        <w:t>Change in Control</w:t>
      </w:r>
      <w:r>
        <w:rPr>
          <w:rFonts w:ascii="Times New Roman;Times;serif" w:hAnsi="Times New Roman;Times;serif"/>
          <w:sz w:val="24"/>
        </w:rPr>
        <w:t xml:space="preserve">” </w:t>
      </w:r>
      <w:r>
        <w:rPr>
          <w:rFonts w:ascii="Times New Roman;Times;serif" w:hAnsi="Times New Roman;Times;serif"/>
          <w:sz w:val="22"/>
        </w:rPr>
        <w:t xml:space="preserve">shall mean the first to occur of any of the following (i) a merger or consolidation of the Company with or into any other corporation or other entity or person, (ii) a sale, lease, exchange or other transfer in one transaction or a series of related transactions of all or substantially all of the Company’s assets, or (iii) any other transaction, including, without limitation, the sale by the Company of new securities or a transfer of existing securities of the Company, the result of which is that a third party that is not an Affiliate of the Company immediately prior to such transaction acquires or holds securities of the Company representing a majority of the Company’s outstanding voting power immediately following such transaction; provided that the following events shall not constitute a “Change in Control”: (A) a transaction (other than a sale of all or substantially all of the Company’s assets) in which the holders of the voting securities of the Company immediately prior to the merger or consolidation hold, directly or indirectly, a majority of the voting securities in the successor corporation or its parent immediately after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US-DOCS\141424032.1</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the merger or consolidation; (B) a sale, lease, exchange or other transaction in one transaction or a series of related transactions of all or substantially all of the Company’s assets to an Affiliate of the Company; (C) an initial public offering of any of the Company’s securities, a SPAC Transaction, or any other transaction or series of related transactions principally for bona fide equity financing purposes; (D) a reincorporation of the Company solely to change its jurisdiction; or (E) a transaction undertaken for the primary purpose of creating a holding company that will be owned in substantially the same proportion by the persons who held the Company’s securities immediately before such transaction.  Notwithstanding the foregoing, the transaction or event constituting the Change in Control must also constitute a “change in control event” (as defined in Treasury Regulation Section 1.409A-3(i)(5)) in order to give rise to the payment or settlement event for such Award, to the extent required by Section 409A.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sz w:val="24"/>
        </w:rPr>
        <w:t>“</w:t>
      </w:r>
      <w:r>
        <w:rPr>
          <w:rFonts w:ascii="Times New Roman;Times;serif" w:hAnsi="Times New Roman;Times;serif"/>
          <w:b/>
          <w:i/>
          <w:sz w:val="22"/>
        </w:rPr>
        <w:t>Grant Date</w:t>
      </w:r>
      <w:r>
        <w:rPr>
          <w:rFonts w:ascii="Times New Roman;Times;serif" w:hAnsi="Times New Roman;Times;serif"/>
          <w:sz w:val="24"/>
        </w:rPr>
        <w:t xml:space="preserve">” </w:t>
      </w:r>
      <w:r>
        <w:rPr>
          <w:rFonts w:ascii="Times New Roman;Times;serif" w:hAnsi="Times New Roman;Times;serif"/>
          <w:sz w:val="22"/>
        </w:rPr>
        <w:t>shall be the grant date set forth in the Grant Notice.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sz w:val="24"/>
        </w:rPr>
        <w:t>“</w:t>
      </w:r>
      <w:r>
        <w:rPr>
          <w:rFonts w:ascii="Times New Roman;Times;serif" w:hAnsi="Times New Roman;Times;serif"/>
          <w:b/>
          <w:i/>
          <w:sz w:val="22"/>
        </w:rPr>
        <w:t>Grant Notice</w:t>
      </w:r>
      <w:r>
        <w:rPr>
          <w:rFonts w:ascii="Times New Roman;Times;serif" w:hAnsi="Times New Roman;Times;serif"/>
          <w:sz w:val="24"/>
        </w:rPr>
        <w:t xml:space="preserve">” </w:t>
      </w:r>
      <w:r>
        <w:rPr>
          <w:rFonts w:ascii="Times New Roman;Times;serif" w:hAnsi="Times New Roman;Times;serif"/>
          <w:sz w:val="22"/>
        </w:rPr>
        <w:t>shall mean the Grant Notice referred to in Section 1(a)</w:t>
      </w:r>
      <w:r>
        <w:rPr>
          <w:rFonts w:ascii="Times New Roman;Times;serif" w:hAnsi="Times New Roman;Times;serif"/>
          <w:sz w:val="24"/>
        </w:rPr>
        <w:t xml:space="preserve"> </w:t>
      </w:r>
      <w:r>
        <w:rPr>
          <w:rFonts w:ascii="Times New Roman;Times;serif" w:hAnsi="Times New Roman;Times;serif"/>
          <w:sz w:val="22"/>
        </w:rPr>
        <w:t>of this Agreement, which Grant Notice is for all purposes a part of the Agreement.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(d)</w:t>
      </w:r>
      <w:r>
        <w:rPr>
          <w:rFonts w:ascii="Times New Roman;Times;serif" w:hAnsi="Times New Roman;Times;serif"/>
          <w:sz w:val="24"/>
        </w:rPr>
        <w:t>“</w:t>
      </w:r>
      <w:r>
        <w:rPr>
          <w:rFonts w:ascii="Times New Roman;Times;serif" w:hAnsi="Times New Roman;Times;serif"/>
          <w:b/>
          <w:i/>
          <w:sz w:val="22"/>
        </w:rPr>
        <w:t>Participant</w:t>
      </w:r>
      <w:r>
        <w:rPr>
          <w:rFonts w:ascii="Times New Roman;Times;serif" w:hAnsi="Times New Roman;Times;serif"/>
          <w:sz w:val="24"/>
        </w:rPr>
        <w:t xml:space="preserve">” </w:t>
      </w:r>
      <w:r>
        <w:rPr>
          <w:rFonts w:ascii="Times New Roman;Times;serif" w:hAnsi="Times New Roman;Times;serif"/>
          <w:sz w:val="22"/>
        </w:rPr>
        <w:t>shall be the Person designated as such in the Grant Notice.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(e)</w:t>
      </w:r>
      <w:r>
        <w:rPr>
          <w:rFonts w:ascii="Times New Roman;Times;serif" w:hAnsi="Times New Roman;Times;serif"/>
          <w:sz w:val="24"/>
        </w:rPr>
        <w:t>“</w:t>
      </w:r>
      <w:r>
        <w:rPr>
          <w:rFonts w:ascii="Times New Roman;Times;serif" w:hAnsi="Times New Roman;Times;serif"/>
          <w:b/>
          <w:i/>
          <w:sz w:val="22"/>
        </w:rPr>
        <w:t>Plan</w:t>
      </w:r>
      <w:r>
        <w:rPr>
          <w:rFonts w:ascii="Times New Roman;Times;serif" w:hAnsi="Times New Roman;Times;serif"/>
          <w:sz w:val="24"/>
        </w:rPr>
        <w:t xml:space="preserve">” </w:t>
      </w:r>
      <w:r>
        <w:rPr>
          <w:rFonts w:ascii="Times New Roman;Times;serif" w:hAnsi="Times New Roman;Times;serif"/>
          <w:sz w:val="22"/>
        </w:rPr>
        <w:t>shall have the meaning set forth in the Grant Notice.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(f)</w:t>
      </w:r>
      <w:r>
        <w:rPr>
          <w:rFonts w:ascii="Times New Roman;Times;serif" w:hAnsi="Times New Roman;Times;serif"/>
          <w:sz w:val="24"/>
        </w:rPr>
        <w:t>“</w:t>
      </w:r>
      <w:r>
        <w:rPr>
          <w:rFonts w:ascii="Times New Roman;Times;serif" w:hAnsi="Times New Roman;Times;serif"/>
          <w:b/>
          <w:i/>
          <w:sz w:val="22"/>
        </w:rPr>
        <w:t>Publicly Listed Company</w:t>
      </w:r>
      <w:r>
        <w:rPr>
          <w:rFonts w:ascii="Times New Roman;Times;serif" w:hAnsi="Times New Roman;Times;serif"/>
          <w:sz w:val="24"/>
        </w:rPr>
        <w:t xml:space="preserve">” </w:t>
      </w:r>
      <w:r>
        <w:rPr>
          <w:rFonts w:ascii="Times New Roman;Times;serif" w:hAnsi="Times New Roman;Times;serif"/>
          <w:sz w:val="22"/>
        </w:rPr>
        <w:t>means that the Company or its successor (i) is required to file periodic reports pursuant to Section 12 of the Exchange Act and (ii) the Holdings Units (or any securities into which such Holdings Units may have been converted or exchanged) are listed on one or more National Securities Exchanges (within the meaning of the Exchange Act) or is quoted on NASDAQ or a successor interdealer quotation system.</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(g)</w:t>
      </w:r>
      <w:r>
        <w:rPr>
          <w:rFonts w:ascii="Times New Roman;Times;serif" w:hAnsi="Times New Roman;Times;serif"/>
          <w:sz w:val="24"/>
        </w:rPr>
        <w:t>“</w:t>
      </w:r>
      <w:r>
        <w:rPr>
          <w:rFonts w:ascii="Times New Roman;Times;serif" w:hAnsi="Times New Roman;Times;serif"/>
          <w:b/>
          <w:i/>
          <w:sz w:val="22"/>
        </w:rPr>
        <w:t>Vesting Commencement Date</w:t>
      </w:r>
      <w:r>
        <w:rPr>
          <w:rFonts w:ascii="Times New Roman;Times;serif" w:hAnsi="Times New Roman;Times;serif"/>
          <w:sz w:val="24"/>
        </w:rPr>
        <w:t xml:space="preserve">” </w:t>
      </w:r>
      <w:r>
        <w:rPr>
          <w:rFonts w:ascii="Times New Roman;Times;serif" w:hAnsi="Times New Roman;Times;serif"/>
          <w:sz w:val="22"/>
        </w:rPr>
        <w:t>shall be the vesting commencement date set forth in the Grant Notice.</w:t>
      </w:r>
    </w:p>
    <w:p>
      <w:pPr>
        <w:pStyle w:val="TextBody"/>
        <w:spacing w:before="0" w:after="240"/>
        <w:ind w:left="0" w:right="0" w:firstLine="720"/>
        <w:jc w:val="both"/>
        <w:rPr/>
      </w:pPr>
      <w:r>
        <w:rPr/>
        <w:t>​</w:t>
      </w:r>
    </w:p>
    <w:p>
      <w:pPr>
        <w:pStyle w:val="TextBody"/>
        <w:spacing w:before="0" w:after="0"/>
        <w:ind w:left="0" w:right="0" w:hanging="0"/>
        <w:jc w:val="left"/>
        <w:rPr>
          <w:rFonts w:ascii="Times New Roman Bold" w:hAnsi="Times New Roman Bold"/>
          <w:b/>
          <w:sz w:val="22"/>
        </w:rPr>
      </w:pPr>
      <w:r>
        <w:rPr>
          <w:rFonts w:ascii="Times New Roman;Times;serif" w:hAnsi="Times New Roman;Times;serif"/>
          <w:b/>
          <w:i w:val="false"/>
          <w:caps w:val="false"/>
          <w:smallCaps w:val="false"/>
          <w:sz w:val="22"/>
        </w:rPr>
        <w:t>*</w:t>
      </w:r>
      <w:r>
        <w:rPr>
          <w:rFonts w:ascii="Times New Roman;Times;serif" w:hAnsi="Times New Roman;Times;serif"/>
          <w:b/>
          <w:sz w:val="22"/>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US-DOCS\141424032.1</w:t>
      </w:r>
    </w:p>
    <w:p>
      <w:pPr>
        <w:pStyle w:val="HorizontalLine"/>
        <w:rPr/>
      </w:pPr>
      <w:r>
        <w:rPr/>
      </w:r>
      <w:r>
        <w:br w:type="page"/>
      </w:r>
    </w:p>
    <w:p>
      <w:pPr>
        <w:pStyle w:val="TextBody"/>
        <w:spacing w:lineRule="auto" w:line="285" w:before="0" w:after="0"/>
        <w:ind w:left="0" w:right="0" w:hanging="0"/>
        <w:jc w:val="right"/>
        <w:rPr>
          <w:rFonts w:ascii="Times New Roman;Times;serif" w:hAnsi="Times New Roman;Times;serif"/>
          <w:b/>
          <w:sz w:val="20"/>
        </w:rPr>
      </w:pPr>
      <w:bookmarkStart w:id="809" w:name="btai-20230331xex31d1.htm"/>
      <w:bookmarkStart w:id="810" w:name="ksbtai20230331xex31d1"/>
      <w:bookmarkEnd w:id="809"/>
      <w:bookmarkEnd w:id="810"/>
      <w:r>
        <w:rPr>
          <w:rFonts w:ascii="Times New Roman;Times;serif" w:hAnsi="Times New Roman;Times;serif"/>
          <w:b/>
          <w:sz w:val="20"/>
        </w:rPr>
        <w:t>Exhibit 31.1</w:t>
      </w:r>
    </w:p>
    <w:p>
      <w:pPr>
        <w:pStyle w:val="TextBody"/>
        <w:spacing w:lineRule="auto" w:line="285" w:before="0" w:after="0"/>
        <w:ind w:left="0" w:right="0" w:hanging="0"/>
        <w:rPr/>
      </w:pPr>
      <w:r>
        <w:rPr/>
        <w: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I, Vimal Mehta, Ph.D., certify that:</w:t>
      </w:r>
    </w:p>
    <w:p>
      <w:pPr>
        <w:pStyle w:val="TextBody"/>
        <w:spacing w:lineRule="auto" w:line="285" w:before="0" w:after="0"/>
        <w:ind w:left="0" w:right="0" w:hanging="0"/>
        <w:rPr/>
      </w:pPr>
      <w:r>
        <w:rPr/>
        <w:t>​</w:t>
      </w:r>
    </w:p>
    <w:p>
      <w:pPr>
        <w:pStyle w:val="TextBody"/>
        <w:spacing w:lineRule="auto" w:line="285" w:before="0" w:after="0"/>
        <w:ind w:left="0" w:right="0" w:hanging="0"/>
        <w:rPr/>
      </w:pPr>
      <w:r>
        <w:rPr/>
        <w:t>​</w:t>
      </w:r>
    </w:p>
    <w:tbl>
      <w:tblPr>
        <w:tblW w:w="10205" w:type="dxa"/>
        <w:jc w:val="left"/>
        <w:tblInd w:w="0" w:type="dxa"/>
        <w:tblCellMar>
          <w:top w:w="0" w:type="dxa"/>
          <w:left w:w="0" w:type="dxa"/>
          <w:bottom w:w="0" w:type="dxa"/>
          <w:right w:w="0" w:type="dxa"/>
        </w:tblCellMar>
      </w:tblPr>
      <w:tblGrid>
        <w:gridCol w:w="167"/>
        <w:gridCol w:w="10038"/>
      </w:tblGrid>
      <w:tr>
        <w:trPr/>
        <w:tc>
          <w:tcPr>
            <w:tcW w:w="16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100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quarterly period ended March 31, 2023 of BioXcel Therapeutics, Inc.;</w:t>
            </w:r>
          </w:p>
        </w:tc>
      </w:tr>
    </w:tbl>
    <w:p>
      <w:pPr>
        <w:pStyle w:val="TextBody"/>
        <w:pBdr/>
        <w:spacing w:lineRule="auto" w:line="285" w:before="0" w:after="0"/>
        <w:ind w:left="0" w:right="0" w:hanging="360"/>
        <w:rPr/>
      </w:pPr>
      <w:r>
        <w:rPr/>
        <w:t>​</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spacing w:lineRule="auto" w:line="285" w:before="0" w:after="0"/>
        <w:ind w:left="0" w:right="0" w:hanging="360"/>
        <w:rPr/>
      </w:pPr>
      <w:r>
        <w:rPr/>
        <w:t>​</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spacing w:lineRule="auto" w:line="285" w:before="0" w:after="0"/>
        <w:ind w:left="0" w:right="0" w:hanging="360"/>
        <w:rPr/>
      </w:pPr>
      <w:r>
        <w:rPr/>
        <w:t>​</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lineRule="auto" w:line="285"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1002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spacing w:lineRule="auto" w:line="285" w:before="0" w:after="0"/>
        <w:ind w:left="720" w:right="0" w:hanging="36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spacing w:lineRule="auto" w:line="285" w:before="0" w:after="0"/>
        <w:ind w:left="720" w:right="0" w:hanging="360"/>
        <w:rPr/>
      </w:pPr>
      <w:r>
        <w:rPr/>
        <w:t>​</w:t>
      </w:r>
    </w:p>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1002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spacing w:lineRule="auto" w:line="285" w:before="0" w:after="0"/>
        <w:ind w:left="720" w:right="0" w:hanging="36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spacing w:lineRule="auto" w:line="285" w:before="0" w:after="0"/>
        <w:ind w:left="540" w:right="0" w:hanging="360"/>
        <w:rPr/>
      </w:pPr>
      <w:r>
        <w:rPr/>
        <w:t>​</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285" w:before="0" w:after="0"/>
        <w:ind w:left="360" w:right="0" w:hanging="0"/>
        <w:rPr/>
      </w:pPr>
      <w:r>
        <w:rPr/>
        <w:t>​</w:t>
      </w:r>
    </w:p>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1002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spacing w:lineRule="auto" w:line="285" w:before="0" w:after="0"/>
        <w:ind w:left="720" w:right="0" w:hanging="36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lineRule="auto" w:line="285" w:before="0" w:after="0"/>
        <w:ind w:left="0" w:right="0" w:hanging="0"/>
        <w:rPr/>
      </w:pPr>
      <w:r>
        <w:rPr/>
        <w:t>​</w:t>
      </w:r>
    </w:p>
    <w:tbl>
      <w:tblPr>
        <w:tblW w:w="5253" w:type="dxa"/>
        <w:jc w:val="left"/>
        <w:tblInd w:w="0" w:type="dxa"/>
        <w:tblCellMar>
          <w:top w:w="0" w:type="dxa"/>
          <w:left w:w="0" w:type="dxa"/>
          <w:bottom w:w="0" w:type="dxa"/>
          <w:right w:w="0" w:type="dxa"/>
        </w:tblCellMar>
      </w:tblPr>
      <w:tblGrid>
        <w:gridCol w:w="1636"/>
        <w:gridCol w:w="406"/>
        <w:gridCol w:w="3211"/>
      </w:tblGrid>
      <w:tr>
        <w:trPr/>
        <w:tc>
          <w:tcPr>
            <w:tcW w:w="163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3211" w:type="dxa"/>
            <w:tcBorders/>
            <w:shd w:fill="auto" w:val="clear"/>
            <w:vAlign w:val="center"/>
          </w:tcPr>
          <w:p>
            <w:pPr>
              <w:pStyle w:val="TableContents"/>
              <w:spacing w:lineRule="auto" w:line="285"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8, 2023</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Vimal Mehta</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406" w:type="dxa"/>
            <w:tcBorders/>
            <w:shd w:fill="auto" w:val="clear"/>
            <w:vAlign w:val="center"/>
          </w:tcPr>
          <w:p>
            <w:pPr>
              <w:pStyle w:val="TableContents"/>
              <w:spacing w:lineRule="auto" w:line="285" w:before="0" w:after="0"/>
              <w:ind w:left="0" w:right="0" w:hanging="0"/>
              <w:rPr/>
            </w:pPr>
            <w:r>
              <w:rPr/>
              <w:t>​</w:t>
            </w:r>
          </w:p>
        </w:tc>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Vimal Mehta, Ph.D.</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President and Chief Executive Officer</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r>
    </w:tbl>
    <w:p>
      <w:pPr>
        <w:pStyle w:val="TextBody"/>
        <w:spacing w:lineRule="auto" w:line="285" w:before="0" w:after="0"/>
        <w:ind w:left="0" w:right="0" w:hanging="0"/>
        <w:rPr/>
      </w:pPr>
      <w:r>
        <w:rPr/>
        <w:t>​</w:t>
      </w:r>
    </w:p>
    <w:p>
      <w:pPr>
        <w:pStyle w:val="HorizontalLine"/>
        <w:rPr/>
      </w:pPr>
      <w:r>
        <w:rPr/>
      </w:r>
      <w:r>
        <w:br w:type="page"/>
      </w:r>
    </w:p>
    <w:p>
      <w:pPr>
        <w:pStyle w:val="TextBody"/>
        <w:spacing w:lineRule="auto" w:line="285" w:before="0" w:after="0"/>
        <w:ind w:left="0" w:right="0" w:hanging="0"/>
        <w:rPr/>
      </w:pPr>
      <w:bookmarkStart w:id="811" w:name="btai-20230331xex31d2.htm"/>
      <w:bookmarkStart w:id="812" w:name="ksbtai20230331xex31d2"/>
      <w:bookmarkEnd w:id="811"/>
      <w:bookmarkEnd w:id="812"/>
      <w:r>
        <w:rPr/>
        <w:t>​</w:t>
      </w:r>
    </w:p>
    <w:p>
      <w:pPr>
        <w:pStyle w:val="TextBody"/>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spacing w:lineRule="auto" w:line="285" w:before="0" w:after="0"/>
        <w:ind w:left="0" w:right="0" w:hanging="0"/>
        <w:rPr/>
      </w:pPr>
      <w:r>
        <w:rPr/>
        <w: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I, Richard Steinhart, certify that:</w:t>
      </w:r>
    </w:p>
    <w:p>
      <w:pPr>
        <w:pStyle w:val="TextBody"/>
        <w:spacing w:lineRule="auto" w:line="285" w:before="0" w:after="0"/>
        <w:ind w:left="0" w:right="0" w:hanging="0"/>
        <w:rPr/>
      </w:pPr>
      <w:r>
        <w:rPr/>
        <w:t>​</w:t>
      </w:r>
    </w:p>
    <w:p>
      <w:pPr>
        <w:pStyle w:val="TextBody"/>
        <w:spacing w:lineRule="auto" w:line="285" w:before="0" w:after="0"/>
        <w:ind w:left="0" w:right="0" w:hanging="0"/>
        <w:rPr/>
      </w:pPr>
      <w:r>
        <w:rPr/>
        <w:t>​</w:t>
      </w:r>
    </w:p>
    <w:tbl>
      <w:tblPr>
        <w:tblW w:w="10205" w:type="dxa"/>
        <w:jc w:val="left"/>
        <w:tblInd w:w="0" w:type="dxa"/>
        <w:tblCellMar>
          <w:top w:w="0" w:type="dxa"/>
          <w:left w:w="0" w:type="dxa"/>
          <w:bottom w:w="0" w:type="dxa"/>
          <w:right w:w="0" w:type="dxa"/>
        </w:tblCellMar>
      </w:tblPr>
      <w:tblGrid>
        <w:gridCol w:w="167"/>
        <w:gridCol w:w="10038"/>
      </w:tblGrid>
      <w:tr>
        <w:trPr/>
        <w:tc>
          <w:tcPr>
            <w:tcW w:w="16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100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quarterly period ended March 31, 2023 of BioXcel Therapeutics, Inc.;</w:t>
            </w:r>
          </w:p>
        </w:tc>
      </w:tr>
    </w:tbl>
    <w:p>
      <w:pPr>
        <w:pStyle w:val="TextBody"/>
        <w:pBdr/>
        <w:spacing w:lineRule="auto" w:line="285" w:before="0" w:after="0"/>
        <w:ind w:left="0" w:right="0" w:hanging="360"/>
        <w:rPr/>
      </w:pPr>
      <w:r>
        <w:rPr/>
        <w:t>​</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spacing w:lineRule="auto" w:line="285" w:before="0" w:after="0"/>
        <w:ind w:left="0" w:right="0" w:hanging="360"/>
        <w:rPr/>
      </w:pPr>
      <w:r>
        <w:rPr/>
        <w:t>​</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spacing w:lineRule="auto" w:line="285" w:before="0" w:after="0"/>
        <w:ind w:left="0" w:right="0" w:hanging="360"/>
        <w:rPr/>
      </w:pPr>
      <w:r>
        <w:rPr/>
        <w:t>​</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spacing w:lineRule="auto" w:line="285" w:before="0" w:after="0"/>
        <w:ind w:left="0" w:right="0" w:hanging="360"/>
        <w:rPr/>
      </w:pPr>
      <w:r>
        <w:rPr/>
        <w:t>​</w:t>
      </w:r>
    </w:p>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1002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spacing w:lineRule="auto" w:line="285" w:before="0" w:after="0"/>
        <w:ind w:left="720" w:right="0" w:hanging="36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spacing w:lineRule="auto" w:line="285" w:before="0" w:after="0"/>
        <w:ind w:left="720" w:right="0" w:hanging="360"/>
        <w:rPr/>
      </w:pPr>
      <w:r>
        <w:rPr/>
        <w:t>​</w:t>
      </w:r>
    </w:p>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1002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spacing w:lineRule="auto" w:line="285" w:before="0" w:after="0"/>
        <w:ind w:left="720" w:right="0" w:hanging="36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lineRule="auto" w:line="285" w:before="0" w:after="0"/>
        <w:ind w:left="720" w:right="0" w:hanging="0"/>
        <w:rPr/>
      </w:pPr>
      <w:r>
        <w:rPr/>
        <w:t>​</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285" w:before="0" w:after="0"/>
        <w:ind w:left="360" w:right="0" w:hanging="0"/>
        <w:rPr/>
      </w:pPr>
      <w:r>
        <w:rPr/>
        <w:t>​</w:t>
      </w:r>
    </w:p>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1002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uto" w:line="285" w:before="0" w:after="0"/>
        <w:ind w:left="108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lineRule="auto" w:line="285" w:before="0" w:after="0"/>
        <w:ind w:left="720" w:right="0" w:hanging="0"/>
        <w:rPr/>
      </w:pPr>
      <w:r>
        <w:rPr/>
        <w:t>​</w:t>
      </w:r>
    </w:p>
    <w:tbl>
      <w:tblPr>
        <w:tblW w:w="4458" w:type="dxa"/>
        <w:jc w:val="left"/>
        <w:tblInd w:w="0" w:type="dxa"/>
        <w:tblCellMar>
          <w:top w:w="0" w:type="dxa"/>
          <w:left w:w="0" w:type="dxa"/>
          <w:bottom w:w="0" w:type="dxa"/>
          <w:right w:w="0" w:type="dxa"/>
        </w:tblCellMar>
      </w:tblPr>
      <w:tblGrid>
        <w:gridCol w:w="1636"/>
        <w:gridCol w:w="406"/>
        <w:gridCol w:w="2416"/>
      </w:tblGrid>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2416" w:type="dxa"/>
            <w:tcBorders/>
            <w:shd w:fill="auto" w:val="cle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8, 2023</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416"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Richard Steinhart</w:t>
            </w:r>
          </w:p>
        </w:tc>
      </w:tr>
      <w:tr>
        <w:trPr/>
        <w:tc>
          <w:tcPr>
            <w:tcW w:w="163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Richard Steinhart</w:t>
            </w:r>
          </w:p>
        </w:tc>
      </w:tr>
      <w:tr>
        <w:trPr/>
        <w:tc>
          <w:tcPr>
            <w:tcW w:w="163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Officer)</w:t>
            </w:r>
          </w:p>
        </w:tc>
      </w:tr>
    </w:tbl>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HorizontalLine"/>
        <w:rPr/>
      </w:pPr>
      <w:r>
        <w:rPr/>
      </w:r>
      <w:r>
        <w:br w:type="page"/>
      </w:r>
    </w:p>
    <w:p>
      <w:pPr>
        <w:pStyle w:val="TextBody"/>
        <w:spacing w:lineRule="auto" w:line="285" w:before="0" w:after="0"/>
        <w:ind w:left="0" w:right="0" w:hanging="0"/>
        <w:jc w:val="right"/>
        <w:rPr>
          <w:rFonts w:ascii="Times New Roman;Times;serif" w:hAnsi="Times New Roman;Times;serif"/>
          <w:b/>
          <w:sz w:val="20"/>
        </w:rPr>
      </w:pPr>
      <w:bookmarkStart w:id="813" w:name="btai-20230331xex32d1.htm"/>
      <w:bookmarkStart w:id="814" w:name="ksbtai20230331xex32d1"/>
      <w:bookmarkEnd w:id="813"/>
      <w:bookmarkEnd w:id="814"/>
      <w:r>
        <w:rPr>
          <w:rFonts w:ascii="Times New Roman;Times;serif" w:hAnsi="Times New Roman;Times;serif"/>
          <w:b/>
          <w:sz w:val="20"/>
        </w:rPr>
        <w:t>Exhibit 32.1</w:t>
      </w:r>
    </w:p>
    <w:p>
      <w:pPr>
        <w:pStyle w:val="TextBody"/>
        <w:spacing w:lineRule="auto" w:line="285" w:before="0" w:after="0"/>
        <w:ind w:left="0" w:right="0" w:hanging="0"/>
        <w:rPr/>
      </w:pPr>
      <w:r>
        <w:rPr/>
        <w: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connection with the Quarterly Report on Form 10-Q of BioXcel Therapeutics, Inc. (the “Company”) for the quarterly period ended March 31, 2023, as filed with the Securities and Exchange Commission on the date hereof (the “Report”), the undersigned hereby certifies, pursuant to 18 U.S.C. Section 1350, as adopted pursuant to Section 906 of the Sarbanes-Oxley Act of 2002, that to the best of his knowledge:</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23"/>
        <w:gridCol w:w="237"/>
        <w:gridCol w:w="9945"/>
      </w:tblGrid>
      <w:tr>
        <w:trPr/>
        <w:tc>
          <w:tcPr>
            <w:tcW w:w="2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Section 15(d) of the Securities Exchange Act of 1934, as amended; and</w:t>
            </w:r>
          </w:p>
        </w:tc>
      </w:tr>
    </w:tbl>
    <w:p>
      <w:pPr>
        <w:pStyle w:val="TextBody"/>
        <w:spacing w:lineRule="auto" w:line="285"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235"/>
        <w:gridCol w:w="9947"/>
      </w:tblGrid>
      <w:tr>
        <w:trPr/>
        <w:tc>
          <w:tcPr>
            <w:tcW w:w="2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4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spacing w:lineRule="auto" w:line="285" w:before="0" w:after="0"/>
        <w:ind w:left="0" w:right="0" w:hanging="0"/>
        <w:rPr/>
      </w:pPr>
      <w:r>
        <w:rPr/>
        <w:t>​</w:t>
      </w:r>
    </w:p>
    <w:p>
      <w:pPr>
        <w:pStyle w:val="TextBody"/>
        <w:spacing w:before="0" w:after="0"/>
        <w:ind w:left="0" w:right="0" w:hanging="0"/>
        <w:rPr/>
      </w:pPr>
      <w:r>
        <w:rPr/>
        <w:t> </w:t>
      </w:r>
    </w:p>
    <w:tbl>
      <w:tblPr>
        <w:tblW w:w="5362" w:type="dxa"/>
        <w:jc w:val="left"/>
        <w:tblInd w:w="0" w:type="dxa"/>
        <w:tblCellMar>
          <w:top w:w="0" w:type="dxa"/>
          <w:left w:w="0" w:type="dxa"/>
          <w:bottom w:w="0" w:type="dxa"/>
          <w:right w:w="0" w:type="dxa"/>
        </w:tblCellMar>
      </w:tblPr>
      <w:tblGrid>
        <w:gridCol w:w="1636"/>
        <w:gridCol w:w="406"/>
        <w:gridCol w:w="109"/>
        <w:gridCol w:w="3211"/>
      </w:tblGrid>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lineRule="auto" w:line="285" w:before="0" w:after="0"/>
              <w:ind w:left="0" w:right="0" w:hanging="0"/>
              <w:rPr/>
            </w:pPr>
            <w:r>
              <w:rPr/>
              <w:t>​</w:t>
            </w:r>
          </w:p>
        </w:tc>
        <w:tc>
          <w:tcPr>
            <w:tcW w:w="3211" w:type="dxa"/>
            <w:tcBorders/>
            <w:shd w:fill="auto" w:val="cle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lineRule="auto" w:line="285" w:before="0" w:after="0"/>
              <w:ind w:left="0" w:right="0" w:hanging="0"/>
              <w:rPr/>
            </w:pPr>
            <w:r>
              <w:rPr/>
              <w:t>​</w:t>
            </w:r>
          </w:p>
        </w:tc>
        <w:tc>
          <w:tcPr>
            <w:tcW w:w="3211" w:type="dxa"/>
            <w:tcBorders/>
            <w:shd w:fill="auto" w:val="clear"/>
            <w:vAlign w:val="center"/>
          </w:tcPr>
          <w:p>
            <w:pPr>
              <w:pStyle w:val="TableContents"/>
              <w:spacing w:before="0" w:after="0"/>
              <w:ind w:left="0" w:right="0" w:hanging="0"/>
              <w:rPr/>
            </w:pPr>
            <w:r>
              <w:rPr/>
              <w:t> </w: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8, 2023</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09" w:type="dxa"/>
            <w:tcBorders/>
            <w:shd w:fill="auto" w:val="clear"/>
            <w:vAlign w:val="center"/>
          </w:tcPr>
          <w:p>
            <w:pPr>
              <w:pStyle w:val="TableContents"/>
              <w:spacing w:lineRule="auto" w:line="285" w:before="0" w:after="0"/>
              <w:ind w:left="0" w:right="0" w:hanging="0"/>
              <w:rPr/>
            </w:pPr>
            <w:r>
              <w:rPr/>
              <w:t>​</w:t>
            </w:r>
          </w:p>
        </w:tc>
        <w:tc>
          <w:tcPr>
            <w:tcW w:w="3211"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Vimal Mehta</w:t>
            </w:r>
          </w:p>
        </w:tc>
      </w:tr>
      <w:tr>
        <w:trPr/>
        <w:tc>
          <w:tcPr>
            <w:tcW w:w="163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lineRule="auto" w:line="285" w:before="0" w:after="0"/>
              <w:ind w:left="0" w:right="0" w:hanging="0"/>
              <w:rPr/>
            </w:pPr>
            <w:r>
              <w:rPr/>
              <w:t>​</w:t>
            </w:r>
          </w:p>
        </w:tc>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Vimal Mehta, Ph.D.</w:t>
            </w:r>
          </w:p>
        </w:tc>
      </w:tr>
      <w:tr>
        <w:trPr/>
        <w:tc>
          <w:tcPr>
            <w:tcW w:w="163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lineRule="auto" w:line="285" w:before="0" w:after="0"/>
              <w:ind w:left="0" w:right="0" w:hanging="0"/>
              <w:rPr/>
            </w:pPr>
            <w:r>
              <w:rPr/>
              <w:t>​</w:t>
            </w:r>
          </w:p>
        </w:tc>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President and Chief Executive Officer</w:t>
            </w:r>
          </w:p>
        </w:tc>
      </w:tr>
      <w:tr>
        <w:trPr/>
        <w:tc>
          <w:tcPr>
            <w:tcW w:w="163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lineRule="auto" w:line="285" w:before="0" w:after="0"/>
              <w:ind w:left="0" w:right="0" w:hanging="0"/>
              <w:rPr/>
            </w:pPr>
            <w:r>
              <w:rPr/>
              <w:t>​</w:t>
            </w:r>
          </w:p>
        </w:tc>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r>
    </w:tbl>
    <w:p>
      <w:pPr>
        <w:pStyle w:val="TextBody"/>
        <w:spacing w:lineRule="auto" w:line="285" w:before="0" w:after="0"/>
        <w:ind w:left="0" w:right="0" w:hanging="0"/>
        <w:rPr/>
      </w:pPr>
      <w:r>
        <w:rPr/>
        <w:t>​</w:t>
      </w:r>
    </w:p>
    <w:p>
      <w:pPr>
        <w:pStyle w:val="HorizontalLine"/>
        <w:rPr/>
      </w:pPr>
      <w:r>
        <w:rPr/>
      </w:r>
      <w:r>
        <w:br w:type="page"/>
      </w:r>
    </w:p>
    <w:p>
      <w:pPr>
        <w:pStyle w:val="TextBody"/>
        <w:spacing w:lineRule="auto" w:line="285" w:before="0" w:after="0"/>
        <w:ind w:left="0" w:right="0" w:hanging="0"/>
        <w:jc w:val="right"/>
        <w:rPr>
          <w:rFonts w:ascii="Times New Roman;Times;serif" w:hAnsi="Times New Roman;Times;serif"/>
          <w:b/>
          <w:sz w:val="20"/>
        </w:rPr>
      </w:pPr>
      <w:bookmarkStart w:id="815" w:name="btai-20230331xex32d2.htm"/>
      <w:bookmarkStart w:id="816" w:name="ksbtai20230331xex32d2"/>
      <w:bookmarkEnd w:id="815"/>
      <w:bookmarkEnd w:id="816"/>
      <w:r>
        <w:rPr>
          <w:rFonts w:ascii="Times New Roman;Times;serif" w:hAnsi="Times New Roman;Times;serif"/>
          <w:b/>
          <w:sz w:val="20"/>
        </w:rPr>
        <w:t>Exhibit 32.2</w:t>
      </w:r>
    </w:p>
    <w:p>
      <w:pPr>
        <w:pStyle w:val="TextBody"/>
        <w:spacing w:lineRule="auto" w:line="285" w:before="0" w:after="0"/>
        <w:ind w:left="0" w:right="0" w:hanging="0"/>
        <w:rPr/>
      </w:pPr>
      <w:r>
        <w:rPr/>
        <w: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connection with the Quarterly Report on Form 10-Q of BioXcel Therapeutics, Inc. (the “Company”) for the quarterly period ended March 31, 2023, as filed with the Securities and Exchange Commission on the date hereof (the “Report”), the undersigned hereby certifies, pursuant to 18 U.S.C. Section 1350, as adopted pursuant to Section 906 of the Sarbanes-Oxley Act of 2002, that to the best of his knowledge:</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23"/>
        <w:gridCol w:w="237"/>
        <w:gridCol w:w="9945"/>
      </w:tblGrid>
      <w:tr>
        <w:trPr/>
        <w:tc>
          <w:tcPr>
            <w:tcW w:w="2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Section 15(d) of the Securities Exchange Act of 1934, as amended; and</w:t>
            </w:r>
          </w:p>
        </w:tc>
      </w:tr>
    </w:tbl>
    <w:p>
      <w:pPr>
        <w:pStyle w:val="TextBody"/>
        <w:pBdr/>
        <w:spacing w:lineRule="auto" w:line="285" w:before="0" w:after="0"/>
        <w:ind w:left="720" w:right="0" w:hanging="360"/>
        <w:rPr/>
      </w:pPr>
      <w:r>
        <w:rPr/>
        <w:t>​</w:t>
      </w:r>
    </w:p>
    <w:tbl>
      <w:tblPr>
        <w:tblW w:w="10205" w:type="dxa"/>
        <w:jc w:val="left"/>
        <w:tblInd w:w="0" w:type="dxa"/>
        <w:tblCellMar>
          <w:top w:w="0" w:type="dxa"/>
          <w:left w:w="0" w:type="dxa"/>
          <w:bottom w:w="0" w:type="dxa"/>
          <w:right w:w="0" w:type="dxa"/>
        </w:tblCellMar>
      </w:tblPr>
      <w:tblGrid>
        <w:gridCol w:w="23"/>
        <w:gridCol w:w="235"/>
        <w:gridCol w:w="9947"/>
      </w:tblGrid>
      <w:tr>
        <w:trPr/>
        <w:tc>
          <w:tcPr>
            <w:tcW w:w="2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4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t> </w:t>
      </w:r>
    </w:p>
    <w:p>
      <w:pPr>
        <w:pStyle w:val="TextBody"/>
        <w:spacing w:lineRule="auto" w:line="285" w:before="0" w:after="0"/>
        <w:ind w:left="0" w:right="0" w:hanging="0"/>
        <w:rPr/>
      </w:pPr>
      <w:r>
        <w:rPr/>
        <w:t>​</w:t>
      </w:r>
    </w:p>
    <w:tbl>
      <w:tblPr>
        <w:tblW w:w="4458" w:type="dxa"/>
        <w:jc w:val="left"/>
        <w:tblInd w:w="0" w:type="dxa"/>
        <w:tblCellMar>
          <w:top w:w="0" w:type="dxa"/>
          <w:left w:w="0" w:type="dxa"/>
          <w:bottom w:w="0" w:type="dxa"/>
          <w:right w:w="0" w:type="dxa"/>
        </w:tblCellMar>
      </w:tblPr>
      <w:tblGrid>
        <w:gridCol w:w="1636"/>
        <w:gridCol w:w="406"/>
        <w:gridCol w:w="2416"/>
      </w:tblGrid>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2416" w:type="dxa"/>
            <w:tcBorders/>
            <w:shd w:fill="auto" w:val="cle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2416" w:type="dxa"/>
            <w:tcBorders/>
            <w:shd w:fill="auto" w:val="clear"/>
            <w:vAlign w:val="center"/>
          </w:tcPr>
          <w:p>
            <w:pPr>
              <w:pStyle w:val="TableContents"/>
              <w:spacing w:before="0" w:after="0"/>
              <w:ind w:left="0" w:right="0" w:hanging="0"/>
              <w:rPr/>
            </w:pPr>
            <w:r>
              <w:rPr/>
              <w:t> </w: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8, 2023</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416"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Richard Steinhart</w:t>
            </w:r>
          </w:p>
        </w:tc>
      </w:tr>
      <w:tr>
        <w:trPr/>
        <w:tc>
          <w:tcPr>
            <w:tcW w:w="163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Richard Steinhart</w:t>
            </w:r>
          </w:p>
        </w:tc>
      </w:tr>
      <w:tr>
        <w:trPr/>
        <w:tc>
          <w:tcPr>
            <w:tcW w:w="163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Officer)</w:t>
            </w:r>
          </w:p>
        </w:tc>
      </w:tr>
    </w:tbl>
    <w:p>
      <w:pPr>
        <w:pStyle w:val="TextBody"/>
        <w:spacing w:lineRule="auto" w:line="285"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 New Roman Bold">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720893/000155837021011074/btai-20210630xex3d1.htm" TargetMode="External"/><Relationship Id="rId5" Type="http://schemas.openxmlformats.org/officeDocument/2006/relationships/hyperlink" Target="https://www.sec.gov/Archives/edgar/data/1720893/000110465918016770/a18-8090_1ex3d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21</Pages>
  <Words>74316</Words>
  <CharactersWithSpaces>486312</CharactersWithSpaces>
  <Paragraphs>5274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